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D461B" w14:textId="0B042A6E" w:rsidR="00D804FF" w:rsidRPr="003C6DBD" w:rsidRDefault="00D804FF">
      <w:pPr>
        <w:rPr>
          <w:rFonts w:ascii="Helvetica" w:hAnsi="Helvetica"/>
          <w:color w:val="000000" w:themeColor="text1"/>
          <w:lang w:val="en-US"/>
        </w:rPr>
      </w:pPr>
      <w:r w:rsidRPr="003C6DBD">
        <w:rPr>
          <w:rFonts w:ascii="Helvetica" w:hAnsi="Helvetica"/>
          <w:color w:val="000000" w:themeColor="text1"/>
          <w:lang w:val="en-US"/>
        </w:rPr>
        <w:t>Supplementary material</w:t>
      </w:r>
    </w:p>
    <w:p w14:paraId="39DC63A7" w14:textId="56E7BF27" w:rsidR="00D804FF" w:rsidRPr="003C6DBD" w:rsidRDefault="00D804FF">
      <w:pPr>
        <w:rPr>
          <w:rFonts w:ascii="Helvetica" w:hAnsi="Helvetica"/>
          <w:color w:val="000000" w:themeColor="text1"/>
          <w:lang w:val="en-US"/>
        </w:rPr>
      </w:pPr>
    </w:p>
    <w:p w14:paraId="6A0E59EB" w14:textId="77777777"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color w:val="000000" w:themeColor="text1"/>
          <w:lang w:val="en-US"/>
        </w:rPr>
        <w:t xml:space="preserve">Supplementary figure 1: </w:t>
      </w:r>
    </w:p>
    <w:p w14:paraId="439C88AD" w14:textId="77777777" w:rsidR="00D804FF" w:rsidRPr="003C6DBD" w:rsidRDefault="00D804FF" w:rsidP="00D804FF">
      <w:pPr>
        <w:spacing w:line="360" w:lineRule="auto"/>
        <w:jc w:val="both"/>
        <w:rPr>
          <w:rFonts w:ascii="Helvetica" w:hAnsi="Helvetica" w:cs="Arial"/>
          <w:color w:val="000000" w:themeColor="text1"/>
        </w:rPr>
      </w:pPr>
      <w:r w:rsidRPr="003C6DBD">
        <w:rPr>
          <w:rFonts w:ascii="Helvetica" w:hAnsi="Helvetica" w:cs="Arial"/>
          <w:noProof/>
          <w:color w:val="000000" w:themeColor="text1"/>
          <w:lang w:val="en-US"/>
        </w:rPr>
        <w:drawing>
          <wp:inline distT="0" distB="0" distL="0" distR="0" wp14:anchorId="66979BDB" wp14:editId="61431DD6">
            <wp:extent cx="6116320" cy="1953260"/>
            <wp:effectExtent l="0" t="0" r="508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6116320" cy="1953260"/>
                    </a:xfrm>
                    <a:prstGeom prst="rect">
                      <a:avLst/>
                    </a:prstGeom>
                  </pic:spPr>
                </pic:pic>
              </a:graphicData>
            </a:graphic>
          </wp:inline>
        </w:drawing>
      </w:r>
    </w:p>
    <w:p w14:paraId="59E6F0FA" w14:textId="77777777"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b/>
          <w:color w:val="000000" w:themeColor="text1"/>
          <w:lang w:val="en-US"/>
        </w:rPr>
        <w:t xml:space="preserve">Supplementary figure 1: </w:t>
      </w:r>
      <w:r w:rsidRPr="003C6DBD">
        <w:rPr>
          <w:rFonts w:ascii="Helvetica" w:hAnsi="Helvetica" w:cs="Arial"/>
          <w:color w:val="000000" w:themeColor="text1"/>
          <w:lang w:val="en-US"/>
        </w:rPr>
        <w:t>Average perfusion map in arbitrary units for an example subject</w:t>
      </w:r>
    </w:p>
    <w:p w14:paraId="0BB787EE" w14:textId="77777777" w:rsidR="00D804FF" w:rsidRPr="003C6DBD" w:rsidRDefault="00D804FF" w:rsidP="00D804FF">
      <w:pPr>
        <w:spacing w:line="360" w:lineRule="auto"/>
        <w:jc w:val="both"/>
        <w:rPr>
          <w:rFonts w:ascii="Helvetica" w:hAnsi="Helvetica" w:cs="Arial"/>
          <w:color w:val="000000" w:themeColor="text1"/>
          <w:lang w:val="en-US"/>
        </w:rPr>
      </w:pPr>
    </w:p>
    <w:p w14:paraId="1AE67886" w14:textId="77777777" w:rsidR="00D804FF" w:rsidRPr="003C6DBD" w:rsidRDefault="00D804FF" w:rsidP="00D804FF">
      <w:pPr>
        <w:rPr>
          <w:rFonts w:ascii="Helvetica" w:hAnsi="Helvetica" w:cs="Arial"/>
          <w:color w:val="000000" w:themeColor="text1"/>
          <w:lang w:val="en-US"/>
        </w:rPr>
      </w:pPr>
      <w:r w:rsidRPr="003C6DBD">
        <w:rPr>
          <w:rFonts w:ascii="Helvetica" w:hAnsi="Helvetica" w:cs="Arial"/>
          <w:color w:val="000000" w:themeColor="text1"/>
          <w:lang w:val="en-US"/>
        </w:rPr>
        <w:br w:type="page"/>
      </w:r>
    </w:p>
    <w:p w14:paraId="16AA75F6" w14:textId="5418BEA0"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noProof/>
          <w:color w:val="000000" w:themeColor="text1"/>
        </w:rPr>
        <w:lastRenderedPageBreak/>
        <w:drawing>
          <wp:anchor distT="0" distB="0" distL="114300" distR="114300" simplePos="0" relativeHeight="251660288" behindDoc="0" locked="0" layoutInCell="1" allowOverlap="1" wp14:anchorId="66DC8F8E" wp14:editId="46BC0D87">
            <wp:simplePos x="0" y="0"/>
            <wp:positionH relativeFrom="column">
              <wp:posOffset>0</wp:posOffset>
            </wp:positionH>
            <wp:positionV relativeFrom="paragraph">
              <wp:posOffset>316230</wp:posOffset>
            </wp:positionV>
            <wp:extent cx="6116320" cy="4272280"/>
            <wp:effectExtent l="0" t="0" r="5080" b="0"/>
            <wp:wrapTopAndBottom/>
            <wp:docPr id="12" name="Picture 1">
              <a:extLst xmlns:a="http://schemas.openxmlformats.org/drawingml/2006/main">
                <a:ext uri="{FF2B5EF4-FFF2-40B4-BE49-F238E27FC236}">
                  <a16:creationId xmlns:a16="http://schemas.microsoft.com/office/drawing/2014/main" id="{942075CD-5B7C-DA41-9B58-AB0A8C3D58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942075CD-5B7C-DA41-9B58-AB0A8C3D589C}"/>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6116320" cy="4272280"/>
                    </a:xfrm>
                    <a:prstGeom prst="rect">
                      <a:avLst/>
                    </a:prstGeom>
                  </pic:spPr>
                </pic:pic>
              </a:graphicData>
            </a:graphic>
            <wp14:sizeRelH relativeFrom="page">
              <wp14:pctWidth>0</wp14:pctWidth>
            </wp14:sizeRelH>
            <wp14:sizeRelV relativeFrom="page">
              <wp14:pctHeight>0</wp14:pctHeight>
            </wp14:sizeRelV>
          </wp:anchor>
        </w:drawing>
      </w:r>
      <w:r w:rsidRPr="003C6DBD">
        <w:rPr>
          <w:rFonts w:ascii="Helvetica" w:hAnsi="Helvetica" w:cs="Arial"/>
          <w:color w:val="000000" w:themeColor="text1"/>
          <w:lang w:val="en-US"/>
        </w:rPr>
        <w:t xml:space="preserve">Supplementary figure 2: </w:t>
      </w:r>
    </w:p>
    <w:p w14:paraId="4A79F276" w14:textId="1961B2E5"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b/>
          <w:color w:val="000000" w:themeColor="text1"/>
          <w:lang w:val="en-US"/>
        </w:rPr>
        <w:t xml:space="preserve">Supplementary figure 2: </w:t>
      </w:r>
      <w:r w:rsidRPr="003C6DBD">
        <w:rPr>
          <w:rFonts w:ascii="Helvetica" w:hAnsi="Helvetica" w:cs="Arial"/>
          <w:bCs/>
          <w:color w:val="000000" w:themeColor="text1"/>
          <w:lang w:val="en-US"/>
        </w:rPr>
        <w:t xml:space="preserve">Whole brain analyses shows </w:t>
      </w:r>
      <w:r w:rsidRPr="003C6DBD">
        <w:rPr>
          <w:rFonts w:ascii="Helvetica" w:hAnsi="Helvetica" w:cs="Arial"/>
          <w:color w:val="000000" w:themeColor="text1"/>
          <w:lang w:val="en-US"/>
        </w:rPr>
        <w:t xml:space="preserve">activation in M1-HAND after finger-tapping. </w:t>
      </w:r>
      <w:r w:rsidRPr="003C6DBD">
        <w:rPr>
          <w:rFonts w:ascii="Helvetica" w:hAnsi="Helvetica" w:cs="Arial"/>
          <w:i/>
          <w:iCs/>
          <w:color w:val="000000" w:themeColor="text1"/>
          <w:lang w:val="en-US"/>
        </w:rPr>
        <w:t>Top panel</w:t>
      </w:r>
      <w:r w:rsidRPr="003C6DBD">
        <w:rPr>
          <w:rFonts w:ascii="Helvetica" w:hAnsi="Helvetica" w:cs="Arial"/>
          <w:color w:val="000000" w:themeColor="text1"/>
          <w:lang w:val="en-US"/>
        </w:rPr>
        <w:t xml:space="preserve"> shows grouped activation from all subjects during the right hand finger-tapping task before TDCS (</w:t>
      </w:r>
      <w:proofErr w:type="spellStart"/>
      <w:r w:rsidRPr="003C6DBD">
        <w:rPr>
          <w:rFonts w:ascii="Helvetica" w:hAnsi="Helvetica" w:cs="Arial"/>
          <w:color w:val="000000" w:themeColor="text1"/>
          <w:lang w:val="en-US"/>
        </w:rPr>
        <w:t>FTpre</w:t>
      </w:r>
      <w:proofErr w:type="spellEnd"/>
      <w:r w:rsidRPr="003C6DBD">
        <w:rPr>
          <w:rFonts w:ascii="Helvetica" w:hAnsi="Helvetica" w:cs="Arial"/>
          <w:color w:val="000000" w:themeColor="text1"/>
          <w:lang w:val="en-US"/>
        </w:rPr>
        <w:t xml:space="preserve">) (cluster size = 325 voxels, Z-max = 4.68 peak coordinate: -38, -24, 60). </w:t>
      </w:r>
      <w:r w:rsidRPr="003C6DBD">
        <w:rPr>
          <w:rFonts w:ascii="Helvetica" w:hAnsi="Helvetica" w:cs="Arial"/>
          <w:i/>
          <w:iCs/>
          <w:color w:val="000000" w:themeColor="text1"/>
          <w:lang w:val="en-US"/>
        </w:rPr>
        <w:t>Bottom panel</w:t>
      </w:r>
      <w:r w:rsidRPr="003C6DBD">
        <w:rPr>
          <w:rFonts w:ascii="Helvetica" w:hAnsi="Helvetica" w:cs="Arial"/>
          <w:color w:val="000000" w:themeColor="text1"/>
          <w:lang w:val="en-US"/>
        </w:rPr>
        <w:t xml:space="preserve"> shows activation after TDCS (</w:t>
      </w:r>
      <w:proofErr w:type="spellStart"/>
      <w:r w:rsidRPr="003C6DBD">
        <w:rPr>
          <w:rFonts w:ascii="Helvetica" w:hAnsi="Helvetica" w:cs="Arial"/>
          <w:color w:val="000000" w:themeColor="text1"/>
          <w:lang w:val="en-US"/>
        </w:rPr>
        <w:t>FTpost</w:t>
      </w:r>
      <w:proofErr w:type="spellEnd"/>
      <w:r w:rsidRPr="003C6DBD">
        <w:rPr>
          <w:rFonts w:ascii="Helvetica" w:hAnsi="Helvetica" w:cs="Arial"/>
          <w:color w:val="000000" w:themeColor="text1"/>
          <w:lang w:val="en-US"/>
        </w:rPr>
        <w:t>) (cluster size = 445 voxels, Z-max = 4.69 peak coordinate: -40, -22, 58, cluster p-value =</w:t>
      </w:r>
      <w:r w:rsidRPr="003C6DBD">
        <w:rPr>
          <w:color w:val="000000" w:themeColor="text1"/>
          <w:lang w:val="en-US"/>
        </w:rPr>
        <w:t xml:space="preserve"> </w:t>
      </w:r>
      <w:r w:rsidRPr="003C6DBD">
        <w:rPr>
          <w:rFonts w:ascii="Helvetica" w:hAnsi="Helvetica" w:cs="Arial"/>
          <w:color w:val="000000" w:themeColor="text1"/>
          <w:lang w:val="en-US"/>
        </w:rPr>
        <w:t xml:space="preserve">5.96e-08). Coordinates are placed at the global maximum. </w:t>
      </w:r>
      <w:r w:rsidRPr="003C6DBD">
        <w:rPr>
          <w:rFonts w:ascii="Arial" w:hAnsi="Arial" w:cs="Arial"/>
          <w:color w:val="000000" w:themeColor="text1"/>
          <w:lang w:val="en-US"/>
        </w:rPr>
        <w:t xml:space="preserve">Voxel-level threshold is defined at </w:t>
      </w:r>
      <w:r w:rsidRPr="003C6DBD">
        <w:rPr>
          <w:rFonts w:ascii="Arial" w:hAnsi="Arial" w:cs="Arial"/>
          <w:i/>
          <w:color w:val="000000" w:themeColor="text1"/>
          <w:lang w:val="en-US"/>
        </w:rPr>
        <w:t>p</w:t>
      </w:r>
      <w:r w:rsidRPr="003C6DBD">
        <w:rPr>
          <w:rFonts w:ascii="Arial" w:hAnsi="Arial" w:cs="Arial"/>
          <w:color w:val="000000" w:themeColor="text1"/>
          <w:lang w:val="en-US"/>
        </w:rPr>
        <w:t>= 0.001 (Z=3.1), and cluster corrected threshold of p = 0.05.</w:t>
      </w:r>
    </w:p>
    <w:p w14:paraId="43578763" w14:textId="77777777" w:rsidR="00D804FF" w:rsidRPr="003C6DBD" w:rsidRDefault="00D804FF" w:rsidP="00D804FF">
      <w:pPr>
        <w:spacing w:line="360" w:lineRule="auto"/>
        <w:jc w:val="both"/>
        <w:rPr>
          <w:rFonts w:ascii="Helvetica" w:hAnsi="Helvetica" w:cs="Arial"/>
          <w:color w:val="000000" w:themeColor="text1"/>
          <w:lang w:val="en-US"/>
        </w:rPr>
      </w:pPr>
    </w:p>
    <w:p w14:paraId="0FF1B7BC" w14:textId="77777777" w:rsidR="00D804FF" w:rsidRPr="003C6DBD" w:rsidRDefault="00D804FF" w:rsidP="00D804FF">
      <w:pPr>
        <w:spacing w:line="360" w:lineRule="auto"/>
        <w:jc w:val="both"/>
        <w:rPr>
          <w:rFonts w:ascii="Helvetica" w:hAnsi="Helvetica" w:cs="Arial"/>
          <w:color w:val="000000" w:themeColor="text1"/>
          <w:lang w:val="en-US"/>
        </w:rPr>
      </w:pPr>
    </w:p>
    <w:p w14:paraId="472267CF" w14:textId="77777777" w:rsidR="00D804FF" w:rsidRPr="003C6DBD" w:rsidRDefault="00D804FF" w:rsidP="00D804FF">
      <w:pPr>
        <w:rPr>
          <w:rFonts w:ascii="Helvetica" w:hAnsi="Helvetica" w:cs="Arial"/>
          <w:color w:val="000000" w:themeColor="text1"/>
          <w:lang w:val="en-US"/>
        </w:rPr>
      </w:pPr>
      <w:r w:rsidRPr="003C6DBD">
        <w:rPr>
          <w:rFonts w:ascii="Helvetica" w:hAnsi="Helvetica" w:cs="Arial"/>
          <w:color w:val="000000" w:themeColor="text1"/>
          <w:lang w:val="en-US"/>
        </w:rPr>
        <w:br w:type="page"/>
      </w:r>
    </w:p>
    <w:p w14:paraId="0DF5591A" w14:textId="77777777"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noProof/>
          <w:color w:val="000000" w:themeColor="text1"/>
        </w:rPr>
        <w:lastRenderedPageBreak/>
        <w:drawing>
          <wp:anchor distT="0" distB="0" distL="114300" distR="114300" simplePos="0" relativeHeight="251661312" behindDoc="0" locked="0" layoutInCell="1" allowOverlap="1" wp14:anchorId="522DFF80" wp14:editId="49AFB382">
            <wp:simplePos x="0" y="0"/>
            <wp:positionH relativeFrom="column">
              <wp:posOffset>-771635</wp:posOffset>
            </wp:positionH>
            <wp:positionV relativeFrom="paragraph">
              <wp:posOffset>294005</wp:posOffset>
            </wp:positionV>
            <wp:extent cx="7310755" cy="4407535"/>
            <wp:effectExtent l="0" t="0" r="4445" b="0"/>
            <wp:wrapTopAndBottom/>
            <wp:docPr id="6" name="Picture 1">
              <a:extLst xmlns:a="http://schemas.openxmlformats.org/drawingml/2006/main">
                <a:ext uri="{FF2B5EF4-FFF2-40B4-BE49-F238E27FC236}">
                  <a16:creationId xmlns:a16="http://schemas.microsoft.com/office/drawing/2014/main" id="{AFFF2FE7-87FA-5B4E-8ABA-975ACEC9FC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FFF2FE7-87FA-5B4E-8ABA-975ACEC9FC0E}"/>
                        </a:ext>
                      </a:extLst>
                    </pic:cNvPr>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7310755" cy="4407535"/>
                    </a:xfrm>
                    <a:prstGeom prst="rect">
                      <a:avLst/>
                    </a:prstGeom>
                  </pic:spPr>
                </pic:pic>
              </a:graphicData>
            </a:graphic>
            <wp14:sizeRelH relativeFrom="page">
              <wp14:pctWidth>0</wp14:pctWidth>
            </wp14:sizeRelH>
            <wp14:sizeRelV relativeFrom="page">
              <wp14:pctHeight>0</wp14:pctHeight>
            </wp14:sizeRelV>
          </wp:anchor>
        </w:drawing>
      </w:r>
      <w:r w:rsidRPr="003C6DBD">
        <w:rPr>
          <w:rFonts w:ascii="Helvetica" w:hAnsi="Helvetica" w:cs="Arial"/>
          <w:color w:val="000000" w:themeColor="text1"/>
          <w:lang w:val="en-US"/>
        </w:rPr>
        <w:t xml:space="preserve">Supplementary figure 3: </w:t>
      </w:r>
    </w:p>
    <w:p w14:paraId="1867F950" w14:textId="77777777" w:rsidR="00D804FF" w:rsidRPr="003C6DBD" w:rsidRDefault="00D804FF" w:rsidP="00D804FF">
      <w:pPr>
        <w:spacing w:line="360" w:lineRule="auto"/>
        <w:jc w:val="both"/>
        <w:rPr>
          <w:rFonts w:ascii="Helvetica" w:hAnsi="Helvetica" w:cs="Arial"/>
          <w:color w:val="000000" w:themeColor="text1"/>
          <w:lang w:val="en-US"/>
        </w:rPr>
      </w:pPr>
    </w:p>
    <w:p w14:paraId="498B31AE" w14:textId="50E2AA5E" w:rsidR="00D804FF" w:rsidRPr="003C6DBD" w:rsidRDefault="00D804FF" w:rsidP="00D804FF">
      <w:pPr>
        <w:spacing w:line="360" w:lineRule="auto"/>
        <w:jc w:val="both"/>
        <w:rPr>
          <w:rFonts w:ascii="Helvetica" w:hAnsi="Helvetica" w:cs="Arial"/>
          <w:b/>
          <w:bCs/>
          <w:color w:val="000000" w:themeColor="text1"/>
          <w:lang w:val="en-US"/>
        </w:rPr>
      </w:pPr>
      <w:r w:rsidRPr="003C6DBD">
        <w:rPr>
          <w:rFonts w:ascii="Helvetica" w:hAnsi="Helvetica" w:cs="Arial"/>
          <w:b/>
          <w:bCs/>
          <w:color w:val="000000" w:themeColor="text1"/>
          <w:lang w:val="en-US"/>
        </w:rPr>
        <w:t xml:space="preserve">Supplementary figure 3: </w:t>
      </w:r>
    </w:p>
    <w:p w14:paraId="67D434BF" w14:textId="5455EC3F"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color w:val="000000" w:themeColor="text1"/>
          <w:lang w:val="en-US"/>
        </w:rPr>
        <w:t xml:space="preserve">Individual plots of regional activation and induced E-field. Line plots show individual perfusion change as a function of induced E-field in the four </w:t>
      </w:r>
      <w:proofErr w:type="spellStart"/>
      <w:r w:rsidRPr="003C6DBD">
        <w:rPr>
          <w:rFonts w:ascii="Helvetica" w:hAnsi="Helvetica" w:cs="Arial"/>
          <w:color w:val="000000" w:themeColor="text1"/>
          <w:lang w:val="en-US"/>
        </w:rPr>
        <w:t>VoIs</w:t>
      </w:r>
      <w:proofErr w:type="spellEnd"/>
      <w:r w:rsidRPr="003C6DBD">
        <w:rPr>
          <w:rFonts w:ascii="Helvetica" w:hAnsi="Helvetica" w:cs="Arial"/>
          <w:color w:val="000000" w:themeColor="text1"/>
          <w:lang w:val="en-US"/>
        </w:rPr>
        <w:t xml:space="preserve">. For each subject is visualized the individual electric field strength (norm or length of the electric field vectors) at 1mA </w:t>
      </w:r>
      <w:proofErr w:type="spellStart"/>
      <w:r w:rsidRPr="003C6DBD">
        <w:rPr>
          <w:rFonts w:ascii="Helvetica" w:hAnsi="Helvetica" w:cs="Arial"/>
          <w:color w:val="000000" w:themeColor="text1"/>
          <w:lang w:val="en-US"/>
        </w:rPr>
        <w:t>tDCS</w:t>
      </w:r>
      <w:proofErr w:type="spellEnd"/>
      <w:r w:rsidRPr="003C6DBD">
        <w:rPr>
          <w:rFonts w:ascii="Helvetica" w:hAnsi="Helvetica" w:cs="Arial"/>
          <w:color w:val="000000" w:themeColor="text1"/>
          <w:lang w:val="en-US"/>
        </w:rPr>
        <w:t xml:space="preserve"> for the M1-supraorbital (SO) montage. Strong fields are located at the edge of the electrodes as well as in between the electrodes at pre-frontal areas instead of directly underneath. </w:t>
      </w:r>
      <w:r w:rsidRPr="003C6DBD">
        <w:rPr>
          <w:rFonts w:ascii="Helvetica" w:hAnsi="Helvetica" w:cs="Arial"/>
          <w:i/>
          <w:color w:val="000000" w:themeColor="text1"/>
          <w:lang w:val="en-US"/>
        </w:rPr>
        <w:t xml:space="preserve">Right-bottom corner: </w:t>
      </w:r>
      <w:r w:rsidRPr="003C6DBD">
        <w:rPr>
          <w:rFonts w:ascii="Helvetica" w:hAnsi="Helvetica" w:cs="Arial"/>
          <w:color w:val="000000" w:themeColor="text1"/>
          <w:lang w:val="en-US"/>
        </w:rPr>
        <w:t xml:space="preserve">Shows areas of maximum induced E-field at 1mA </w:t>
      </w:r>
      <w:proofErr w:type="spellStart"/>
      <w:r w:rsidRPr="003C6DBD">
        <w:rPr>
          <w:rFonts w:ascii="Helvetica" w:hAnsi="Helvetica" w:cs="Arial"/>
          <w:color w:val="000000" w:themeColor="text1"/>
          <w:lang w:val="en-US"/>
        </w:rPr>
        <w:t>tDCS</w:t>
      </w:r>
      <w:proofErr w:type="spellEnd"/>
      <w:r w:rsidRPr="003C6DBD">
        <w:rPr>
          <w:rFonts w:ascii="Helvetica" w:hAnsi="Helvetica" w:cs="Arial"/>
          <w:color w:val="000000" w:themeColor="text1"/>
          <w:lang w:val="en-US"/>
        </w:rPr>
        <w:t xml:space="preserve">, all subjects overlaid on MNI space. Magenta colored </w:t>
      </w:r>
      <w:proofErr w:type="spellStart"/>
      <w:r w:rsidRPr="003C6DBD">
        <w:rPr>
          <w:rFonts w:ascii="Helvetica" w:hAnsi="Helvetica" w:cs="Arial"/>
          <w:color w:val="000000" w:themeColor="text1"/>
          <w:lang w:val="en-US"/>
        </w:rPr>
        <w:t>VoI</w:t>
      </w:r>
      <w:proofErr w:type="spellEnd"/>
      <w:r w:rsidRPr="003C6DBD">
        <w:rPr>
          <w:rFonts w:ascii="Helvetica" w:hAnsi="Helvetica" w:cs="Arial"/>
          <w:color w:val="000000" w:themeColor="text1"/>
          <w:lang w:val="en-US"/>
        </w:rPr>
        <w:t xml:space="preserve"> is placed at the region of highest E-field. </w:t>
      </w:r>
    </w:p>
    <w:p w14:paraId="52F8768D" w14:textId="77777777" w:rsidR="00D804FF" w:rsidRPr="003C6DBD" w:rsidRDefault="00D804FF" w:rsidP="00D804FF">
      <w:pPr>
        <w:spacing w:line="360" w:lineRule="auto"/>
        <w:jc w:val="both"/>
        <w:rPr>
          <w:rFonts w:ascii="Helvetica" w:hAnsi="Helvetica" w:cs="Arial"/>
          <w:color w:val="000000" w:themeColor="text1"/>
          <w:lang w:val="en-US"/>
        </w:rPr>
      </w:pPr>
    </w:p>
    <w:p w14:paraId="20E8E008" w14:textId="77777777" w:rsidR="00D804FF" w:rsidRPr="003C6DBD" w:rsidRDefault="00D804FF" w:rsidP="00D804FF">
      <w:pPr>
        <w:rPr>
          <w:rFonts w:ascii="Helvetica" w:hAnsi="Helvetica"/>
          <w:color w:val="000000" w:themeColor="text1"/>
          <w:lang w:val="en-US"/>
        </w:rPr>
      </w:pPr>
      <w:r w:rsidRPr="003C6DBD">
        <w:rPr>
          <w:rFonts w:ascii="Helvetica" w:hAnsi="Helvetica"/>
          <w:color w:val="000000" w:themeColor="text1"/>
          <w:lang w:val="en-US"/>
        </w:rPr>
        <w:br w:type="page"/>
      </w:r>
    </w:p>
    <w:p w14:paraId="20E76076" w14:textId="77777777" w:rsidR="00D804FF" w:rsidRPr="003C6DBD" w:rsidRDefault="00D804FF" w:rsidP="00D804FF">
      <w:pPr>
        <w:rPr>
          <w:rFonts w:ascii="Helvetica" w:hAnsi="Helvetica"/>
          <w:color w:val="000000" w:themeColor="text1"/>
          <w:lang w:val="en-US"/>
        </w:rPr>
      </w:pPr>
      <w:r w:rsidRPr="003C6DBD">
        <w:rPr>
          <w:rFonts w:ascii="Helvetica" w:hAnsi="Helvetica"/>
          <w:noProof/>
          <w:color w:val="000000" w:themeColor="text1"/>
        </w:rPr>
        <w:lastRenderedPageBreak/>
        <w:drawing>
          <wp:anchor distT="0" distB="0" distL="114300" distR="114300" simplePos="0" relativeHeight="251662336" behindDoc="0" locked="0" layoutInCell="1" allowOverlap="1" wp14:anchorId="74864C2E" wp14:editId="5F256543">
            <wp:simplePos x="0" y="0"/>
            <wp:positionH relativeFrom="column">
              <wp:posOffset>-715645</wp:posOffset>
            </wp:positionH>
            <wp:positionV relativeFrom="paragraph">
              <wp:posOffset>523985</wp:posOffset>
            </wp:positionV>
            <wp:extent cx="7242175" cy="5469890"/>
            <wp:effectExtent l="0" t="0" r="0" b="3810"/>
            <wp:wrapTopAndBottom/>
            <wp:docPr id="7" name="Picture 1">
              <a:extLst xmlns:a="http://schemas.openxmlformats.org/drawingml/2006/main">
                <a:ext uri="{FF2B5EF4-FFF2-40B4-BE49-F238E27FC236}">
                  <a16:creationId xmlns:a16="http://schemas.microsoft.com/office/drawing/2014/main" id="{3EC952F6-BDC8-6441-B530-499BE0ECA2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3EC952F6-BDC8-6441-B530-499BE0ECA21B}"/>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242175" cy="5469890"/>
                    </a:xfrm>
                    <a:prstGeom prst="rect">
                      <a:avLst/>
                    </a:prstGeom>
                  </pic:spPr>
                </pic:pic>
              </a:graphicData>
            </a:graphic>
            <wp14:sizeRelH relativeFrom="page">
              <wp14:pctWidth>0</wp14:pctWidth>
            </wp14:sizeRelH>
            <wp14:sizeRelV relativeFrom="page">
              <wp14:pctHeight>0</wp14:pctHeight>
            </wp14:sizeRelV>
          </wp:anchor>
        </w:drawing>
      </w:r>
      <w:r w:rsidRPr="003C6DBD">
        <w:rPr>
          <w:rFonts w:ascii="Helvetica" w:hAnsi="Helvetica"/>
          <w:color w:val="000000" w:themeColor="text1"/>
          <w:lang w:val="en-US"/>
        </w:rPr>
        <w:t>Supplementary figure 4: Correlation between perfusion response and E-field in subregional regions of interest.</w:t>
      </w:r>
    </w:p>
    <w:p w14:paraId="676C4244" w14:textId="77777777" w:rsidR="00D804FF" w:rsidRPr="003C6DBD" w:rsidRDefault="00D804FF" w:rsidP="00D804FF">
      <w:pPr>
        <w:rPr>
          <w:rFonts w:ascii="Helvetica" w:hAnsi="Helvetica"/>
          <w:color w:val="000000" w:themeColor="text1"/>
          <w:lang w:val="en-US"/>
        </w:rPr>
      </w:pPr>
    </w:p>
    <w:p w14:paraId="3F371BC5" w14:textId="13F0F9F5" w:rsidR="00D804FF" w:rsidRPr="003C6DBD" w:rsidRDefault="00D804FF" w:rsidP="008C4A82">
      <w:pPr>
        <w:spacing w:line="360" w:lineRule="auto"/>
        <w:jc w:val="both"/>
        <w:rPr>
          <w:rFonts w:ascii="Helvetica" w:hAnsi="Helvetica" w:cs="Arial"/>
          <w:color w:val="000000" w:themeColor="text1"/>
          <w:lang w:val="en-US"/>
        </w:rPr>
      </w:pPr>
      <w:r w:rsidRPr="003C6DBD">
        <w:rPr>
          <w:rFonts w:ascii="Helvetica" w:hAnsi="Helvetica"/>
          <w:b/>
          <w:bCs/>
          <w:color w:val="000000" w:themeColor="text1"/>
          <w:lang w:val="en-US"/>
        </w:rPr>
        <w:t>Supplementary figure 4:</w:t>
      </w:r>
      <w:r w:rsidRPr="003C6DBD">
        <w:rPr>
          <w:rFonts w:ascii="Helvetica" w:hAnsi="Helvetica"/>
          <w:color w:val="000000" w:themeColor="text1"/>
          <w:lang w:val="en-US"/>
        </w:rPr>
        <w:t xml:space="preserve"> Linear regression plots of activation (t-score) as function of the E-field in the subregional VOI’s M1</w:t>
      </w:r>
      <w:r w:rsidRPr="003C6DBD">
        <w:rPr>
          <w:rFonts w:ascii="Helvetica" w:hAnsi="Helvetica"/>
          <w:color w:val="000000" w:themeColor="text1"/>
          <w:vertAlign w:val="subscript"/>
          <w:lang w:val="en-US"/>
        </w:rPr>
        <w:t xml:space="preserve">superficial </w:t>
      </w:r>
      <w:r w:rsidRPr="003C6DBD">
        <w:rPr>
          <w:rFonts w:ascii="Helvetica" w:hAnsi="Helvetica"/>
          <w:i/>
          <w:iCs/>
          <w:color w:val="000000" w:themeColor="text1"/>
          <w:lang w:val="en-US"/>
        </w:rPr>
        <w:t>(A-D)</w:t>
      </w:r>
      <w:r w:rsidRPr="003C6DBD">
        <w:rPr>
          <w:rFonts w:ascii="Helvetica" w:hAnsi="Helvetica"/>
          <w:color w:val="000000" w:themeColor="text1"/>
          <w:lang w:val="en-US"/>
        </w:rPr>
        <w:t>, M1</w:t>
      </w:r>
      <w:r w:rsidRPr="003C6DBD">
        <w:rPr>
          <w:rFonts w:ascii="Helvetica" w:hAnsi="Helvetica"/>
          <w:color w:val="000000" w:themeColor="text1"/>
          <w:vertAlign w:val="subscript"/>
          <w:lang w:val="en-US"/>
        </w:rPr>
        <w:t>deep</w:t>
      </w:r>
      <w:r w:rsidRPr="003C6DBD">
        <w:rPr>
          <w:rFonts w:ascii="Helvetica" w:hAnsi="Helvetica"/>
          <w:i/>
          <w:iCs/>
          <w:color w:val="000000" w:themeColor="text1"/>
          <w:lang w:val="en-US"/>
        </w:rPr>
        <w:t>(E-H)</w:t>
      </w:r>
      <w:r w:rsidRPr="003C6DBD">
        <w:rPr>
          <w:rFonts w:ascii="Helvetica" w:hAnsi="Helvetica"/>
          <w:color w:val="000000" w:themeColor="text1"/>
          <w:lang w:val="en-US"/>
        </w:rPr>
        <w:t xml:space="preserve">, </w:t>
      </w:r>
      <w:proofErr w:type="spellStart"/>
      <w:r w:rsidRPr="003C6DBD">
        <w:rPr>
          <w:rFonts w:ascii="Helvetica" w:hAnsi="Helvetica"/>
          <w:color w:val="000000" w:themeColor="text1"/>
          <w:lang w:val="en-US"/>
        </w:rPr>
        <w:t>PMd</w:t>
      </w:r>
      <w:proofErr w:type="spellEnd"/>
      <w:r w:rsidRPr="003C6DBD">
        <w:rPr>
          <w:rFonts w:ascii="Helvetica" w:hAnsi="Helvetica"/>
          <w:i/>
          <w:iCs/>
          <w:color w:val="000000" w:themeColor="text1"/>
          <w:lang w:val="en-US"/>
        </w:rPr>
        <w:t>(I-L)</w:t>
      </w:r>
      <w:r w:rsidRPr="003C6DBD">
        <w:rPr>
          <w:rFonts w:ascii="Helvetica" w:hAnsi="Helvetica"/>
          <w:color w:val="000000" w:themeColor="text1"/>
          <w:lang w:val="en-US"/>
        </w:rPr>
        <w:t xml:space="preserve"> and E-field guided VOI DLPFC</w:t>
      </w:r>
      <w:r w:rsidRPr="003C6DBD">
        <w:rPr>
          <w:rFonts w:ascii="Helvetica" w:hAnsi="Helvetica"/>
          <w:color w:val="000000" w:themeColor="text1"/>
          <w:vertAlign w:val="subscript"/>
          <w:lang w:val="en-US"/>
        </w:rPr>
        <w:t>E-field</w:t>
      </w:r>
      <w:r w:rsidRPr="003C6DBD">
        <w:rPr>
          <w:rFonts w:ascii="Helvetica" w:hAnsi="Helvetica"/>
          <w:i/>
          <w:iCs/>
          <w:color w:val="000000" w:themeColor="text1"/>
          <w:lang w:val="en-US"/>
        </w:rPr>
        <w:t>(M-P)</w:t>
      </w:r>
      <w:r w:rsidRPr="003C6DBD">
        <w:rPr>
          <w:rFonts w:ascii="Helvetica" w:hAnsi="Helvetica"/>
          <w:color w:val="000000" w:themeColor="text1"/>
          <w:lang w:val="en-US"/>
        </w:rPr>
        <w:t xml:space="preserve">, at current intensities, 0.5-2.0 mA. E-field induced by 0.5mA </w:t>
      </w:r>
      <w:proofErr w:type="spellStart"/>
      <w:r w:rsidRPr="003C6DBD">
        <w:rPr>
          <w:rFonts w:ascii="Helvetica" w:hAnsi="Helvetica"/>
          <w:color w:val="000000" w:themeColor="text1"/>
          <w:lang w:val="en-US"/>
        </w:rPr>
        <w:t>tDCS</w:t>
      </w:r>
      <w:proofErr w:type="spellEnd"/>
      <w:r w:rsidRPr="003C6DBD">
        <w:rPr>
          <w:rFonts w:ascii="Helvetica" w:hAnsi="Helvetica"/>
          <w:color w:val="000000" w:themeColor="text1"/>
          <w:lang w:val="en-US"/>
        </w:rPr>
        <w:t xml:space="preserve"> in the deep M1 VOI shows linear correlation with the perfusion activity, R</w:t>
      </w:r>
      <w:r w:rsidRPr="003C6DBD">
        <w:rPr>
          <w:rFonts w:ascii="Helvetica" w:hAnsi="Helvetica"/>
          <w:color w:val="000000" w:themeColor="text1"/>
          <w:vertAlign w:val="superscript"/>
          <w:lang w:val="en-US"/>
        </w:rPr>
        <w:t>2</w:t>
      </w:r>
      <w:r w:rsidRPr="003C6DBD">
        <w:rPr>
          <w:rFonts w:ascii="Helvetica" w:hAnsi="Helvetica"/>
          <w:color w:val="000000" w:themeColor="text1"/>
          <w:lang w:val="en-US"/>
        </w:rPr>
        <w:t xml:space="preserve">= 0.571 </w:t>
      </w:r>
      <w:r w:rsidRPr="003C6DBD">
        <w:rPr>
          <w:rFonts w:ascii="Helvetica" w:hAnsi="Helvetica"/>
          <w:i/>
          <w:iCs/>
          <w:color w:val="000000" w:themeColor="text1"/>
          <w:lang w:val="en-US"/>
        </w:rPr>
        <w:t>p</w:t>
      </w:r>
      <w:r w:rsidRPr="003C6DBD">
        <w:rPr>
          <w:rFonts w:ascii="Helvetica" w:hAnsi="Helvetica"/>
          <w:color w:val="000000" w:themeColor="text1"/>
          <w:lang w:val="en-US"/>
        </w:rPr>
        <w:t xml:space="preserve">=0.018 </w:t>
      </w:r>
      <w:r w:rsidRPr="003C6DBD">
        <w:rPr>
          <w:rFonts w:ascii="Helvetica" w:hAnsi="Helvetica"/>
          <w:i/>
          <w:iCs/>
          <w:color w:val="000000" w:themeColor="text1"/>
          <w:lang w:val="en-US"/>
        </w:rPr>
        <w:t>(E)</w:t>
      </w:r>
      <w:r w:rsidRPr="003C6DBD">
        <w:rPr>
          <w:rFonts w:ascii="Helvetica" w:hAnsi="Helvetica"/>
          <w:color w:val="000000" w:themeColor="text1"/>
          <w:lang w:val="en-US"/>
        </w:rPr>
        <w:t>.</w:t>
      </w:r>
    </w:p>
    <w:p w14:paraId="40313214" w14:textId="77777777" w:rsidR="00D804FF" w:rsidRPr="003C6DBD" w:rsidRDefault="00D804FF" w:rsidP="00D804FF">
      <w:pPr>
        <w:spacing w:line="360" w:lineRule="auto"/>
        <w:jc w:val="both"/>
        <w:rPr>
          <w:rFonts w:ascii="Helvetica" w:hAnsi="Helvetica" w:cs="Arial"/>
          <w:color w:val="000000" w:themeColor="text1"/>
          <w:lang w:val="en-US"/>
        </w:rPr>
      </w:pPr>
    </w:p>
    <w:p w14:paraId="3A5AF71E" w14:textId="77777777" w:rsidR="00D804FF" w:rsidRPr="003C6DBD" w:rsidRDefault="00D804FF" w:rsidP="00D804FF">
      <w:pPr>
        <w:spacing w:line="360" w:lineRule="auto"/>
        <w:jc w:val="both"/>
        <w:rPr>
          <w:rFonts w:ascii="Helvetica" w:hAnsi="Helvetica" w:cs="Arial"/>
          <w:color w:val="000000" w:themeColor="text1"/>
          <w:lang w:val="en-US"/>
        </w:rPr>
      </w:pPr>
    </w:p>
    <w:p w14:paraId="4EC7092C" w14:textId="77777777" w:rsidR="00D804FF" w:rsidRPr="003C6DBD" w:rsidRDefault="00D804FF" w:rsidP="00D804FF">
      <w:pPr>
        <w:rPr>
          <w:rFonts w:ascii="Helvetica" w:hAnsi="Helvetica" w:cs="Arial"/>
          <w:color w:val="000000" w:themeColor="text1"/>
          <w:lang w:val="en-US"/>
        </w:rPr>
      </w:pPr>
      <w:r w:rsidRPr="003C6DBD">
        <w:rPr>
          <w:rFonts w:ascii="Helvetica" w:hAnsi="Helvetica" w:cs="Arial"/>
          <w:color w:val="000000" w:themeColor="text1"/>
          <w:lang w:val="en-US"/>
        </w:rPr>
        <w:br w:type="page"/>
      </w:r>
    </w:p>
    <w:p w14:paraId="44B7BD91" w14:textId="77777777"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color w:val="000000" w:themeColor="text1"/>
          <w:lang w:val="en-US"/>
        </w:rPr>
        <w:lastRenderedPageBreak/>
        <w:t>Supplementary figure 5:</w:t>
      </w:r>
    </w:p>
    <w:p w14:paraId="57F042AF" w14:textId="77777777"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noProof/>
          <w:color w:val="000000" w:themeColor="text1"/>
        </w:rPr>
        <w:drawing>
          <wp:inline distT="0" distB="0" distL="0" distR="0" wp14:anchorId="38AAB28D" wp14:editId="0790A4B1">
            <wp:extent cx="4724167" cy="3863705"/>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36230" cy="3873571"/>
                    </a:xfrm>
                    <a:prstGeom prst="rect">
                      <a:avLst/>
                    </a:prstGeom>
                  </pic:spPr>
                </pic:pic>
              </a:graphicData>
            </a:graphic>
          </wp:inline>
        </w:drawing>
      </w:r>
    </w:p>
    <w:p w14:paraId="373B19B4" w14:textId="77777777" w:rsidR="00D804FF" w:rsidRPr="003C6DBD" w:rsidRDefault="00D804FF" w:rsidP="00D804FF">
      <w:pPr>
        <w:spacing w:line="360" w:lineRule="auto"/>
        <w:jc w:val="both"/>
        <w:rPr>
          <w:rFonts w:ascii="Helvetica" w:hAnsi="Helvetica" w:cs="Arial"/>
          <w:color w:val="000000" w:themeColor="text1"/>
          <w:lang w:val="en-US"/>
        </w:rPr>
      </w:pPr>
    </w:p>
    <w:p w14:paraId="7155D7F8" w14:textId="41209323"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b/>
          <w:bCs/>
          <w:color w:val="000000" w:themeColor="text1"/>
          <w:lang w:val="en-US"/>
        </w:rPr>
        <w:t>Supplementary figure 5:</w:t>
      </w:r>
      <w:r w:rsidRPr="003C6DBD">
        <w:rPr>
          <w:rFonts w:ascii="Helvetica" w:hAnsi="Helvetica" w:cs="Arial"/>
          <w:color w:val="000000" w:themeColor="text1"/>
          <w:lang w:val="en-US"/>
        </w:rPr>
        <w:t xml:space="preserve"> Rating of somatosensory sensation during TDCS. Bar plot show average VAS-score rating of “tingling or pickling sensation” during all TDCS conditions (blue), and the corresponding level of discomfort (orange). VAS-score was rated on a 6-level scale ranging from “not at all” to “yes, very much”.  </w:t>
      </w:r>
    </w:p>
    <w:p w14:paraId="054B2D2C" w14:textId="77777777" w:rsidR="00D804FF" w:rsidRPr="003C6DBD" w:rsidRDefault="00D804FF" w:rsidP="00D804FF">
      <w:pPr>
        <w:rPr>
          <w:rFonts w:ascii="Helvetica" w:hAnsi="Helvetica" w:cs="Arial"/>
          <w:color w:val="000000" w:themeColor="text1"/>
          <w:lang w:val="en-US"/>
        </w:rPr>
      </w:pPr>
    </w:p>
    <w:p w14:paraId="3010B000" w14:textId="77777777" w:rsidR="00D804FF" w:rsidRPr="003C6DBD" w:rsidRDefault="00D804FF" w:rsidP="00D804FF">
      <w:pPr>
        <w:rPr>
          <w:rFonts w:ascii="Helvetica" w:hAnsi="Helvetica" w:cs="Arial"/>
          <w:color w:val="000000" w:themeColor="text1"/>
          <w:lang w:val="en-US"/>
        </w:rPr>
      </w:pPr>
      <w:r w:rsidRPr="003C6DBD">
        <w:rPr>
          <w:rFonts w:ascii="Helvetica" w:hAnsi="Helvetica" w:cs="Arial"/>
          <w:color w:val="000000" w:themeColor="text1"/>
          <w:lang w:val="en-US"/>
        </w:rPr>
        <w:br w:type="page"/>
      </w:r>
    </w:p>
    <w:p w14:paraId="0B3CC0A0" w14:textId="1B730F62" w:rsidR="00D804FF" w:rsidRPr="003C6DBD" w:rsidRDefault="00D804FF" w:rsidP="00D804FF">
      <w:pPr>
        <w:spacing w:line="360" w:lineRule="auto"/>
        <w:jc w:val="both"/>
        <w:rPr>
          <w:rFonts w:ascii="Helvetica" w:hAnsi="Helvetica" w:cs="Arial"/>
          <w:color w:val="000000" w:themeColor="text1"/>
          <w:lang w:val="en-US"/>
        </w:rPr>
      </w:pPr>
      <w:r w:rsidRPr="003C6DBD">
        <w:rPr>
          <w:rFonts w:ascii="Helvetica" w:hAnsi="Helvetica" w:cs="Arial"/>
          <w:color w:val="000000" w:themeColor="text1"/>
          <w:lang w:val="en-US"/>
        </w:rPr>
        <w:lastRenderedPageBreak/>
        <w:t xml:space="preserve">Supplementary </w:t>
      </w:r>
      <w:r w:rsidR="003B1382" w:rsidRPr="003C6DBD">
        <w:rPr>
          <w:rFonts w:ascii="Helvetica" w:hAnsi="Helvetica" w:cs="Arial"/>
          <w:color w:val="000000" w:themeColor="text1"/>
          <w:lang w:val="en-US"/>
        </w:rPr>
        <w:t>Figure</w:t>
      </w:r>
      <w:r w:rsidRPr="003C6DBD">
        <w:rPr>
          <w:rFonts w:ascii="Helvetica" w:hAnsi="Helvetica" w:cs="Arial"/>
          <w:color w:val="000000" w:themeColor="text1"/>
          <w:lang w:val="en-US"/>
        </w:rPr>
        <w:t xml:space="preserve"> </w:t>
      </w:r>
      <w:r w:rsidR="003B1382" w:rsidRPr="003C6DBD">
        <w:rPr>
          <w:rFonts w:ascii="Helvetica" w:hAnsi="Helvetica" w:cs="Arial"/>
          <w:color w:val="000000" w:themeColor="text1"/>
          <w:lang w:val="en-US"/>
        </w:rPr>
        <w:t>6</w:t>
      </w:r>
      <w:r w:rsidRPr="003C6DBD">
        <w:rPr>
          <w:rFonts w:ascii="Helvetica" w:hAnsi="Helvetica" w:cs="Arial"/>
          <w:color w:val="000000" w:themeColor="text1"/>
          <w:lang w:val="en-US"/>
        </w:rPr>
        <w:t>: VAS-score questionnaire:</w:t>
      </w:r>
    </w:p>
    <w:p w14:paraId="34B67EAF" w14:textId="77143EDA" w:rsidR="00D804FF" w:rsidRPr="003C6DBD" w:rsidRDefault="00D804FF" w:rsidP="00D804FF">
      <w:pPr>
        <w:rPr>
          <w:rFonts w:ascii="Helvetica" w:hAnsi="Helvetica"/>
          <w:color w:val="000000" w:themeColor="text1"/>
          <w:lang w:val="en-US"/>
        </w:rPr>
      </w:pPr>
      <w:r w:rsidRPr="003C6DBD">
        <w:rPr>
          <w:rFonts w:ascii="Helvetica" w:hAnsi="Helvetica"/>
          <w:b/>
          <w:bCs/>
          <w:noProof/>
          <w:color w:val="000000" w:themeColor="text1"/>
          <w:lang w:val="en-US"/>
        </w:rPr>
        <w:drawing>
          <wp:anchor distT="0" distB="0" distL="114300" distR="114300" simplePos="0" relativeHeight="251659264" behindDoc="0" locked="0" layoutInCell="1" allowOverlap="1" wp14:anchorId="530AC921" wp14:editId="5FD2E4FB">
            <wp:simplePos x="0" y="0"/>
            <wp:positionH relativeFrom="column">
              <wp:posOffset>3175</wp:posOffset>
            </wp:positionH>
            <wp:positionV relativeFrom="paragraph">
              <wp:posOffset>0</wp:posOffset>
            </wp:positionV>
            <wp:extent cx="6116320" cy="4707890"/>
            <wp:effectExtent l="0" t="0" r="5080" b="0"/>
            <wp:wrapTopAndBottom/>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116320" cy="4707890"/>
                    </a:xfrm>
                    <a:prstGeom prst="rect">
                      <a:avLst/>
                    </a:prstGeom>
                  </pic:spPr>
                </pic:pic>
              </a:graphicData>
            </a:graphic>
            <wp14:sizeRelH relativeFrom="page">
              <wp14:pctWidth>0</wp14:pctWidth>
            </wp14:sizeRelH>
            <wp14:sizeRelV relativeFrom="page">
              <wp14:pctHeight>0</wp14:pctHeight>
            </wp14:sizeRelV>
          </wp:anchor>
        </w:drawing>
      </w:r>
      <w:r w:rsidRPr="003C6DBD">
        <w:rPr>
          <w:rFonts w:ascii="Helvetica" w:hAnsi="Helvetica" w:cs="Arial"/>
          <w:b/>
          <w:bCs/>
          <w:color w:val="000000" w:themeColor="text1"/>
          <w:lang w:val="en-US"/>
        </w:rPr>
        <w:t xml:space="preserve">Supplementary </w:t>
      </w:r>
      <w:r w:rsidR="003B1382" w:rsidRPr="003C6DBD">
        <w:rPr>
          <w:rFonts w:ascii="Helvetica" w:hAnsi="Helvetica" w:cs="Arial"/>
          <w:b/>
          <w:bCs/>
          <w:color w:val="000000" w:themeColor="text1"/>
          <w:lang w:val="en-US"/>
        </w:rPr>
        <w:t>Figure 6</w:t>
      </w:r>
      <w:r w:rsidRPr="003C6DBD">
        <w:rPr>
          <w:rFonts w:ascii="Helvetica" w:hAnsi="Helvetica" w:cs="Arial"/>
          <w:color w:val="000000" w:themeColor="text1"/>
          <w:lang w:val="en-US"/>
        </w:rPr>
        <w:t xml:space="preserve">: </w:t>
      </w:r>
      <w:r w:rsidRPr="003C6DBD">
        <w:rPr>
          <w:rFonts w:ascii="Helvetica" w:hAnsi="Helvetica"/>
          <w:color w:val="000000" w:themeColor="text1"/>
          <w:lang w:val="en-US"/>
        </w:rPr>
        <w:t xml:space="preserve">Questionnaire was repeated after each block of TDCS, a total of four times. </w:t>
      </w:r>
    </w:p>
    <w:p w14:paraId="5826E121" w14:textId="77777777" w:rsidR="00D804FF" w:rsidRPr="003C6DBD" w:rsidRDefault="00D804FF" w:rsidP="00D804FF">
      <w:pPr>
        <w:rPr>
          <w:rFonts w:ascii="Helvetica" w:hAnsi="Helvetica"/>
          <w:color w:val="000000" w:themeColor="text1"/>
          <w:lang w:val="en-US"/>
        </w:rPr>
      </w:pPr>
    </w:p>
    <w:p w14:paraId="32E3FB70" w14:textId="796675E5" w:rsidR="00B912E8" w:rsidRPr="003C6DBD" w:rsidRDefault="00B912E8">
      <w:pPr>
        <w:rPr>
          <w:rFonts w:ascii="Helvetica" w:hAnsi="Helvetica"/>
          <w:color w:val="000000" w:themeColor="text1"/>
          <w:lang w:val="en-US"/>
        </w:rPr>
      </w:pPr>
      <w:r w:rsidRPr="003C6DBD">
        <w:rPr>
          <w:rFonts w:ascii="Helvetica" w:hAnsi="Helvetica"/>
          <w:color w:val="000000" w:themeColor="text1"/>
          <w:lang w:val="en-US"/>
        </w:rPr>
        <w:br w:type="page"/>
      </w:r>
    </w:p>
    <w:p w14:paraId="5119F930" w14:textId="755F05F9" w:rsidR="00B912E8" w:rsidRPr="003C6DBD" w:rsidRDefault="00B912E8" w:rsidP="00B912E8">
      <w:pPr>
        <w:spacing w:line="360" w:lineRule="auto"/>
        <w:jc w:val="both"/>
        <w:rPr>
          <w:rFonts w:ascii="Helvetica" w:hAnsi="Helvetica" w:cs="Arial"/>
          <w:color w:val="000000" w:themeColor="text1"/>
          <w:lang w:val="en-US"/>
        </w:rPr>
      </w:pPr>
      <w:r w:rsidRPr="003C6DBD">
        <w:rPr>
          <w:rFonts w:ascii="Helvetica" w:hAnsi="Helvetica" w:cs="Arial"/>
          <w:color w:val="000000" w:themeColor="text1"/>
          <w:lang w:val="en-US"/>
        </w:rPr>
        <w:lastRenderedPageBreak/>
        <w:t xml:space="preserve">Supplementary Table 1: </w:t>
      </w:r>
    </w:p>
    <w:tbl>
      <w:tblPr>
        <w:tblW w:w="11345" w:type="dxa"/>
        <w:jc w:val="center"/>
        <w:tblLook w:val="04A0" w:firstRow="1" w:lastRow="0" w:firstColumn="1" w:lastColumn="0" w:noHBand="0" w:noVBand="1"/>
      </w:tblPr>
      <w:tblGrid>
        <w:gridCol w:w="1260"/>
        <w:gridCol w:w="1260"/>
        <w:gridCol w:w="1261"/>
        <w:gridCol w:w="1260"/>
        <w:gridCol w:w="1262"/>
        <w:gridCol w:w="1260"/>
        <w:gridCol w:w="1261"/>
        <w:gridCol w:w="1260"/>
        <w:gridCol w:w="1261"/>
      </w:tblGrid>
      <w:tr w:rsidR="003C6DBD" w:rsidRPr="003C6DBD" w14:paraId="3BCB4E35" w14:textId="77777777" w:rsidTr="00AB3736">
        <w:trPr>
          <w:trHeight w:val="260"/>
          <w:jc w:val="center"/>
        </w:trPr>
        <w:tc>
          <w:tcPr>
            <w:tcW w:w="1260" w:type="dxa"/>
            <w:tcBorders>
              <w:top w:val="single" w:sz="4" w:space="0" w:color="auto"/>
              <w:left w:val="nil"/>
              <w:bottom w:val="nil"/>
              <w:right w:val="nil"/>
            </w:tcBorders>
            <w:shd w:val="clear" w:color="000000" w:fill="FFFFFF"/>
            <w:noWrap/>
            <w:vAlign w:val="bottom"/>
            <w:hideMark/>
          </w:tcPr>
          <w:p w14:paraId="19200831" w14:textId="7C550DE4" w:rsidR="00B912E8" w:rsidRPr="003C6DBD" w:rsidRDefault="00B912E8" w:rsidP="00AB3736">
            <w:pPr>
              <w:rPr>
                <w:rFonts w:ascii="Helvetica" w:hAnsi="Helvetica" w:cs="Calibri"/>
                <w:color w:val="000000" w:themeColor="text1"/>
                <w:lang w:val="da-DK" w:eastAsia="en-GB"/>
              </w:rPr>
            </w:pPr>
            <w:r w:rsidRPr="003C6DBD">
              <w:rPr>
                <w:rFonts w:ascii="Helvetica" w:hAnsi="Helvetica" w:cs="Calibri"/>
                <w:color w:val="000000" w:themeColor="text1"/>
                <w:lang w:eastAsia="en-GB"/>
              </w:rPr>
              <w:t xml:space="preserve">Table </w:t>
            </w:r>
            <w:r w:rsidRPr="003C6DBD">
              <w:rPr>
                <w:rFonts w:ascii="Helvetica" w:hAnsi="Helvetica" w:cs="Calibri"/>
                <w:color w:val="000000" w:themeColor="text1"/>
                <w:lang w:val="da-DK" w:eastAsia="en-GB"/>
              </w:rPr>
              <w:t>1</w:t>
            </w:r>
          </w:p>
        </w:tc>
        <w:tc>
          <w:tcPr>
            <w:tcW w:w="1260" w:type="dxa"/>
            <w:tcBorders>
              <w:top w:val="single" w:sz="4" w:space="0" w:color="auto"/>
              <w:left w:val="nil"/>
              <w:bottom w:val="nil"/>
              <w:right w:val="nil"/>
            </w:tcBorders>
            <w:shd w:val="clear" w:color="000000" w:fill="FFFFFF"/>
            <w:noWrap/>
            <w:vAlign w:val="bottom"/>
            <w:hideMark/>
          </w:tcPr>
          <w:p w14:paraId="7CE6F2AC"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single" w:sz="4" w:space="0" w:color="auto"/>
              <w:left w:val="nil"/>
              <w:bottom w:val="nil"/>
              <w:right w:val="nil"/>
            </w:tcBorders>
            <w:shd w:val="clear" w:color="000000" w:fill="FFFFFF"/>
            <w:noWrap/>
            <w:vAlign w:val="bottom"/>
            <w:hideMark/>
          </w:tcPr>
          <w:p w14:paraId="42F8BD80"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single" w:sz="4" w:space="0" w:color="auto"/>
              <w:left w:val="nil"/>
              <w:bottom w:val="nil"/>
              <w:right w:val="nil"/>
            </w:tcBorders>
            <w:shd w:val="clear" w:color="000000" w:fill="FFFFFF"/>
            <w:noWrap/>
            <w:vAlign w:val="bottom"/>
            <w:hideMark/>
          </w:tcPr>
          <w:p w14:paraId="5B8AABA5"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2" w:type="dxa"/>
            <w:tcBorders>
              <w:top w:val="single" w:sz="4" w:space="0" w:color="auto"/>
              <w:left w:val="nil"/>
              <w:bottom w:val="nil"/>
              <w:right w:val="nil"/>
            </w:tcBorders>
            <w:shd w:val="clear" w:color="000000" w:fill="FFFFFF"/>
            <w:noWrap/>
            <w:vAlign w:val="bottom"/>
            <w:hideMark/>
          </w:tcPr>
          <w:p w14:paraId="71E7B21A"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single" w:sz="4" w:space="0" w:color="auto"/>
              <w:left w:val="nil"/>
              <w:bottom w:val="nil"/>
              <w:right w:val="nil"/>
            </w:tcBorders>
            <w:shd w:val="clear" w:color="000000" w:fill="FFFFFF"/>
            <w:noWrap/>
            <w:vAlign w:val="bottom"/>
            <w:hideMark/>
          </w:tcPr>
          <w:p w14:paraId="60A8957E"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single" w:sz="4" w:space="0" w:color="auto"/>
              <w:left w:val="nil"/>
              <w:bottom w:val="nil"/>
              <w:right w:val="nil"/>
            </w:tcBorders>
            <w:shd w:val="clear" w:color="000000" w:fill="FFFFFF"/>
            <w:noWrap/>
            <w:vAlign w:val="bottom"/>
            <w:hideMark/>
          </w:tcPr>
          <w:p w14:paraId="3E7BDAF7"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single" w:sz="4" w:space="0" w:color="auto"/>
              <w:left w:val="nil"/>
              <w:bottom w:val="nil"/>
              <w:right w:val="nil"/>
            </w:tcBorders>
            <w:shd w:val="clear" w:color="000000" w:fill="FFFFFF"/>
            <w:noWrap/>
            <w:vAlign w:val="bottom"/>
            <w:hideMark/>
          </w:tcPr>
          <w:p w14:paraId="308C078E"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single" w:sz="4" w:space="0" w:color="auto"/>
              <w:left w:val="nil"/>
              <w:bottom w:val="nil"/>
              <w:right w:val="nil"/>
            </w:tcBorders>
            <w:shd w:val="clear" w:color="000000" w:fill="FFFFFF"/>
            <w:noWrap/>
            <w:vAlign w:val="bottom"/>
            <w:hideMark/>
          </w:tcPr>
          <w:p w14:paraId="070A938D"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w:t>
            </w:r>
          </w:p>
        </w:tc>
      </w:tr>
      <w:tr w:rsidR="003C6DBD" w:rsidRPr="003C6DBD" w14:paraId="7446FC25" w14:textId="77777777" w:rsidTr="00AB3736">
        <w:trPr>
          <w:trHeight w:val="260"/>
          <w:jc w:val="center"/>
        </w:trPr>
        <w:tc>
          <w:tcPr>
            <w:tcW w:w="6303" w:type="dxa"/>
            <w:gridSpan w:val="5"/>
            <w:tcBorders>
              <w:top w:val="nil"/>
              <w:left w:val="nil"/>
              <w:bottom w:val="single" w:sz="4" w:space="0" w:color="auto"/>
              <w:right w:val="nil"/>
            </w:tcBorders>
            <w:shd w:val="clear" w:color="000000" w:fill="FFFFFF"/>
            <w:noWrap/>
            <w:vAlign w:val="bottom"/>
            <w:hideMark/>
          </w:tcPr>
          <w:p w14:paraId="018413C3" w14:textId="17773E24" w:rsidR="00B912E8" w:rsidRPr="003C6DBD" w:rsidRDefault="00B912E8" w:rsidP="00AB3736">
            <w:pPr>
              <w:rPr>
                <w:rFonts w:ascii="Helvetica" w:hAnsi="Helvetica" w:cs="Calibri"/>
                <w:color w:val="000000" w:themeColor="text1"/>
                <w:lang w:val="en-US" w:eastAsia="en-GB"/>
              </w:rPr>
            </w:pPr>
            <w:r w:rsidRPr="003C6DBD">
              <w:rPr>
                <w:rFonts w:ascii="Helvetica" w:hAnsi="Helvetica" w:cs="Calibri"/>
                <w:color w:val="000000" w:themeColor="text1"/>
                <w:lang w:val="en-US" w:eastAsia="en-GB"/>
              </w:rPr>
              <w:t>Experience of tingling compared between TDCS intensities</w:t>
            </w:r>
          </w:p>
        </w:tc>
        <w:tc>
          <w:tcPr>
            <w:tcW w:w="1260" w:type="dxa"/>
            <w:tcBorders>
              <w:top w:val="nil"/>
              <w:left w:val="nil"/>
              <w:bottom w:val="single" w:sz="4" w:space="0" w:color="auto"/>
              <w:right w:val="nil"/>
            </w:tcBorders>
            <w:shd w:val="clear" w:color="000000" w:fill="FFFFFF"/>
            <w:noWrap/>
            <w:vAlign w:val="bottom"/>
            <w:hideMark/>
          </w:tcPr>
          <w:p w14:paraId="42F6BE69" w14:textId="77777777" w:rsidR="00B912E8" w:rsidRPr="003C6DBD" w:rsidRDefault="00B912E8" w:rsidP="00AB3736">
            <w:pPr>
              <w:rPr>
                <w:rFonts w:ascii="Helvetica" w:hAnsi="Helvetica" w:cs="Calibri"/>
                <w:color w:val="000000" w:themeColor="text1"/>
                <w:lang w:val="en-US" w:eastAsia="en-GB"/>
              </w:rPr>
            </w:pPr>
            <w:r w:rsidRPr="003C6DBD">
              <w:rPr>
                <w:rFonts w:ascii="Helvetica" w:hAnsi="Helvetica" w:cs="Calibri"/>
                <w:color w:val="000000" w:themeColor="text1"/>
                <w:lang w:val="en-US" w:eastAsia="en-GB"/>
              </w:rPr>
              <w:t> </w:t>
            </w:r>
          </w:p>
        </w:tc>
        <w:tc>
          <w:tcPr>
            <w:tcW w:w="1261" w:type="dxa"/>
            <w:tcBorders>
              <w:top w:val="nil"/>
              <w:left w:val="nil"/>
              <w:bottom w:val="single" w:sz="4" w:space="0" w:color="auto"/>
              <w:right w:val="nil"/>
            </w:tcBorders>
            <w:shd w:val="clear" w:color="000000" w:fill="FFFFFF"/>
            <w:noWrap/>
            <w:vAlign w:val="bottom"/>
            <w:hideMark/>
          </w:tcPr>
          <w:p w14:paraId="0EF3A02F" w14:textId="77777777" w:rsidR="00B912E8" w:rsidRPr="003C6DBD" w:rsidRDefault="00B912E8" w:rsidP="00AB3736">
            <w:pPr>
              <w:rPr>
                <w:rFonts w:ascii="Helvetica" w:hAnsi="Helvetica" w:cs="Calibri"/>
                <w:color w:val="000000" w:themeColor="text1"/>
                <w:lang w:val="en-US" w:eastAsia="en-GB"/>
              </w:rPr>
            </w:pPr>
            <w:r w:rsidRPr="003C6DBD">
              <w:rPr>
                <w:rFonts w:ascii="Helvetica" w:hAnsi="Helvetica" w:cs="Calibri"/>
                <w:color w:val="000000" w:themeColor="text1"/>
                <w:lang w:val="en-US" w:eastAsia="en-GB"/>
              </w:rPr>
              <w:t> </w:t>
            </w:r>
          </w:p>
        </w:tc>
        <w:tc>
          <w:tcPr>
            <w:tcW w:w="1260" w:type="dxa"/>
            <w:tcBorders>
              <w:top w:val="nil"/>
              <w:left w:val="nil"/>
              <w:bottom w:val="single" w:sz="4" w:space="0" w:color="auto"/>
              <w:right w:val="nil"/>
            </w:tcBorders>
            <w:shd w:val="clear" w:color="000000" w:fill="FFFFFF"/>
            <w:noWrap/>
            <w:vAlign w:val="bottom"/>
            <w:hideMark/>
          </w:tcPr>
          <w:p w14:paraId="3354E871" w14:textId="77777777" w:rsidR="00B912E8" w:rsidRPr="003C6DBD" w:rsidRDefault="00B912E8" w:rsidP="00AB3736">
            <w:pPr>
              <w:rPr>
                <w:rFonts w:ascii="Helvetica" w:hAnsi="Helvetica" w:cs="Calibri"/>
                <w:color w:val="000000" w:themeColor="text1"/>
                <w:lang w:val="en-US" w:eastAsia="en-GB"/>
              </w:rPr>
            </w:pPr>
            <w:r w:rsidRPr="003C6DBD">
              <w:rPr>
                <w:rFonts w:ascii="Helvetica" w:hAnsi="Helvetica" w:cs="Calibri"/>
                <w:color w:val="000000" w:themeColor="text1"/>
                <w:lang w:val="en-US" w:eastAsia="en-GB"/>
              </w:rPr>
              <w:t> </w:t>
            </w:r>
          </w:p>
        </w:tc>
        <w:tc>
          <w:tcPr>
            <w:tcW w:w="1261" w:type="dxa"/>
            <w:tcBorders>
              <w:top w:val="nil"/>
              <w:left w:val="nil"/>
              <w:bottom w:val="single" w:sz="4" w:space="0" w:color="auto"/>
              <w:right w:val="nil"/>
            </w:tcBorders>
            <w:shd w:val="clear" w:color="000000" w:fill="FFFFFF"/>
            <w:noWrap/>
            <w:vAlign w:val="bottom"/>
            <w:hideMark/>
          </w:tcPr>
          <w:p w14:paraId="5B6607D2" w14:textId="77777777" w:rsidR="00B912E8" w:rsidRPr="003C6DBD" w:rsidRDefault="00B912E8" w:rsidP="00AB3736">
            <w:pPr>
              <w:rPr>
                <w:rFonts w:ascii="Helvetica" w:hAnsi="Helvetica" w:cs="Calibri"/>
                <w:color w:val="000000" w:themeColor="text1"/>
                <w:lang w:val="en-US" w:eastAsia="en-GB"/>
              </w:rPr>
            </w:pPr>
            <w:r w:rsidRPr="003C6DBD">
              <w:rPr>
                <w:rFonts w:ascii="Helvetica" w:hAnsi="Helvetica" w:cs="Calibri"/>
                <w:color w:val="000000" w:themeColor="text1"/>
                <w:lang w:val="en-US" w:eastAsia="en-GB"/>
              </w:rPr>
              <w:t> </w:t>
            </w:r>
          </w:p>
        </w:tc>
      </w:tr>
      <w:tr w:rsidR="003C6DBD" w:rsidRPr="003C6DBD" w14:paraId="541D306A" w14:textId="77777777" w:rsidTr="00AB3736">
        <w:trPr>
          <w:trHeight w:val="260"/>
          <w:jc w:val="center"/>
        </w:trPr>
        <w:tc>
          <w:tcPr>
            <w:tcW w:w="1260" w:type="dxa"/>
            <w:tcBorders>
              <w:top w:val="nil"/>
              <w:left w:val="nil"/>
              <w:bottom w:val="single" w:sz="4" w:space="0" w:color="auto"/>
              <w:right w:val="nil"/>
            </w:tcBorders>
            <w:shd w:val="clear" w:color="000000" w:fill="FFFFFF"/>
            <w:noWrap/>
            <w:vAlign w:val="bottom"/>
            <w:hideMark/>
          </w:tcPr>
          <w:p w14:paraId="6244171E" w14:textId="77777777" w:rsidR="00B912E8" w:rsidRPr="003C6DBD" w:rsidRDefault="00B912E8" w:rsidP="00AB3736">
            <w:pPr>
              <w:rPr>
                <w:rFonts w:ascii="Helvetica" w:hAnsi="Helvetica" w:cs="Calibri"/>
                <w:color w:val="000000" w:themeColor="text1"/>
                <w:lang w:val="en-US" w:eastAsia="en-GB"/>
              </w:rPr>
            </w:pPr>
            <w:r w:rsidRPr="003C6DBD">
              <w:rPr>
                <w:rFonts w:ascii="Helvetica" w:hAnsi="Helvetica" w:cs="Calibri"/>
                <w:color w:val="000000" w:themeColor="text1"/>
                <w:lang w:val="en-US" w:eastAsia="en-GB"/>
              </w:rPr>
              <w:t> </w:t>
            </w:r>
          </w:p>
        </w:tc>
        <w:tc>
          <w:tcPr>
            <w:tcW w:w="2521" w:type="dxa"/>
            <w:gridSpan w:val="2"/>
            <w:tcBorders>
              <w:top w:val="single" w:sz="4" w:space="0" w:color="auto"/>
              <w:left w:val="nil"/>
              <w:bottom w:val="single" w:sz="4" w:space="0" w:color="auto"/>
              <w:right w:val="nil"/>
            </w:tcBorders>
            <w:shd w:val="clear" w:color="000000" w:fill="FFFFFF"/>
            <w:noWrap/>
            <w:vAlign w:val="bottom"/>
            <w:hideMark/>
          </w:tcPr>
          <w:p w14:paraId="6937C784"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0.5 mA</w:t>
            </w:r>
          </w:p>
        </w:tc>
        <w:tc>
          <w:tcPr>
            <w:tcW w:w="2522" w:type="dxa"/>
            <w:gridSpan w:val="2"/>
            <w:tcBorders>
              <w:top w:val="single" w:sz="4" w:space="0" w:color="auto"/>
              <w:left w:val="nil"/>
              <w:bottom w:val="single" w:sz="4" w:space="0" w:color="auto"/>
              <w:right w:val="nil"/>
            </w:tcBorders>
            <w:shd w:val="clear" w:color="000000" w:fill="FFFFFF"/>
            <w:noWrap/>
            <w:vAlign w:val="bottom"/>
            <w:hideMark/>
          </w:tcPr>
          <w:p w14:paraId="1BEE0931"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xml:space="preserve">1.0 mA </w:t>
            </w:r>
          </w:p>
        </w:tc>
        <w:tc>
          <w:tcPr>
            <w:tcW w:w="2521" w:type="dxa"/>
            <w:gridSpan w:val="2"/>
            <w:tcBorders>
              <w:top w:val="single" w:sz="4" w:space="0" w:color="auto"/>
              <w:left w:val="nil"/>
              <w:bottom w:val="single" w:sz="4" w:space="0" w:color="auto"/>
              <w:right w:val="nil"/>
            </w:tcBorders>
            <w:shd w:val="clear" w:color="000000" w:fill="FFFFFF"/>
            <w:noWrap/>
            <w:vAlign w:val="bottom"/>
            <w:hideMark/>
          </w:tcPr>
          <w:p w14:paraId="15E36868"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xml:space="preserve">1.5 mA </w:t>
            </w:r>
          </w:p>
        </w:tc>
        <w:tc>
          <w:tcPr>
            <w:tcW w:w="2521" w:type="dxa"/>
            <w:gridSpan w:val="2"/>
            <w:tcBorders>
              <w:top w:val="single" w:sz="4" w:space="0" w:color="auto"/>
              <w:left w:val="nil"/>
              <w:bottom w:val="single" w:sz="4" w:space="0" w:color="auto"/>
              <w:right w:val="nil"/>
            </w:tcBorders>
            <w:shd w:val="clear" w:color="000000" w:fill="FFFFFF"/>
            <w:noWrap/>
            <w:vAlign w:val="bottom"/>
            <w:hideMark/>
          </w:tcPr>
          <w:p w14:paraId="50291BD2"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2.0 mA</w:t>
            </w:r>
          </w:p>
        </w:tc>
      </w:tr>
      <w:tr w:rsidR="003C6DBD" w:rsidRPr="003C6DBD" w14:paraId="4D9ACE8C" w14:textId="77777777" w:rsidTr="00AB3736">
        <w:trPr>
          <w:trHeight w:val="260"/>
          <w:jc w:val="center"/>
        </w:trPr>
        <w:tc>
          <w:tcPr>
            <w:tcW w:w="1260" w:type="dxa"/>
            <w:tcBorders>
              <w:top w:val="nil"/>
              <w:left w:val="nil"/>
              <w:bottom w:val="nil"/>
              <w:right w:val="nil"/>
            </w:tcBorders>
            <w:shd w:val="clear" w:color="000000" w:fill="FFFFFF"/>
            <w:noWrap/>
            <w:vAlign w:val="bottom"/>
            <w:hideMark/>
          </w:tcPr>
          <w:p w14:paraId="7ED72646"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FFFFFF"/>
            <w:noWrap/>
            <w:vAlign w:val="bottom"/>
            <w:hideMark/>
          </w:tcPr>
          <w:p w14:paraId="1EE44E7B"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Z-score</w:t>
            </w:r>
          </w:p>
        </w:tc>
        <w:tc>
          <w:tcPr>
            <w:tcW w:w="1261" w:type="dxa"/>
            <w:tcBorders>
              <w:top w:val="nil"/>
              <w:left w:val="nil"/>
              <w:bottom w:val="nil"/>
              <w:right w:val="nil"/>
            </w:tcBorders>
            <w:shd w:val="clear" w:color="000000" w:fill="FFFFFF"/>
            <w:noWrap/>
            <w:vAlign w:val="bottom"/>
            <w:hideMark/>
          </w:tcPr>
          <w:p w14:paraId="37A392AF"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p-value</w:t>
            </w:r>
          </w:p>
        </w:tc>
        <w:tc>
          <w:tcPr>
            <w:tcW w:w="1260" w:type="dxa"/>
            <w:tcBorders>
              <w:top w:val="nil"/>
              <w:left w:val="nil"/>
              <w:bottom w:val="nil"/>
              <w:right w:val="nil"/>
            </w:tcBorders>
            <w:shd w:val="clear" w:color="000000" w:fill="FFFFFF"/>
            <w:noWrap/>
            <w:vAlign w:val="bottom"/>
            <w:hideMark/>
          </w:tcPr>
          <w:p w14:paraId="193F20CA"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Z-score</w:t>
            </w:r>
          </w:p>
        </w:tc>
        <w:tc>
          <w:tcPr>
            <w:tcW w:w="1262" w:type="dxa"/>
            <w:tcBorders>
              <w:top w:val="nil"/>
              <w:left w:val="nil"/>
              <w:bottom w:val="nil"/>
              <w:right w:val="nil"/>
            </w:tcBorders>
            <w:shd w:val="clear" w:color="000000" w:fill="FFFFFF"/>
            <w:noWrap/>
            <w:vAlign w:val="bottom"/>
            <w:hideMark/>
          </w:tcPr>
          <w:p w14:paraId="25D9975D"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p-value</w:t>
            </w:r>
          </w:p>
        </w:tc>
        <w:tc>
          <w:tcPr>
            <w:tcW w:w="1260" w:type="dxa"/>
            <w:tcBorders>
              <w:top w:val="nil"/>
              <w:left w:val="nil"/>
              <w:bottom w:val="nil"/>
              <w:right w:val="nil"/>
            </w:tcBorders>
            <w:shd w:val="clear" w:color="000000" w:fill="FFFFFF"/>
            <w:noWrap/>
            <w:vAlign w:val="bottom"/>
            <w:hideMark/>
          </w:tcPr>
          <w:p w14:paraId="2790842F"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Z-score</w:t>
            </w:r>
          </w:p>
        </w:tc>
        <w:tc>
          <w:tcPr>
            <w:tcW w:w="1261" w:type="dxa"/>
            <w:tcBorders>
              <w:top w:val="nil"/>
              <w:left w:val="nil"/>
              <w:bottom w:val="nil"/>
              <w:right w:val="nil"/>
            </w:tcBorders>
            <w:shd w:val="clear" w:color="000000" w:fill="FFFFFF"/>
            <w:noWrap/>
            <w:vAlign w:val="bottom"/>
            <w:hideMark/>
          </w:tcPr>
          <w:p w14:paraId="6E2BB7CB"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p-value</w:t>
            </w:r>
          </w:p>
        </w:tc>
        <w:tc>
          <w:tcPr>
            <w:tcW w:w="1260" w:type="dxa"/>
            <w:tcBorders>
              <w:top w:val="nil"/>
              <w:left w:val="nil"/>
              <w:bottom w:val="nil"/>
              <w:right w:val="nil"/>
            </w:tcBorders>
            <w:shd w:val="clear" w:color="000000" w:fill="FFFFFF"/>
            <w:noWrap/>
            <w:vAlign w:val="bottom"/>
            <w:hideMark/>
          </w:tcPr>
          <w:p w14:paraId="1E36D3D8"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Z-score</w:t>
            </w:r>
          </w:p>
        </w:tc>
        <w:tc>
          <w:tcPr>
            <w:tcW w:w="1261" w:type="dxa"/>
            <w:tcBorders>
              <w:top w:val="nil"/>
              <w:left w:val="nil"/>
              <w:bottom w:val="nil"/>
              <w:right w:val="nil"/>
            </w:tcBorders>
            <w:shd w:val="clear" w:color="000000" w:fill="FFFFFF"/>
            <w:noWrap/>
            <w:vAlign w:val="bottom"/>
            <w:hideMark/>
          </w:tcPr>
          <w:p w14:paraId="3869CAEE"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p-value</w:t>
            </w:r>
          </w:p>
        </w:tc>
      </w:tr>
      <w:tr w:rsidR="003C6DBD" w:rsidRPr="003C6DBD" w14:paraId="77E9A078" w14:textId="77777777" w:rsidTr="00AB3736">
        <w:trPr>
          <w:trHeight w:val="260"/>
          <w:jc w:val="center"/>
        </w:trPr>
        <w:tc>
          <w:tcPr>
            <w:tcW w:w="1260" w:type="dxa"/>
            <w:tcBorders>
              <w:top w:val="nil"/>
              <w:left w:val="nil"/>
              <w:bottom w:val="nil"/>
              <w:right w:val="nil"/>
            </w:tcBorders>
            <w:shd w:val="clear" w:color="000000" w:fill="FFFFFF"/>
            <w:noWrap/>
            <w:vAlign w:val="bottom"/>
            <w:hideMark/>
          </w:tcPr>
          <w:p w14:paraId="46F2B2A4"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0.5 mA</w:t>
            </w:r>
          </w:p>
        </w:tc>
        <w:tc>
          <w:tcPr>
            <w:tcW w:w="1260" w:type="dxa"/>
            <w:tcBorders>
              <w:top w:val="nil"/>
              <w:left w:val="nil"/>
              <w:bottom w:val="nil"/>
              <w:right w:val="nil"/>
            </w:tcBorders>
            <w:shd w:val="clear" w:color="000000" w:fill="D9D9D9"/>
            <w:noWrap/>
            <w:vAlign w:val="bottom"/>
            <w:hideMark/>
          </w:tcPr>
          <w:p w14:paraId="67BC18FD"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nil"/>
              <w:left w:val="nil"/>
              <w:bottom w:val="nil"/>
              <w:right w:val="nil"/>
            </w:tcBorders>
            <w:shd w:val="clear" w:color="000000" w:fill="D9D9D9"/>
            <w:noWrap/>
            <w:vAlign w:val="bottom"/>
            <w:hideMark/>
          </w:tcPr>
          <w:p w14:paraId="361792D4"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FFFFFF"/>
            <w:noWrap/>
            <w:vAlign w:val="bottom"/>
            <w:hideMark/>
          </w:tcPr>
          <w:p w14:paraId="41689E97"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-2.000</w:t>
            </w:r>
          </w:p>
        </w:tc>
        <w:tc>
          <w:tcPr>
            <w:tcW w:w="1262" w:type="dxa"/>
            <w:tcBorders>
              <w:top w:val="nil"/>
              <w:left w:val="nil"/>
              <w:bottom w:val="nil"/>
              <w:right w:val="nil"/>
            </w:tcBorders>
            <w:shd w:val="clear" w:color="000000" w:fill="FFFFFF"/>
            <w:noWrap/>
            <w:vAlign w:val="bottom"/>
            <w:hideMark/>
          </w:tcPr>
          <w:p w14:paraId="6598DCF2"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0.046*</w:t>
            </w:r>
          </w:p>
        </w:tc>
        <w:tc>
          <w:tcPr>
            <w:tcW w:w="1260" w:type="dxa"/>
            <w:tcBorders>
              <w:top w:val="nil"/>
              <w:left w:val="nil"/>
              <w:bottom w:val="nil"/>
              <w:right w:val="nil"/>
            </w:tcBorders>
            <w:shd w:val="clear" w:color="000000" w:fill="FFFFFF"/>
            <w:noWrap/>
            <w:vAlign w:val="bottom"/>
            <w:hideMark/>
          </w:tcPr>
          <w:p w14:paraId="346124CE"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-1.604</w:t>
            </w:r>
          </w:p>
        </w:tc>
        <w:tc>
          <w:tcPr>
            <w:tcW w:w="1261" w:type="dxa"/>
            <w:tcBorders>
              <w:top w:val="nil"/>
              <w:left w:val="nil"/>
              <w:bottom w:val="nil"/>
              <w:right w:val="nil"/>
            </w:tcBorders>
            <w:shd w:val="clear" w:color="000000" w:fill="FFFFFF"/>
            <w:noWrap/>
            <w:vAlign w:val="bottom"/>
            <w:hideMark/>
          </w:tcPr>
          <w:p w14:paraId="0DCDB41A"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0.109</w:t>
            </w:r>
          </w:p>
        </w:tc>
        <w:tc>
          <w:tcPr>
            <w:tcW w:w="1260" w:type="dxa"/>
            <w:tcBorders>
              <w:top w:val="nil"/>
              <w:left w:val="nil"/>
              <w:bottom w:val="nil"/>
              <w:right w:val="nil"/>
            </w:tcBorders>
            <w:shd w:val="clear" w:color="000000" w:fill="FFFFFF"/>
            <w:noWrap/>
            <w:vAlign w:val="bottom"/>
            <w:hideMark/>
          </w:tcPr>
          <w:p w14:paraId="278304F1"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-2.041</w:t>
            </w:r>
          </w:p>
        </w:tc>
        <w:tc>
          <w:tcPr>
            <w:tcW w:w="1261" w:type="dxa"/>
            <w:tcBorders>
              <w:top w:val="nil"/>
              <w:left w:val="nil"/>
              <w:bottom w:val="nil"/>
              <w:right w:val="nil"/>
            </w:tcBorders>
            <w:shd w:val="clear" w:color="000000" w:fill="FFFFFF"/>
            <w:noWrap/>
            <w:vAlign w:val="bottom"/>
            <w:hideMark/>
          </w:tcPr>
          <w:p w14:paraId="68614D91"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0.041*</w:t>
            </w:r>
          </w:p>
        </w:tc>
      </w:tr>
      <w:tr w:rsidR="003C6DBD" w:rsidRPr="003C6DBD" w14:paraId="753E7E53" w14:textId="77777777" w:rsidTr="00AB3736">
        <w:trPr>
          <w:trHeight w:val="260"/>
          <w:jc w:val="center"/>
        </w:trPr>
        <w:tc>
          <w:tcPr>
            <w:tcW w:w="1260" w:type="dxa"/>
            <w:tcBorders>
              <w:top w:val="nil"/>
              <w:left w:val="nil"/>
              <w:bottom w:val="nil"/>
              <w:right w:val="nil"/>
            </w:tcBorders>
            <w:shd w:val="clear" w:color="000000" w:fill="FFFFFF"/>
            <w:noWrap/>
            <w:vAlign w:val="bottom"/>
            <w:hideMark/>
          </w:tcPr>
          <w:p w14:paraId="58BE11E8"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xml:space="preserve">1.0 mA </w:t>
            </w:r>
          </w:p>
        </w:tc>
        <w:tc>
          <w:tcPr>
            <w:tcW w:w="1260" w:type="dxa"/>
            <w:tcBorders>
              <w:top w:val="nil"/>
              <w:left w:val="nil"/>
              <w:bottom w:val="nil"/>
              <w:right w:val="nil"/>
            </w:tcBorders>
            <w:shd w:val="clear" w:color="000000" w:fill="D9D9D9"/>
            <w:noWrap/>
            <w:vAlign w:val="bottom"/>
            <w:hideMark/>
          </w:tcPr>
          <w:p w14:paraId="0EC1C3EE"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nil"/>
              <w:left w:val="nil"/>
              <w:bottom w:val="nil"/>
              <w:right w:val="nil"/>
            </w:tcBorders>
            <w:shd w:val="clear" w:color="000000" w:fill="D9D9D9"/>
            <w:noWrap/>
            <w:vAlign w:val="bottom"/>
            <w:hideMark/>
          </w:tcPr>
          <w:p w14:paraId="3A864259"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D9D9D9"/>
            <w:noWrap/>
            <w:vAlign w:val="bottom"/>
            <w:hideMark/>
          </w:tcPr>
          <w:p w14:paraId="4BAC35B6"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2" w:type="dxa"/>
            <w:tcBorders>
              <w:top w:val="nil"/>
              <w:left w:val="nil"/>
              <w:bottom w:val="nil"/>
              <w:right w:val="nil"/>
            </w:tcBorders>
            <w:shd w:val="clear" w:color="000000" w:fill="D9D9D9"/>
            <w:noWrap/>
            <w:vAlign w:val="bottom"/>
            <w:hideMark/>
          </w:tcPr>
          <w:p w14:paraId="289557BE"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FFFFFF"/>
            <w:noWrap/>
            <w:vAlign w:val="bottom"/>
            <w:hideMark/>
          </w:tcPr>
          <w:p w14:paraId="0453D896"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-0.333</w:t>
            </w:r>
          </w:p>
        </w:tc>
        <w:tc>
          <w:tcPr>
            <w:tcW w:w="1261" w:type="dxa"/>
            <w:tcBorders>
              <w:top w:val="nil"/>
              <w:left w:val="nil"/>
              <w:bottom w:val="nil"/>
              <w:right w:val="nil"/>
            </w:tcBorders>
            <w:shd w:val="clear" w:color="000000" w:fill="FFFFFF"/>
            <w:noWrap/>
            <w:vAlign w:val="bottom"/>
            <w:hideMark/>
          </w:tcPr>
          <w:p w14:paraId="1FA8ADB0"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0.739</w:t>
            </w:r>
          </w:p>
        </w:tc>
        <w:tc>
          <w:tcPr>
            <w:tcW w:w="1260" w:type="dxa"/>
            <w:tcBorders>
              <w:top w:val="nil"/>
              <w:left w:val="nil"/>
              <w:bottom w:val="nil"/>
              <w:right w:val="nil"/>
            </w:tcBorders>
            <w:shd w:val="clear" w:color="000000" w:fill="FFFFFF"/>
            <w:noWrap/>
            <w:vAlign w:val="bottom"/>
            <w:hideMark/>
          </w:tcPr>
          <w:p w14:paraId="251BFF72"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-1.604</w:t>
            </w:r>
          </w:p>
        </w:tc>
        <w:tc>
          <w:tcPr>
            <w:tcW w:w="1261" w:type="dxa"/>
            <w:tcBorders>
              <w:top w:val="nil"/>
              <w:left w:val="nil"/>
              <w:bottom w:val="nil"/>
              <w:right w:val="nil"/>
            </w:tcBorders>
            <w:shd w:val="clear" w:color="000000" w:fill="FFFFFF"/>
            <w:noWrap/>
            <w:vAlign w:val="bottom"/>
            <w:hideMark/>
          </w:tcPr>
          <w:p w14:paraId="3E238F55"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0.109</w:t>
            </w:r>
          </w:p>
        </w:tc>
      </w:tr>
      <w:tr w:rsidR="003C6DBD" w:rsidRPr="003C6DBD" w14:paraId="4DA4CF0B" w14:textId="77777777" w:rsidTr="00AB3736">
        <w:trPr>
          <w:trHeight w:val="260"/>
          <w:jc w:val="center"/>
        </w:trPr>
        <w:tc>
          <w:tcPr>
            <w:tcW w:w="1260" w:type="dxa"/>
            <w:tcBorders>
              <w:top w:val="nil"/>
              <w:left w:val="nil"/>
              <w:bottom w:val="nil"/>
              <w:right w:val="nil"/>
            </w:tcBorders>
            <w:shd w:val="clear" w:color="000000" w:fill="FFFFFF"/>
            <w:noWrap/>
            <w:vAlign w:val="bottom"/>
            <w:hideMark/>
          </w:tcPr>
          <w:p w14:paraId="79813D2C"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 xml:space="preserve">1.5 mA </w:t>
            </w:r>
          </w:p>
        </w:tc>
        <w:tc>
          <w:tcPr>
            <w:tcW w:w="1260" w:type="dxa"/>
            <w:tcBorders>
              <w:top w:val="nil"/>
              <w:left w:val="nil"/>
              <w:bottom w:val="nil"/>
              <w:right w:val="nil"/>
            </w:tcBorders>
            <w:shd w:val="clear" w:color="000000" w:fill="D9D9D9"/>
            <w:noWrap/>
            <w:vAlign w:val="bottom"/>
            <w:hideMark/>
          </w:tcPr>
          <w:p w14:paraId="6E14A71C"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nil"/>
              <w:left w:val="nil"/>
              <w:bottom w:val="nil"/>
              <w:right w:val="nil"/>
            </w:tcBorders>
            <w:shd w:val="clear" w:color="000000" w:fill="D9D9D9"/>
            <w:noWrap/>
            <w:vAlign w:val="bottom"/>
            <w:hideMark/>
          </w:tcPr>
          <w:p w14:paraId="295BCD31"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D9D9D9"/>
            <w:noWrap/>
            <w:vAlign w:val="bottom"/>
            <w:hideMark/>
          </w:tcPr>
          <w:p w14:paraId="41DB998E"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2" w:type="dxa"/>
            <w:tcBorders>
              <w:top w:val="nil"/>
              <w:left w:val="nil"/>
              <w:bottom w:val="nil"/>
              <w:right w:val="nil"/>
            </w:tcBorders>
            <w:shd w:val="clear" w:color="000000" w:fill="D9D9D9"/>
            <w:noWrap/>
            <w:vAlign w:val="bottom"/>
            <w:hideMark/>
          </w:tcPr>
          <w:p w14:paraId="209EC4BD"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D9D9D9"/>
            <w:noWrap/>
            <w:vAlign w:val="bottom"/>
            <w:hideMark/>
          </w:tcPr>
          <w:p w14:paraId="05EE4C92"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nil"/>
              <w:left w:val="nil"/>
              <w:bottom w:val="nil"/>
              <w:right w:val="nil"/>
            </w:tcBorders>
            <w:shd w:val="clear" w:color="000000" w:fill="D9D9D9"/>
            <w:noWrap/>
            <w:vAlign w:val="bottom"/>
            <w:hideMark/>
          </w:tcPr>
          <w:p w14:paraId="21FC4293"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FFFFFF"/>
            <w:noWrap/>
            <w:vAlign w:val="bottom"/>
            <w:hideMark/>
          </w:tcPr>
          <w:p w14:paraId="6592CA75"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-1.414</w:t>
            </w:r>
          </w:p>
        </w:tc>
        <w:tc>
          <w:tcPr>
            <w:tcW w:w="1261" w:type="dxa"/>
            <w:tcBorders>
              <w:top w:val="nil"/>
              <w:left w:val="nil"/>
              <w:bottom w:val="nil"/>
              <w:right w:val="nil"/>
            </w:tcBorders>
            <w:shd w:val="clear" w:color="000000" w:fill="FFFFFF"/>
            <w:noWrap/>
            <w:vAlign w:val="bottom"/>
            <w:hideMark/>
          </w:tcPr>
          <w:p w14:paraId="4B6DC82A"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0.157</w:t>
            </w:r>
          </w:p>
        </w:tc>
      </w:tr>
      <w:tr w:rsidR="003C6DBD" w:rsidRPr="003C6DBD" w14:paraId="44F92F40" w14:textId="77777777" w:rsidTr="00AB3736">
        <w:trPr>
          <w:trHeight w:val="260"/>
          <w:jc w:val="center"/>
        </w:trPr>
        <w:tc>
          <w:tcPr>
            <w:tcW w:w="1260" w:type="dxa"/>
            <w:tcBorders>
              <w:top w:val="nil"/>
              <w:left w:val="nil"/>
              <w:bottom w:val="nil"/>
              <w:right w:val="nil"/>
            </w:tcBorders>
            <w:shd w:val="clear" w:color="000000" w:fill="FFFFFF"/>
            <w:noWrap/>
            <w:vAlign w:val="bottom"/>
            <w:hideMark/>
          </w:tcPr>
          <w:p w14:paraId="46A7C664" w14:textId="77777777" w:rsidR="00B912E8" w:rsidRPr="003C6DBD" w:rsidRDefault="00B912E8" w:rsidP="00AB3736">
            <w:pPr>
              <w:rPr>
                <w:rFonts w:ascii="Helvetica" w:hAnsi="Helvetica" w:cs="Calibri"/>
                <w:color w:val="000000" w:themeColor="text1"/>
                <w:lang w:eastAsia="en-GB"/>
              </w:rPr>
            </w:pPr>
            <w:r w:rsidRPr="003C6DBD">
              <w:rPr>
                <w:rFonts w:ascii="Helvetica" w:hAnsi="Helvetica" w:cs="Calibri"/>
                <w:color w:val="000000" w:themeColor="text1"/>
                <w:lang w:eastAsia="en-GB"/>
              </w:rPr>
              <w:t>2.0 mA</w:t>
            </w:r>
          </w:p>
        </w:tc>
        <w:tc>
          <w:tcPr>
            <w:tcW w:w="1260" w:type="dxa"/>
            <w:tcBorders>
              <w:top w:val="nil"/>
              <w:left w:val="nil"/>
              <w:bottom w:val="nil"/>
              <w:right w:val="nil"/>
            </w:tcBorders>
            <w:shd w:val="clear" w:color="000000" w:fill="D9D9D9"/>
            <w:noWrap/>
            <w:vAlign w:val="bottom"/>
            <w:hideMark/>
          </w:tcPr>
          <w:p w14:paraId="2D72CBA9"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nil"/>
              <w:left w:val="nil"/>
              <w:bottom w:val="nil"/>
              <w:right w:val="nil"/>
            </w:tcBorders>
            <w:shd w:val="clear" w:color="000000" w:fill="D9D9D9"/>
            <w:noWrap/>
            <w:vAlign w:val="bottom"/>
            <w:hideMark/>
          </w:tcPr>
          <w:p w14:paraId="27FBEA5D"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D9D9D9"/>
            <w:noWrap/>
            <w:vAlign w:val="bottom"/>
            <w:hideMark/>
          </w:tcPr>
          <w:p w14:paraId="065AAEB5"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2" w:type="dxa"/>
            <w:tcBorders>
              <w:top w:val="nil"/>
              <w:left w:val="nil"/>
              <w:bottom w:val="nil"/>
              <w:right w:val="nil"/>
            </w:tcBorders>
            <w:shd w:val="clear" w:color="000000" w:fill="D9D9D9"/>
            <w:noWrap/>
            <w:vAlign w:val="bottom"/>
            <w:hideMark/>
          </w:tcPr>
          <w:p w14:paraId="5FECFCB7"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D9D9D9"/>
            <w:noWrap/>
            <w:vAlign w:val="bottom"/>
            <w:hideMark/>
          </w:tcPr>
          <w:p w14:paraId="21A7E3B4"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nil"/>
              <w:left w:val="nil"/>
              <w:bottom w:val="nil"/>
              <w:right w:val="nil"/>
            </w:tcBorders>
            <w:shd w:val="clear" w:color="000000" w:fill="D9D9D9"/>
            <w:noWrap/>
            <w:vAlign w:val="bottom"/>
            <w:hideMark/>
          </w:tcPr>
          <w:p w14:paraId="40D74775"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0" w:type="dxa"/>
            <w:tcBorders>
              <w:top w:val="nil"/>
              <w:left w:val="nil"/>
              <w:bottom w:val="nil"/>
              <w:right w:val="nil"/>
            </w:tcBorders>
            <w:shd w:val="clear" w:color="000000" w:fill="D9D9D9"/>
            <w:noWrap/>
            <w:vAlign w:val="bottom"/>
            <w:hideMark/>
          </w:tcPr>
          <w:p w14:paraId="1DDD2FE5"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c>
          <w:tcPr>
            <w:tcW w:w="1261" w:type="dxa"/>
            <w:tcBorders>
              <w:top w:val="nil"/>
              <w:left w:val="nil"/>
              <w:bottom w:val="nil"/>
              <w:right w:val="nil"/>
            </w:tcBorders>
            <w:shd w:val="clear" w:color="000000" w:fill="D9D9D9"/>
            <w:noWrap/>
            <w:vAlign w:val="bottom"/>
            <w:hideMark/>
          </w:tcPr>
          <w:p w14:paraId="4983163E" w14:textId="77777777" w:rsidR="00B912E8" w:rsidRPr="003C6DBD" w:rsidRDefault="00B912E8" w:rsidP="00AB3736">
            <w:pPr>
              <w:jc w:val="center"/>
              <w:rPr>
                <w:rFonts w:ascii="Helvetica" w:hAnsi="Helvetica" w:cs="Calibri"/>
                <w:color w:val="000000" w:themeColor="text1"/>
                <w:lang w:eastAsia="en-GB"/>
              </w:rPr>
            </w:pPr>
            <w:r w:rsidRPr="003C6DBD">
              <w:rPr>
                <w:rFonts w:ascii="Helvetica" w:hAnsi="Helvetica" w:cs="Calibri"/>
                <w:color w:val="000000" w:themeColor="text1"/>
                <w:lang w:eastAsia="en-GB"/>
              </w:rPr>
              <w:t> </w:t>
            </w:r>
          </w:p>
        </w:tc>
      </w:tr>
      <w:tr w:rsidR="003C6DBD" w:rsidRPr="003C6DBD" w14:paraId="52BD7B17" w14:textId="77777777" w:rsidTr="00AB3736">
        <w:trPr>
          <w:trHeight w:val="260"/>
          <w:jc w:val="center"/>
        </w:trPr>
        <w:tc>
          <w:tcPr>
            <w:tcW w:w="8824" w:type="dxa"/>
            <w:gridSpan w:val="7"/>
            <w:tcBorders>
              <w:top w:val="single" w:sz="4" w:space="0" w:color="auto"/>
              <w:left w:val="nil"/>
              <w:bottom w:val="single" w:sz="4" w:space="0" w:color="auto"/>
              <w:right w:val="nil"/>
            </w:tcBorders>
            <w:shd w:val="clear" w:color="000000" w:fill="FFFFFF"/>
            <w:noWrap/>
            <w:vAlign w:val="bottom"/>
            <w:hideMark/>
          </w:tcPr>
          <w:p w14:paraId="26968537" w14:textId="77777777" w:rsidR="00B912E8" w:rsidRPr="003C6DBD" w:rsidRDefault="00B912E8" w:rsidP="00AB3736">
            <w:pPr>
              <w:rPr>
                <w:rFonts w:ascii="Helvetica" w:hAnsi="Helvetica" w:cs="Calibri"/>
                <w:color w:val="000000" w:themeColor="text1"/>
                <w:lang w:val="en-US" w:eastAsia="en-GB"/>
              </w:rPr>
            </w:pPr>
            <w:r w:rsidRPr="003C6DBD">
              <w:rPr>
                <w:rFonts w:ascii="Helvetica" w:hAnsi="Helvetica" w:cs="Calibri"/>
                <w:color w:val="000000" w:themeColor="text1"/>
                <w:lang w:val="en-US" w:eastAsia="en-GB"/>
              </w:rPr>
              <w:t>* significance level after Bonferroni correction  at p ≤ 0.008 (alpha = 0.05)</w:t>
            </w:r>
          </w:p>
        </w:tc>
        <w:tc>
          <w:tcPr>
            <w:tcW w:w="1260" w:type="dxa"/>
            <w:tcBorders>
              <w:top w:val="single" w:sz="4" w:space="0" w:color="auto"/>
              <w:left w:val="nil"/>
              <w:bottom w:val="single" w:sz="4" w:space="0" w:color="auto"/>
              <w:right w:val="nil"/>
            </w:tcBorders>
            <w:shd w:val="clear" w:color="000000" w:fill="FFFFFF"/>
            <w:noWrap/>
            <w:vAlign w:val="bottom"/>
            <w:hideMark/>
          </w:tcPr>
          <w:p w14:paraId="77815616" w14:textId="77777777" w:rsidR="00B912E8" w:rsidRPr="003C6DBD" w:rsidRDefault="00B912E8" w:rsidP="00AB3736">
            <w:pPr>
              <w:rPr>
                <w:rFonts w:ascii="Helvetica" w:hAnsi="Helvetica" w:cs="Calibri"/>
                <w:color w:val="000000" w:themeColor="text1"/>
                <w:lang w:val="en-US" w:eastAsia="en-GB"/>
              </w:rPr>
            </w:pPr>
            <w:r w:rsidRPr="003C6DBD">
              <w:rPr>
                <w:rFonts w:ascii="Helvetica" w:hAnsi="Helvetica" w:cs="Calibri"/>
                <w:color w:val="000000" w:themeColor="text1"/>
                <w:lang w:val="en-US" w:eastAsia="en-GB"/>
              </w:rPr>
              <w:t> </w:t>
            </w:r>
          </w:p>
        </w:tc>
        <w:tc>
          <w:tcPr>
            <w:tcW w:w="1261" w:type="dxa"/>
            <w:tcBorders>
              <w:top w:val="single" w:sz="4" w:space="0" w:color="auto"/>
              <w:left w:val="nil"/>
              <w:bottom w:val="single" w:sz="4" w:space="0" w:color="auto"/>
              <w:right w:val="nil"/>
            </w:tcBorders>
            <w:shd w:val="clear" w:color="000000" w:fill="FFFFFF"/>
            <w:noWrap/>
            <w:vAlign w:val="bottom"/>
            <w:hideMark/>
          </w:tcPr>
          <w:p w14:paraId="37D0724B" w14:textId="77777777" w:rsidR="00B912E8" w:rsidRPr="003C6DBD" w:rsidRDefault="00B912E8" w:rsidP="00AB3736">
            <w:pPr>
              <w:rPr>
                <w:rFonts w:ascii="Helvetica" w:hAnsi="Helvetica" w:cs="Calibri"/>
                <w:color w:val="000000" w:themeColor="text1"/>
                <w:lang w:val="en-US" w:eastAsia="en-GB"/>
              </w:rPr>
            </w:pPr>
            <w:r w:rsidRPr="003C6DBD">
              <w:rPr>
                <w:rFonts w:ascii="Helvetica" w:hAnsi="Helvetica" w:cs="Calibri"/>
                <w:color w:val="000000" w:themeColor="text1"/>
                <w:lang w:val="en-US" w:eastAsia="en-GB"/>
              </w:rPr>
              <w:t> </w:t>
            </w:r>
          </w:p>
        </w:tc>
      </w:tr>
    </w:tbl>
    <w:p w14:paraId="6AC5CC9F" w14:textId="4147E879" w:rsidR="00B912E8" w:rsidRPr="003C6DBD" w:rsidRDefault="00B912E8">
      <w:pPr>
        <w:rPr>
          <w:rFonts w:ascii="Helvetica" w:hAnsi="Helvetica"/>
          <w:color w:val="000000" w:themeColor="text1"/>
          <w:lang w:val="en-US"/>
        </w:rPr>
      </w:pPr>
      <w:r w:rsidRPr="003C6DBD">
        <w:rPr>
          <w:rFonts w:ascii="Helvetica" w:hAnsi="Helvetica"/>
          <w:color w:val="000000" w:themeColor="text1"/>
          <w:lang w:val="en-US"/>
        </w:rPr>
        <w:br w:type="page"/>
      </w:r>
    </w:p>
    <w:p w14:paraId="7EAE3568" w14:textId="77777777" w:rsidR="003B1382" w:rsidRPr="003C6DBD" w:rsidRDefault="003B1382">
      <w:pPr>
        <w:rPr>
          <w:rFonts w:ascii="Helvetica" w:hAnsi="Helvetica"/>
          <w:color w:val="000000" w:themeColor="text1"/>
          <w:lang w:val="en-US"/>
        </w:rPr>
      </w:pPr>
    </w:p>
    <w:p w14:paraId="70A6B714" w14:textId="77777777" w:rsidR="006E4107" w:rsidRPr="003C6DBD" w:rsidRDefault="006E4107">
      <w:pPr>
        <w:rPr>
          <w:rFonts w:ascii="Helvetica" w:hAnsi="Helvetica"/>
          <w:color w:val="000000" w:themeColor="text1"/>
          <w:lang w:val="en-US"/>
        </w:rPr>
      </w:pPr>
    </w:p>
    <w:p w14:paraId="09462FBC" w14:textId="77777777" w:rsidR="006E4107" w:rsidRPr="003C6DBD" w:rsidRDefault="006E4107" w:rsidP="006E4107">
      <w:pPr>
        <w:rPr>
          <w:rFonts w:ascii="Helvetica" w:hAnsi="Helvetica"/>
          <w:color w:val="000000" w:themeColor="text1"/>
          <w:lang w:val="en-US"/>
        </w:rPr>
      </w:pPr>
      <w:r w:rsidRPr="003C6DBD">
        <w:rPr>
          <w:rFonts w:ascii="Helvetica" w:hAnsi="Helvetica"/>
          <w:color w:val="000000" w:themeColor="text1"/>
          <w:lang w:val="en-US"/>
        </w:rPr>
        <w:t>Appendix A</w:t>
      </w:r>
    </w:p>
    <w:p w14:paraId="64A1FBB0" w14:textId="77777777" w:rsidR="006E4107" w:rsidRPr="003C6DBD" w:rsidRDefault="006E4107" w:rsidP="006E4107">
      <w:pPr>
        <w:rPr>
          <w:rFonts w:ascii="Helvetica" w:hAnsi="Helvetica"/>
          <w:color w:val="000000" w:themeColor="text1"/>
          <w:lang w:val="en-US"/>
        </w:rPr>
      </w:pPr>
    </w:p>
    <w:p w14:paraId="35417836" w14:textId="77777777" w:rsidR="006E4107" w:rsidRPr="003C6DBD" w:rsidRDefault="006E4107" w:rsidP="006E4107">
      <w:pPr>
        <w:spacing w:line="360" w:lineRule="auto"/>
        <w:jc w:val="both"/>
        <w:rPr>
          <w:rFonts w:ascii="Helvetica" w:hAnsi="Helvetica" w:cs="Arial"/>
          <w:color w:val="000000" w:themeColor="text1"/>
          <w:lang w:val="en-US"/>
        </w:rPr>
      </w:pPr>
      <w:r w:rsidRPr="003C6DBD">
        <w:rPr>
          <w:rFonts w:ascii="Helvetica" w:hAnsi="Helvetica" w:cs="Arial"/>
          <w:color w:val="000000" w:themeColor="text1"/>
          <w:lang w:val="en-US"/>
        </w:rPr>
        <w:t>Methods:</w:t>
      </w:r>
    </w:p>
    <w:p w14:paraId="2BAD9153" w14:textId="77777777" w:rsidR="006E4107" w:rsidRPr="003C6DBD" w:rsidRDefault="006E4107" w:rsidP="006E4107">
      <w:pPr>
        <w:spacing w:line="360" w:lineRule="auto"/>
        <w:jc w:val="both"/>
        <w:rPr>
          <w:rFonts w:ascii="Helvetica" w:hAnsi="Helvetica" w:cs="Arial"/>
          <w:b/>
          <w:bCs/>
          <w:color w:val="000000" w:themeColor="text1"/>
          <w:lang w:val="en-US"/>
        </w:rPr>
      </w:pPr>
      <w:r w:rsidRPr="003C6DBD">
        <w:rPr>
          <w:rFonts w:ascii="Helvetica" w:hAnsi="Helvetica" w:cs="Arial"/>
          <w:b/>
          <w:bCs/>
          <w:color w:val="000000" w:themeColor="text1"/>
          <w:lang w:val="en-US"/>
        </w:rPr>
        <w:t>Pre-processing of ASL-MRI data</w:t>
      </w:r>
    </w:p>
    <w:p w14:paraId="3CACF199" w14:textId="77777777" w:rsidR="006E4107" w:rsidRPr="003C6DBD" w:rsidRDefault="006E4107" w:rsidP="006E4107">
      <w:pPr>
        <w:spacing w:line="360" w:lineRule="auto"/>
        <w:jc w:val="both"/>
        <w:rPr>
          <w:rFonts w:ascii="Helvetica" w:hAnsi="Helvetica" w:cs="Arial"/>
          <w:color w:val="000000" w:themeColor="text1"/>
          <w:lang w:val="en-US"/>
        </w:rPr>
      </w:pPr>
      <w:r w:rsidRPr="003C6DBD">
        <w:rPr>
          <w:rFonts w:ascii="Helvetica" w:hAnsi="Helvetica" w:cs="Arial"/>
          <w:color w:val="000000" w:themeColor="text1"/>
          <w:lang w:val="en-US"/>
        </w:rPr>
        <w:t xml:space="preserve">Data were first corrected for motion using FSL </w:t>
      </w:r>
      <w:proofErr w:type="spellStart"/>
      <w:r w:rsidRPr="003C6DBD">
        <w:rPr>
          <w:rFonts w:ascii="Helvetica" w:hAnsi="Helvetica" w:cs="Arial"/>
          <w:color w:val="000000" w:themeColor="text1"/>
          <w:lang w:val="en-US"/>
        </w:rPr>
        <w:t>mcflirt</w:t>
      </w:r>
      <w:proofErr w:type="spellEnd"/>
      <w:r w:rsidRPr="003C6DBD">
        <w:rPr>
          <w:rFonts w:ascii="Helvetica" w:hAnsi="Helvetica" w:cs="Arial"/>
          <w:color w:val="000000" w:themeColor="text1"/>
          <w:lang w:val="en-US"/>
        </w:rPr>
        <w:t xml:space="preserve">, followed by non-linear warping (i.e. “normalization”) to the MNI T1 template. To achieve accurate normalization, the control EPI without background suppression acquired before the ASL images (M0 image) was affinely registered to the individual T1 structural image (FSL flirt), and the T1 structural image was non-linearly registered to the MNI T1 template (FSL </w:t>
      </w:r>
      <w:proofErr w:type="spellStart"/>
      <w:r w:rsidRPr="003C6DBD">
        <w:rPr>
          <w:rFonts w:ascii="Helvetica" w:hAnsi="Helvetica" w:cs="Arial"/>
          <w:color w:val="000000" w:themeColor="text1"/>
          <w:lang w:val="en-US"/>
        </w:rPr>
        <w:t>fnirt</w:t>
      </w:r>
      <w:proofErr w:type="spellEnd"/>
      <w:r w:rsidRPr="003C6DBD">
        <w:rPr>
          <w:rFonts w:ascii="Helvetica" w:hAnsi="Helvetica" w:cs="Arial"/>
          <w:color w:val="000000" w:themeColor="text1"/>
          <w:lang w:val="en-US"/>
        </w:rPr>
        <w:t>). The combined registration steps were then applied to the motion corrected ASL data. We used the M0 image, as the ASL images were acquired with background suppression and had too little contrast to allow for a reliable registration to the T1 image. The motion corrected and normalized ASL images were spatially smoothed with a Gaussian kernel of 8 mm full width half maximum and temporally high pass filtered with a cutoff of 100 seconds.</w:t>
      </w:r>
    </w:p>
    <w:p w14:paraId="51BD4942" w14:textId="77777777" w:rsidR="006E4107" w:rsidRPr="003C6DBD" w:rsidRDefault="006E4107" w:rsidP="006E4107">
      <w:pPr>
        <w:spacing w:line="360" w:lineRule="auto"/>
        <w:jc w:val="both"/>
        <w:rPr>
          <w:rFonts w:ascii="Helvetica" w:hAnsi="Helvetica" w:cs="Arial"/>
          <w:color w:val="000000" w:themeColor="text1"/>
          <w:lang w:val="en-US"/>
        </w:rPr>
      </w:pPr>
    </w:p>
    <w:p w14:paraId="65B0382C" w14:textId="77777777" w:rsidR="006E4107" w:rsidRPr="003C6DBD" w:rsidRDefault="006E4107" w:rsidP="006E4107">
      <w:pPr>
        <w:spacing w:line="360" w:lineRule="auto"/>
        <w:jc w:val="both"/>
        <w:rPr>
          <w:rFonts w:ascii="Helvetica" w:hAnsi="Helvetica"/>
          <w:b/>
          <w:bCs/>
          <w:iCs/>
          <w:color w:val="000000" w:themeColor="text1"/>
          <w:lang w:val="en-US"/>
        </w:rPr>
      </w:pPr>
      <w:r w:rsidRPr="003C6DBD">
        <w:rPr>
          <w:rFonts w:ascii="Helvetica" w:hAnsi="Helvetica"/>
          <w:b/>
          <w:bCs/>
          <w:iCs/>
          <w:color w:val="000000" w:themeColor="text1"/>
          <w:lang w:val="en-US"/>
        </w:rPr>
        <w:t>First level analysis with GLM</w:t>
      </w:r>
    </w:p>
    <w:p w14:paraId="3467EFF7" w14:textId="77777777" w:rsidR="006E4107" w:rsidRPr="003C6DBD" w:rsidRDefault="006E4107" w:rsidP="006E4107">
      <w:pPr>
        <w:spacing w:line="360" w:lineRule="auto"/>
        <w:jc w:val="both"/>
        <w:rPr>
          <w:rFonts w:ascii="Helvetica" w:hAnsi="Helvetica"/>
          <w:color w:val="000000" w:themeColor="text1"/>
          <w:lang w:val="en-US"/>
        </w:rPr>
      </w:pPr>
      <w:r w:rsidRPr="003C6DBD">
        <w:rPr>
          <w:rFonts w:ascii="Helvetica" w:hAnsi="Helvetica"/>
          <w:color w:val="000000" w:themeColor="text1"/>
          <w:lang w:val="en-US" w:eastAsia="en-GB"/>
        </w:rPr>
        <w:t xml:space="preserve">ASL-MRI data were analyzed using FSL FEAT. </w:t>
      </w:r>
      <w:r w:rsidRPr="003C6DBD">
        <w:rPr>
          <w:rFonts w:ascii="Helvetica" w:hAnsi="Helvetica"/>
          <w:iCs/>
          <w:color w:val="000000" w:themeColor="text1"/>
          <w:lang w:val="en-US"/>
        </w:rPr>
        <w:t xml:space="preserve">For each participant, we did six separate first level analyses, one for each of the four TDCS runs and two movement runs. Voxel-wise changes in </w:t>
      </w:r>
      <w:proofErr w:type="spellStart"/>
      <w:r w:rsidRPr="003C6DBD">
        <w:rPr>
          <w:rFonts w:ascii="Helvetica" w:hAnsi="Helvetica"/>
          <w:iCs/>
          <w:color w:val="000000" w:themeColor="text1"/>
          <w:lang w:val="en-US"/>
        </w:rPr>
        <w:t>rCBF</w:t>
      </w:r>
      <w:proofErr w:type="spellEnd"/>
      <w:r w:rsidRPr="003C6DBD">
        <w:rPr>
          <w:rFonts w:ascii="Helvetica" w:hAnsi="Helvetica"/>
          <w:iCs/>
          <w:color w:val="000000" w:themeColor="text1"/>
          <w:lang w:val="en-US"/>
        </w:rPr>
        <w:t xml:space="preserve"> were analyzed by fitting a General Linear Model (GLM) to the time series of each ASL-MRI run/block modelling either one of the four TDCS intensities or the movement sequences. The GLM featured three regressors. The first regressor modelled perfusion baseline, by alternating intensity variation between control and tag images. The second regressor modelled the BOLD activation, with different block regressors for the TDCS and movement runs. For the TDCS runs, the second block regressor modelled the alternation between when stimulation was on and off (initial 4 min baseline followed by interleaved 38 seconds ON, 58 seconds OFF). For the movement runs, the second block regressor modelled alternation between finger-tapping and rest (initial 32 seconds </w:t>
      </w:r>
      <w:proofErr w:type="spellStart"/>
      <w:r w:rsidRPr="003C6DBD">
        <w:rPr>
          <w:rFonts w:ascii="Helvetica" w:hAnsi="Helvetica"/>
          <w:iCs/>
          <w:color w:val="000000" w:themeColor="text1"/>
          <w:lang w:val="en-US"/>
        </w:rPr>
        <w:t>fingertapping</w:t>
      </w:r>
      <w:proofErr w:type="spellEnd"/>
      <w:r w:rsidRPr="003C6DBD">
        <w:rPr>
          <w:rFonts w:ascii="Helvetica" w:hAnsi="Helvetica"/>
          <w:iCs/>
          <w:color w:val="000000" w:themeColor="text1"/>
          <w:lang w:val="en-US"/>
        </w:rPr>
        <w:t xml:space="preserve"> followed by 32 seconds rest). The second regressor</w:t>
      </w:r>
      <w:r w:rsidRPr="003C6DBD">
        <w:rPr>
          <w:rFonts w:ascii="Helvetica" w:hAnsi="Helvetica"/>
          <w:color w:val="000000" w:themeColor="text1"/>
          <w:lang w:val="en-US"/>
        </w:rPr>
        <w:t xml:space="preserve"> for the BOLD activation was then modelled as the convolution of the block regressor with a standard hemodynamic response function </w:t>
      </w:r>
      <w:r w:rsidRPr="003C6DBD">
        <w:rPr>
          <w:rFonts w:ascii="Helvetica" w:hAnsi="Helvetica"/>
          <w:color w:val="000000" w:themeColor="text1"/>
          <w:lang w:val="en-US"/>
        </w:rPr>
        <w:lastRenderedPageBreak/>
        <w:t xml:space="preserve">(HRF). The third regressor modelled the perfusion change, by multiplying the regressor for perfusion baseline (tag-control) and TDCS- or movement-induced BOLD activation. </w:t>
      </w:r>
    </w:p>
    <w:p w14:paraId="126D9380" w14:textId="77777777" w:rsidR="006E4107" w:rsidRPr="003C6DBD" w:rsidRDefault="006E4107" w:rsidP="006E4107">
      <w:pPr>
        <w:spacing w:line="360" w:lineRule="auto"/>
        <w:jc w:val="both"/>
        <w:rPr>
          <w:rFonts w:ascii="Helvetica" w:hAnsi="Helvetica" w:cs="Arial"/>
          <w:iCs/>
          <w:color w:val="000000" w:themeColor="text1"/>
          <w:lang w:val="en-US"/>
        </w:rPr>
      </w:pPr>
    </w:p>
    <w:p w14:paraId="10C054E4" w14:textId="77777777" w:rsidR="006E4107" w:rsidRPr="003C6DBD" w:rsidRDefault="006E4107" w:rsidP="006E4107">
      <w:pPr>
        <w:spacing w:line="360" w:lineRule="auto"/>
        <w:jc w:val="both"/>
        <w:rPr>
          <w:rFonts w:ascii="Helvetica" w:hAnsi="Helvetica"/>
          <w:color w:val="000000" w:themeColor="text1"/>
          <w:lang w:val="en-US"/>
        </w:rPr>
      </w:pPr>
      <w:r w:rsidRPr="003C6DBD">
        <w:rPr>
          <w:rFonts w:ascii="Helvetica" w:hAnsi="Helvetica"/>
          <w:b/>
          <w:bCs/>
          <w:color w:val="000000" w:themeColor="text1"/>
          <w:lang w:val="en-US"/>
        </w:rPr>
        <w:t>E-field simulations:</w:t>
      </w:r>
    </w:p>
    <w:p w14:paraId="3D857BEE" w14:textId="49591424" w:rsidR="006E4107" w:rsidRPr="003C6DBD" w:rsidRDefault="006E4107" w:rsidP="006E4107">
      <w:pPr>
        <w:spacing w:line="360" w:lineRule="auto"/>
        <w:jc w:val="both"/>
        <w:rPr>
          <w:rFonts w:ascii="Helvetica" w:hAnsi="Helvetica"/>
          <w:color w:val="000000" w:themeColor="text1"/>
          <w:lang w:val="en-US"/>
        </w:rPr>
      </w:pPr>
      <w:r w:rsidRPr="003C6DBD">
        <w:rPr>
          <w:rFonts w:ascii="Helvetica" w:hAnsi="Helvetica"/>
          <w:color w:val="000000" w:themeColor="text1"/>
          <w:lang w:val="en-US"/>
        </w:rPr>
        <w:t xml:space="preserve">We used the T1 and T2 scans to simulate the individually induced electric field, at each applied intensities for the M1-SO montage, using </w:t>
      </w:r>
      <w:proofErr w:type="spellStart"/>
      <w:r w:rsidRPr="003C6DBD">
        <w:rPr>
          <w:rFonts w:ascii="Helvetica" w:hAnsi="Helvetica"/>
          <w:color w:val="000000" w:themeColor="text1"/>
          <w:lang w:val="en-US"/>
        </w:rPr>
        <w:t>SimNIBS</w:t>
      </w:r>
      <w:proofErr w:type="spellEnd"/>
      <w:r w:rsidRPr="003C6DBD">
        <w:rPr>
          <w:rFonts w:ascii="Helvetica" w:hAnsi="Helvetica"/>
          <w:color w:val="000000" w:themeColor="text1"/>
          <w:lang w:val="en-US"/>
        </w:rPr>
        <w:t xml:space="preserve"> v.3.2.2 </w:t>
      </w:r>
      <w:r w:rsidRPr="003C6DBD">
        <w:rPr>
          <w:rFonts w:ascii="Helvetica" w:hAnsi="Helvetica"/>
          <w:color w:val="000000" w:themeColor="text1"/>
          <w:lang w:val="en-US"/>
        </w:rPr>
        <w:fldChar w:fldCharType="begin" w:fldLock="1"/>
      </w:r>
      <w:r w:rsidRPr="003C6DBD">
        <w:rPr>
          <w:rFonts w:ascii="Helvetica" w:hAnsi="Helvetica"/>
          <w:color w:val="000000" w:themeColor="text1"/>
          <w:lang w:val="en-US"/>
        </w:rPr>
        <w:instrText>ADDIN CSL_CITATION {"citationItems":[{"id":"ITEM-1","itemData":{"DOI":"10.1088/1741-2552/ab41ba","ISSN":"17412552","PMID":"31487695","abstract":"Objective. Transcranial magnetic stimulation (TMS) and transcranial electric stimulation (TES) modulate brain activity non-invasively by generating electric fields either by electromagnetic induction or by injecting currents via skin electrodes. Numerical simulations based on anatomically detailed head models of the TMS and TES electric fields can help us to understand and optimize the spatial stimulation pattern in the brain. However, most realistic simulations are still slow, and the role of anatomical fidelity on simulation accuracy has not been evaluated in detail so far. Approach. We present and validate a new implementation of the finite element method (FEM) for TMS and TES that is based on modern algorithms and libraries. We also evaluate the convergence of the simulations and estimate errors stemming from numerical and modelling aspects. Main results. Comparisons with analytical solutions for spherical phantoms validate our new FEM implementation, which is three to six times faster than previous implementations. The convergence results suggest that accurately capturing the tissue geometry in addition to choosing a sufficiently accurate numerical method is of fundamental importance for accurate simulations. Significance. The new implementation allows for a substantial increase in computational efficiency of FEM TMS and TES simulations. This is especially relevant for applications such as the systematic assessment of model uncertainty and the optimization of multi-electrode TES montages. The results of our systematic error analysis allow the user to select the best tradeoff between model resolution and simulation speed for a specific application. The new FEM code is openly available as a part of our open-source software SimNIBS 3.0.","author":[{"dropping-particle":"","family":"Saturnino","given":"Guilherme B.","non-dropping-particle":"","parse-names":false,"suffix":""},{"dropping-particle":"","family":"Madsen","given":"Kristoffer H.","non-dropping-particle":"","parse-names":false,"suffix":""},{"dropping-particle":"","family":"Thielscher","given":"Axel","non-dropping-particle":"","parse-names":false,"suffix":""}],"container-title":"Journal of Neural Engineering","id":"ITEM-1","issue":"6","issued":{"date-parts":[["2019"]]},"title":"Electric field simulations for transcranial brain stimulation using FEM: An efficient implementation and error analysis","type":"article-journal","volume":"16"},"uris":["http://www.mendeley.com/documents/?uuid=567ebbd8-918e-4903-a7b5-ac12314bdc79"]}],"mendeley":{"formattedCitation":"[21]","plainTextFormattedCitation":"[21]","previouslyFormattedCitation":"[24]"},"properties":{"noteIndex":0},"schema":"https://github.com/citation-style-language/schema/raw/master/csl-citation.json"}</w:instrText>
      </w:r>
      <w:r w:rsidRPr="003C6DBD">
        <w:rPr>
          <w:rFonts w:ascii="Helvetica" w:hAnsi="Helvetica"/>
          <w:color w:val="000000" w:themeColor="text1"/>
          <w:lang w:val="en-US"/>
        </w:rPr>
        <w:fldChar w:fldCharType="separate"/>
      </w:r>
      <w:r w:rsidRPr="003C6DBD">
        <w:rPr>
          <w:rFonts w:ascii="Helvetica" w:hAnsi="Helvetica"/>
          <w:noProof/>
          <w:color w:val="000000" w:themeColor="text1"/>
          <w:lang w:val="en-US"/>
        </w:rPr>
        <w:t>[21]</w:t>
      </w:r>
      <w:r w:rsidRPr="003C6DBD">
        <w:rPr>
          <w:rFonts w:ascii="Helvetica" w:hAnsi="Helvetica"/>
          <w:color w:val="000000" w:themeColor="text1"/>
          <w:lang w:val="en-US"/>
        </w:rPr>
        <w:fldChar w:fldCharType="end"/>
      </w:r>
      <w:r w:rsidRPr="003C6DBD">
        <w:rPr>
          <w:rFonts w:ascii="Helvetica" w:hAnsi="Helvetica"/>
          <w:color w:val="000000" w:themeColor="text1"/>
          <w:lang w:val="en-US"/>
        </w:rPr>
        <w:t xml:space="preserve">. For the simulation, we indicated the electrode montage as described in section 2.3, with a conductive gel thickness of 4mm. The anodal electrode was placed at C3 in the integrated 10/20 EEG-system in </w:t>
      </w:r>
      <w:proofErr w:type="spellStart"/>
      <w:r w:rsidRPr="003C6DBD">
        <w:rPr>
          <w:rFonts w:ascii="Helvetica" w:hAnsi="Helvetica"/>
          <w:color w:val="000000" w:themeColor="text1"/>
          <w:lang w:val="en-US"/>
        </w:rPr>
        <w:t>SimNIBS</w:t>
      </w:r>
      <w:proofErr w:type="spellEnd"/>
      <w:r w:rsidRPr="003C6DBD">
        <w:rPr>
          <w:rFonts w:ascii="Helvetica" w:hAnsi="Helvetica"/>
          <w:color w:val="000000" w:themeColor="text1"/>
          <w:lang w:val="en-US"/>
        </w:rPr>
        <w:t xml:space="preserve"> (corresponding to left M1), and the cathodal electrode was placed at the right supraorbital ridge of each individual structural reconstruction, guided by Fp2 in the EEG-system (Supplementary </w:t>
      </w:r>
      <w:r w:rsidR="006B49C1" w:rsidRPr="003C6DBD">
        <w:rPr>
          <w:rFonts w:ascii="Helvetica" w:hAnsi="Helvetica"/>
          <w:color w:val="000000" w:themeColor="text1"/>
          <w:lang w:val="en-US"/>
        </w:rPr>
        <w:t>F</w:t>
      </w:r>
      <w:r w:rsidRPr="003C6DBD">
        <w:rPr>
          <w:rFonts w:ascii="Helvetica" w:hAnsi="Helvetica"/>
          <w:color w:val="000000" w:themeColor="text1"/>
          <w:lang w:val="en-US"/>
        </w:rPr>
        <w:t>ig</w:t>
      </w:r>
      <w:r w:rsidR="006B49C1" w:rsidRPr="003C6DBD">
        <w:rPr>
          <w:rFonts w:ascii="Helvetica" w:hAnsi="Helvetica"/>
          <w:color w:val="000000" w:themeColor="text1"/>
          <w:lang w:val="en-US"/>
        </w:rPr>
        <w:t>.</w:t>
      </w:r>
      <w:r w:rsidRPr="003C6DBD">
        <w:rPr>
          <w:rFonts w:ascii="Helvetica" w:hAnsi="Helvetica"/>
          <w:color w:val="000000" w:themeColor="text1"/>
          <w:lang w:val="en-US"/>
        </w:rPr>
        <w:t xml:space="preserve"> 3 illustrates each individual simulation at 1mA).</w:t>
      </w:r>
    </w:p>
    <w:p w14:paraId="44F02FC7" w14:textId="77777777" w:rsidR="006E4107" w:rsidRPr="003C6DBD" w:rsidRDefault="006E4107" w:rsidP="006E4107">
      <w:pPr>
        <w:spacing w:line="360" w:lineRule="auto"/>
        <w:jc w:val="both"/>
        <w:rPr>
          <w:rFonts w:ascii="Helvetica" w:hAnsi="Helvetica" w:cs="Arial"/>
          <w:iCs/>
          <w:color w:val="000000" w:themeColor="text1"/>
          <w:lang w:val="en-US"/>
        </w:rPr>
      </w:pPr>
    </w:p>
    <w:p w14:paraId="4D65C8B9" w14:textId="77777777" w:rsidR="006E4107" w:rsidRPr="003C6DBD" w:rsidRDefault="006E4107" w:rsidP="006E4107">
      <w:pPr>
        <w:pStyle w:val="ListParagraph"/>
        <w:spacing w:line="360" w:lineRule="auto"/>
        <w:ind w:left="0"/>
        <w:jc w:val="both"/>
        <w:rPr>
          <w:rFonts w:ascii="Helvetica" w:hAnsi="Helvetica" w:cs="Arial"/>
          <w:b/>
          <w:bCs/>
          <w:iCs/>
          <w:color w:val="000000" w:themeColor="text1"/>
          <w:lang w:val="en-US"/>
        </w:rPr>
      </w:pPr>
      <w:r w:rsidRPr="003C6DBD">
        <w:rPr>
          <w:rFonts w:ascii="Helvetica" w:hAnsi="Helvetica" w:cs="Arial"/>
          <w:b/>
          <w:bCs/>
          <w:iCs/>
          <w:color w:val="000000" w:themeColor="text1"/>
          <w:lang w:val="en-US"/>
        </w:rPr>
        <w:t>Analysis of psychometric data:</w:t>
      </w:r>
    </w:p>
    <w:p w14:paraId="54D23C78" w14:textId="484EDAF0" w:rsidR="006E4107" w:rsidRPr="003C6DBD" w:rsidRDefault="006E4107" w:rsidP="006E4107">
      <w:pPr>
        <w:spacing w:line="360" w:lineRule="auto"/>
        <w:jc w:val="both"/>
        <w:rPr>
          <w:rFonts w:ascii="Helvetica" w:hAnsi="Helvetica" w:cs="Arial"/>
          <w:color w:val="000000" w:themeColor="text1"/>
          <w:lang w:val="en-US"/>
        </w:rPr>
      </w:pPr>
      <w:r w:rsidRPr="003C6DBD">
        <w:rPr>
          <w:rFonts w:ascii="Helvetica" w:hAnsi="Helvetica" w:cs="Arial"/>
          <w:color w:val="000000" w:themeColor="text1"/>
          <w:lang w:val="en-US"/>
        </w:rPr>
        <w:t xml:space="preserve">All participants were asked to rate their sensory experience of each stimulation intensity on a VAS-scale of 6 levels, ranging from “not at all” to “very much” (see </w:t>
      </w:r>
      <w:r w:rsidR="003B1382" w:rsidRPr="003C6DBD">
        <w:rPr>
          <w:rFonts w:ascii="Helvetica" w:hAnsi="Helvetica" w:cs="Arial"/>
          <w:color w:val="000000" w:themeColor="text1"/>
          <w:lang w:val="en-US"/>
        </w:rPr>
        <w:t>S</w:t>
      </w:r>
      <w:r w:rsidRPr="003C6DBD">
        <w:rPr>
          <w:rFonts w:ascii="Helvetica" w:hAnsi="Helvetica" w:cs="Arial"/>
          <w:color w:val="000000" w:themeColor="text1"/>
          <w:lang w:val="en-US"/>
        </w:rPr>
        <w:t xml:space="preserve">upplementary </w:t>
      </w:r>
      <w:r w:rsidR="003B1382" w:rsidRPr="003C6DBD">
        <w:rPr>
          <w:rFonts w:ascii="Helvetica" w:hAnsi="Helvetica" w:cs="Arial"/>
          <w:color w:val="000000" w:themeColor="text1"/>
          <w:lang w:val="en-US"/>
        </w:rPr>
        <w:t>Fig.</w:t>
      </w:r>
      <w:r w:rsidRPr="003C6DBD">
        <w:rPr>
          <w:rFonts w:ascii="Helvetica" w:hAnsi="Helvetica" w:cs="Arial"/>
          <w:color w:val="000000" w:themeColor="text1"/>
          <w:lang w:val="en-US"/>
        </w:rPr>
        <w:t xml:space="preserve"> </w:t>
      </w:r>
      <w:r w:rsidR="003B1382" w:rsidRPr="003C6DBD">
        <w:rPr>
          <w:rFonts w:ascii="Helvetica" w:hAnsi="Helvetica" w:cs="Arial"/>
          <w:color w:val="000000" w:themeColor="text1"/>
          <w:lang w:val="en-US"/>
        </w:rPr>
        <w:t>6</w:t>
      </w:r>
      <w:r w:rsidRPr="003C6DBD">
        <w:rPr>
          <w:rFonts w:ascii="Helvetica" w:hAnsi="Helvetica" w:cs="Arial"/>
          <w:color w:val="000000" w:themeColor="text1"/>
          <w:lang w:val="en-US"/>
        </w:rPr>
        <w:t>). We assigned these in an ordinal scale from score 0 – 5 for analysis with Friedman test, with intensity as factors (0.5, 1.0, 1.5 and 2.0 mA), and post-hoc test with Wilcoxon signed rank tests, comparing each intensity against each other. We used Bonferroni correction between the six comparisons, with alpha level of 0.05.</w:t>
      </w:r>
    </w:p>
    <w:p w14:paraId="2066AA94" w14:textId="77777777" w:rsidR="006E4107" w:rsidRPr="003C6DBD" w:rsidRDefault="006E4107" w:rsidP="006E4107">
      <w:pPr>
        <w:spacing w:line="360" w:lineRule="auto"/>
        <w:jc w:val="both"/>
        <w:rPr>
          <w:rFonts w:ascii="Helvetica" w:hAnsi="Helvetica" w:cs="Arial"/>
          <w:iCs/>
          <w:color w:val="000000" w:themeColor="text1"/>
          <w:lang w:val="en-US"/>
        </w:rPr>
      </w:pPr>
    </w:p>
    <w:p w14:paraId="1DAAA139" w14:textId="77777777" w:rsidR="006E4107" w:rsidRPr="003C6DBD" w:rsidRDefault="006E4107" w:rsidP="006E4107">
      <w:pPr>
        <w:spacing w:line="360" w:lineRule="auto"/>
        <w:jc w:val="both"/>
        <w:rPr>
          <w:rFonts w:ascii="Helvetica" w:hAnsi="Helvetica" w:cs="Arial"/>
          <w:iCs/>
          <w:color w:val="000000" w:themeColor="text1"/>
          <w:lang w:val="en-US"/>
        </w:rPr>
      </w:pPr>
      <w:r w:rsidRPr="003C6DBD">
        <w:rPr>
          <w:rFonts w:ascii="Helvetica" w:hAnsi="Helvetica" w:cs="Arial"/>
          <w:iCs/>
          <w:color w:val="000000" w:themeColor="text1"/>
          <w:lang w:val="en-US"/>
        </w:rPr>
        <w:t xml:space="preserve">Results: </w:t>
      </w:r>
    </w:p>
    <w:p w14:paraId="35F7B6B0" w14:textId="77777777" w:rsidR="006E4107" w:rsidRPr="003C6DBD" w:rsidRDefault="006E4107" w:rsidP="006E4107">
      <w:pPr>
        <w:spacing w:line="360" w:lineRule="auto"/>
        <w:jc w:val="both"/>
        <w:rPr>
          <w:rFonts w:ascii="Helvetica" w:hAnsi="Helvetica" w:cs="Arial"/>
          <w:b/>
          <w:bCs/>
          <w:iCs/>
          <w:color w:val="000000" w:themeColor="text1"/>
          <w:lang w:val="en-US"/>
        </w:rPr>
      </w:pPr>
      <w:r w:rsidRPr="003C6DBD">
        <w:rPr>
          <w:rFonts w:ascii="Helvetica" w:hAnsi="Helvetica" w:cs="Arial"/>
          <w:b/>
          <w:bCs/>
          <w:iCs/>
          <w:color w:val="000000" w:themeColor="text1"/>
          <w:lang w:val="en-US"/>
        </w:rPr>
        <w:t xml:space="preserve">Psychometric assessment </w:t>
      </w:r>
    </w:p>
    <w:p w14:paraId="7B285381" w14:textId="10B5A2FE" w:rsidR="006E4107" w:rsidRPr="003C6DBD" w:rsidRDefault="006E4107" w:rsidP="006E4107">
      <w:pPr>
        <w:spacing w:line="360" w:lineRule="auto"/>
        <w:jc w:val="both"/>
        <w:rPr>
          <w:rFonts w:ascii="Helvetica" w:hAnsi="Helvetica" w:cs="Arial"/>
          <w:color w:val="000000" w:themeColor="text1"/>
          <w:lang w:val="en-US"/>
        </w:rPr>
      </w:pPr>
      <w:r w:rsidRPr="003C6DBD">
        <w:rPr>
          <w:rFonts w:ascii="Helvetica" w:hAnsi="Helvetica" w:cs="Arial"/>
          <w:i/>
          <w:iCs/>
          <w:color w:val="000000" w:themeColor="text1"/>
          <w:lang w:val="en-US"/>
        </w:rPr>
        <w:t>Tingling/prickling sensation:</w:t>
      </w:r>
      <w:r w:rsidRPr="003C6DBD">
        <w:rPr>
          <w:rFonts w:ascii="Helvetica" w:hAnsi="Helvetica" w:cs="Arial"/>
          <w:color w:val="000000" w:themeColor="text1"/>
          <w:lang w:val="en-US"/>
        </w:rPr>
        <w:t xml:space="preserve"> Friedman test revealed a significant difference in experience of tingling/prickling sensation on the scalp depending on TDCS stimulation intensity, </w:t>
      </w:r>
      <m:oMath>
        <m:r>
          <w:rPr>
            <w:rFonts w:ascii="Cambria Math" w:hAnsi="Cambria Math" w:cs="Arial"/>
            <w:color w:val="000000" w:themeColor="text1"/>
            <w:lang w:val="en-US"/>
          </w:rPr>
          <m:t>Χ</m:t>
        </m:r>
      </m:oMath>
      <w:r w:rsidRPr="003C6DBD">
        <w:rPr>
          <w:rFonts w:ascii="Helvetica" w:hAnsi="Helvetica" w:cs="Arial"/>
          <w:i/>
          <w:color w:val="000000" w:themeColor="text1"/>
          <w:vertAlign w:val="superscript"/>
          <w:lang w:val="en-US"/>
        </w:rPr>
        <w:t>2</w:t>
      </w:r>
      <w:r w:rsidRPr="003C6DBD">
        <w:rPr>
          <w:rFonts w:ascii="Helvetica" w:hAnsi="Helvetica" w:cs="Arial"/>
          <w:color w:val="000000" w:themeColor="text1"/>
          <w:lang w:val="en-US"/>
        </w:rPr>
        <w:t xml:space="preserve">(3) = 8.143, </w:t>
      </w:r>
      <w:r w:rsidRPr="003C6DBD">
        <w:rPr>
          <w:rFonts w:ascii="Helvetica" w:hAnsi="Helvetica" w:cs="Arial"/>
          <w:i/>
          <w:color w:val="000000" w:themeColor="text1"/>
          <w:lang w:val="en-US"/>
        </w:rPr>
        <w:t xml:space="preserve">p </w:t>
      </w:r>
      <w:r w:rsidRPr="003C6DBD">
        <w:rPr>
          <w:rFonts w:ascii="Helvetica" w:hAnsi="Helvetica" w:cs="Arial"/>
          <w:color w:val="000000" w:themeColor="text1"/>
          <w:lang w:val="en-US"/>
        </w:rPr>
        <w:t>= 0.043. However, post-hoc pairwise comparison with Wilcoxon Signed Ranks test did not show any significant difference between any intensities after Bonferroni correction (</w:t>
      </w:r>
      <w:r w:rsidR="003B1382" w:rsidRPr="003C6DBD">
        <w:rPr>
          <w:rFonts w:ascii="Helvetica" w:hAnsi="Helvetica" w:cs="Arial"/>
          <w:color w:val="000000" w:themeColor="text1"/>
          <w:lang w:val="en-US"/>
        </w:rPr>
        <w:t>Supplementary T</w:t>
      </w:r>
      <w:r w:rsidRPr="003C6DBD">
        <w:rPr>
          <w:rFonts w:ascii="Helvetica" w:hAnsi="Helvetica" w:cs="Arial"/>
          <w:color w:val="000000" w:themeColor="text1"/>
          <w:lang w:val="en-US"/>
        </w:rPr>
        <w:t xml:space="preserve">able </w:t>
      </w:r>
      <w:r w:rsidR="003B1382" w:rsidRPr="003C6DBD">
        <w:rPr>
          <w:rFonts w:ascii="Helvetica" w:hAnsi="Helvetica" w:cs="Arial"/>
          <w:color w:val="000000" w:themeColor="text1"/>
          <w:lang w:val="en-US"/>
        </w:rPr>
        <w:t>1</w:t>
      </w:r>
      <w:r w:rsidRPr="003C6DBD">
        <w:rPr>
          <w:rFonts w:ascii="Helvetica" w:hAnsi="Helvetica" w:cs="Arial"/>
          <w:color w:val="000000" w:themeColor="text1"/>
          <w:lang w:val="en-US"/>
        </w:rPr>
        <w:t xml:space="preserve">). Supplementary </w:t>
      </w:r>
      <w:r w:rsidR="003B1382" w:rsidRPr="003C6DBD">
        <w:rPr>
          <w:rFonts w:ascii="Helvetica" w:hAnsi="Helvetica" w:cs="Arial"/>
          <w:color w:val="000000" w:themeColor="text1"/>
          <w:lang w:val="en-US"/>
        </w:rPr>
        <w:t>F</w:t>
      </w:r>
      <w:r w:rsidRPr="003C6DBD">
        <w:rPr>
          <w:rFonts w:ascii="Helvetica" w:hAnsi="Helvetica" w:cs="Arial"/>
          <w:color w:val="000000" w:themeColor="text1"/>
          <w:lang w:val="en-US"/>
        </w:rPr>
        <w:t>igure 5 show a linear increase in prickling/tingling sensation following the increase in current intensity. Concurrent ratings of discomfort were minimal at all intensities.</w:t>
      </w:r>
    </w:p>
    <w:p w14:paraId="55186656" w14:textId="77777777" w:rsidR="006E4107" w:rsidRPr="003C6DBD" w:rsidRDefault="006E4107" w:rsidP="006E4107">
      <w:pPr>
        <w:spacing w:line="360" w:lineRule="auto"/>
        <w:jc w:val="both"/>
        <w:rPr>
          <w:rFonts w:ascii="Helvetica" w:hAnsi="Helvetica" w:cs="Arial"/>
          <w:color w:val="000000" w:themeColor="text1"/>
          <w:lang w:val="en-US"/>
        </w:rPr>
      </w:pPr>
      <w:r w:rsidRPr="003C6DBD">
        <w:rPr>
          <w:rFonts w:ascii="Helvetica" w:hAnsi="Helvetica" w:cs="Arial"/>
          <w:i/>
          <w:iCs/>
          <w:color w:val="000000" w:themeColor="text1"/>
          <w:lang w:val="en-US"/>
        </w:rPr>
        <w:lastRenderedPageBreak/>
        <w:t>Malaise and fatigue:</w:t>
      </w:r>
      <w:r w:rsidRPr="003C6DBD">
        <w:rPr>
          <w:rFonts w:ascii="Helvetica" w:hAnsi="Helvetica" w:cs="Arial"/>
          <w:color w:val="000000" w:themeColor="text1"/>
          <w:lang w:val="en-US"/>
        </w:rPr>
        <w:t xml:space="preserve"> Participants did not report differences in experience of malaise depending on stimulation intensity (</w:t>
      </w:r>
      <m:oMath>
        <m:r>
          <w:rPr>
            <w:rFonts w:ascii="Cambria Math" w:hAnsi="Cambria Math" w:cs="Arial"/>
            <w:color w:val="000000" w:themeColor="text1"/>
            <w:lang w:val="en-US"/>
          </w:rPr>
          <m:t>Χ</m:t>
        </m:r>
      </m:oMath>
      <w:r w:rsidRPr="003C6DBD">
        <w:rPr>
          <w:rFonts w:ascii="Helvetica" w:hAnsi="Helvetica" w:cs="Arial"/>
          <w:i/>
          <w:color w:val="000000" w:themeColor="text1"/>
          <w:vertAlign w:val="superscript"/>
          <w:lang w:val="en-US"/>
        </w:rPr>
        <w:t>2</w:t>
      </w:r>
      <w:r w:rsidRPr="003C6DBD">
        <w:rPr>
          <w:rFonts w:ascii="Helvetica" w:hAnsi="Helvetica" w:cs="Arial"/>
          <w:color w:val="000000" w:themeColor="text1"/>
          <w:lang w:val="en-US"/>
        </w:rPr>
        <w:t xml:space="preserve">(3) = 3.585, </w:t>
      </w:r>
      <w:r w:rsidRPr="003C6DBD">
        <w:rPr>
          <w:rFonts w:ascii="Helvetica" w:hAnsi="Helvetica" w:cs="Arial"/>
          <w:i/>
          <w:color w:val="000000" w:themeColor="text1"/>
          <w:lang w:val="en-US"/>
        </w:rPr>
        <w:t xml:space="preserve">p </w:t>
      </w:r>
      <w:r w:rsidRPr="003C6DBD">
        <w:rPr>
          <w:rFonts w:ascii="Helvetica" w:hAnsi="Helvetica" w:cs="Arial"/>
          <w:color w:val="000000" w:themeColor="text1"/>
          <w:lang w:val="en-US"/>
        </w:rPr>
        <w:t>= 0.310) nor was there any significant difference in experience of fatigue (</w:t>
      </w:r>
      <m:oMath>
        <m:r>
          <w:rPr>
            <w:rFonts w:ascii="Cambria Math" w:hAnsi="Cambria Math" w:cs="Arial"/>
            <w:color w:val="000000" w:themeColor="text1"/>
            <w:lang w:val="en-US"/>
          </w:rPr>
          <m:t>Χ</m:t>
        </m:r>
      </m:oMath>
      <w:r w:rsidRPr="003C6DBD">
        <w:rPr>
          <w:rFonts w:ascii="Helvetica" w:hAnsi="Helvetica" w:cs="Arial"/>
          <w:i/>
          <w:color w:val="000000" w:themeColor="text1"/>
          <w:vertAlign w:val="superscript"/>
          <w:lang w:val="en-US"/>
        </w:rPr>
        <w:t>2</w:t>
      </w:r>
      <w:r w:rsidRPr="003C6DBD">
        <w:rPr>
          <w:rFonts w:ascii="Helvetica" w:hAnsi="Helvetica" w:cs="Arial"/>
          <w:color w:val="000000" w:themeColor="text1"/>
          <w:lang w:val="en-US"/>
        </w:rPr>
        <w:t xml:space="preserve">(3) = 0.882, </w:t>
      </w:r>
      <w:r w:rsidRPr="003C6DBD">
        <w:rPr>
          <w:rFonts w:ascii="Helvetica" w:hAnsi="Helvetica" w:cs="Arial"/>
          <w:i/>
          <w:color w:val="000000" w:themeColor="text1"/>
          <w:lang w:val="en-US"/>
        </w:rPr>
        <w:t xml:space="preserve">p </w:t>
      </w:r>
      <w:r w:rsidRPr="003C6DBD">
        <w:rPr>
          <w:rFonts w:ascii="Helvetica" w:hAnsi="Helvetica" w:cs="Arial"/>
          <w:color w:val="000000" w:themeColor="text1"/>
          <w:lang w:val="en-US"/>
        </w:rPr>
        <w:t xml:space="preserve">= 0.830). </w:t>
      </w:r>
    </w:p>
    <w:p w14:paraId="241ACF6E" w14:textId="77777777" w:rsidR="006E4107" w:rsidRPr="003C6DBD" w:rsidRDefault="006E4107" w:rsidP="006E4107">
      <w:pPr>
        <w:spacing w:line="360" w:lineRule="auto"/>
        <w:jc w:val="both"/>
        <w:rPr>
          <w:rFonts w:ascii="Helvetica" w:hAnsi="Helvetica" w:cs="Arial"/>
          <w:color w:val="000000" w:themeColor="text1"/>
          <w:lang w:val="en-US"/>
        </w:rPr>
      </w:pPr>
      <w:r w:rsidRPr="003C6DBD">
        <w:rPr>
          <w:rFonts w:ascii="Helvetica" w:hAnsi="Helvetica" w:cs="Arial"/>
          <w:i/>
          <w:iCs/>
          <w:color w:val="000000" w:themeColor="text1"/>
          <w:lang w:val="en-US"/>
        </w:rPr>
        <w:t>Phosphenes:</w:t>
      </w:r>
      <w:r w:rsidRPr="003C6DBD">
        <w:rPr>
          <w:rFonts w:ascii="Helvetica" w:hAnsi="Helvetica" w:cs="Arial"/>
          <w:color w:val="000000" w:themeColor="text1"/>
          <w:lang w:val="en-US"/>
        </w:rPr>
        <w:t xml:space="preserve"> Two subjects experienced phosphenes during TDCS. One reported phosphenes during 0.5mA (intensity at VAS-scale 1), the other subject reported during 0.5 (VAS = 1), 1.0 (VAS = 1), and 2.0 mA (VAS = 2). No discomfort was associated with the phosphenes. </w:t>
      </w:r>
    </w:p>
    <w:p w14:paraId="33946ECD" w14:textId="77777777" w:rsidR="006E4107" w:rsidRPr="003C6DBD" w:rsidRDefault="006E4107" w:rsidP="006E4107">
      <w:pPr>
        <w:spacing w:line="360" w:lineRule="auto"/>
        <w:jc w:val="both"/>
        <w:rPr>
          <w:rFonts w:ascii="Helvetica" w:hAnsi="Helvetica" w:cs="Arial"/>
          <w:color w:val="000000" w:themeColor="text1"/>
          <w:lang w:val="en-US"/>
        </w:rPr>
      </w:pPr>
      <w:r w:rsidRPr="003C6DBD">
        <w:rPr>
          <w:rFonts w:ascii="Helvetica" w:hAnsi="Helvetica" w:cs="Arial"/>
          <w:i/>
          <w:iCs/>
          <w:color w:val="000000" w:themeColor="text1"/>
          <w:lang w:val="en-US"/>
        </w:rPr>
        <w:t>Metal taste:</w:t>
      </w:r>
      <w:r w:rsidRPr="003C6DBD">
        <w:rPr>
          <w:rFonts w:ascii="Helvetica" w:hAnsi="Helvetica" w:cs="Arial"/>
          <w:color w:val="000000" w:themeColor="text1"/>
          <w:lang w:val="en-US"/>
        </w:rPr>
        <w:t xml:space="preserve"> Two subjects experienced metal taste during stimulation. One subject reported metal taste during all four intensities (VAS = 2 for all). The other subject experienced metal taste during 1.0 and 2.0 mA (VAS = 1 for both). No discomfort was reported in relation to experiences the metal taste. </w:t>
      </w:r>
    </w:p>
    <w:p w14:paraId="606B7F05" w14:textId="77777777" w:rsidR="006E4107" w:rsidRPr="003C6DBD" w:rsidRDefault="006E4107" w:rsidP="006E4107">
      <w:pPr>
        <w:spacing w:line="360" w:lineRule="auto"/>
        <w:jc w:val="both"/>
        <w:rPr>
          <w:rFonts w:ascii="Helvetica" w:hAnsi="Helvetica" w:cs="Arial"/>
          <w:color w:val="000000" w:themeColor="text1"/>
          <w:lang w:val="en-US"/>
        </w:rPr>
      </w:pPr>
      <w:r w:rsidRPr="003C6DBD">
        <w:rPr>
          <w:rFonts w:ascii="Helvetica" w:hAnsi="Helvetica" w:cs="Arial"/>
          <w:i/>
          <w:iCs/>
          <w:color w:val="000000" w:themeColor="text1"/>
          <w:lang w:val="en-US"/>
        </w:rPr>
        <w:t>Nausea:</w:t>
      </w:r>
      <w:r w:rsidRPr="003C6DBD">
        <w:rPr>
          <w:rFonts w:ascii="Helvetica" w:hAnsi="Helvetica" w:cs="Arial"/>
          <w:color w:val="000000" w:themeColor="text1"/>
          <w:lang w:val="en-US"/>
        </w:rPr>
        <w:t xml:space="preserve"> None of the subjects experienced nausea. </w:t>
      </w:r>
    </w:p>
    <w:p w14:paraId="16F4C6C6" w14:textId="77777777" w:rsidR="006E4107" w:rsidRPr="003C6DBD" w:rsidRDefault="006E4107" w:rsidP="006E4107">
      <w:pPr>
        <w:spacing w:line="360" w:lineRule="auto"/>
        <w:jc w:val="both"/>
        <w:rPr>
          <w:rFonts w:ascii="Helvetica" w:hAnsi="Helvetica" w:cs="Arial"/>
          <w:iCs/>
          <w:color w:val="000000" w:themeColor="text1"/>
          <w:lang w:val="en-US"/>
        </w:rPr>
      </w:pPr>
    </w:p>
    <w:p w14:paraId="477A593E" w14:textId="77777777" w:rsidR="006E4107" w:rsidRPr="003C6DBD" w:rsidRDefault="006E4107" w:rsidP="006E4107">
      <w:pPr>
        <w:spacing w:line="360" w:lineRule="auto"/>
        <w:jc w:val="both"/>
        <w:rPr>
          <w:rFonts w:ascii="Helvetica" w:hAnsi="Helvetica" w:cs="Arial"/>
          <w:iCs/>
          <w:color w:val="000000" w:themeColor="text1"/>
          <w:lang w:val="en-US"/>
        </w:rPr>
      </w:pPr>
    </w:p>
    <w:p w14:paraId="3BBE8C05" w14:textId="77777777" w:rsidR="006E4107" w:rsidRPr="003C6DBD" w:rsidRDefault="006E4107" w:rsidP="006E4107">
      <w:pPr>
        <w:spacing w:line="360" w:lineRule="auto"/>
        <w:jc w:val="both"/>
        <w:rPr>
          <w:rFonts w:ascii="Helvetica" w:hAnsi="Helvetica" w:cs="Arial"/>
          <w:color w:val="000000" w:themeColor="text1"/>
          <w:lang w:val="en-US"/>
        </w:rPr>
      </w:pPr>
    </w:p>
    <w:p w14:paraId="180E7642" w14:textId="77777777" w:rsidR="006E4107" w:rsidRPr="003C6DBD" w:rsidRDefault="006E4107" w:rsidP="006E4107">
      <w:pPr>
        <w:rPr>
          <w:rFonts w:ascii="Helvetica" w:hAnsi="Helvetica"/>
          <w:color w:val="000000" w:themeColor="text1"/>
          <w:lang w:val="en-US"/>
        </w:rPr>
      </w:pPr>
    </w:p>
    <w:p w14:paraId="36C39C0B" w14:textId="77777777" w:rsidR="00D804FF" w:rsidRPr="003C6DBD" w:rsidRDefault="00D804FF">
      <w:pPr>
        <w:rPr>
          <w:rFonts w:ascii="Helvetica" w:hAnsi="Helvetica"/>
          <w:color w:val="000000" w:themeColor="text1"/>
          <w:lang w:val="en-US"/>
        </w:rPr>
      </w:pPr>
    </w:p>
    <w:sectPr w:rsidR="00D804FF" w:rsidRPr="003C6D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4FF"/>
    <w:rsid w:val="002B246A"/>
    <w:rsid w:val="00357E70"/>
    <w:rsid w:val="003B1382"/>
    <w:rsid w:val="003C6DBD"/>
    <w:rsid w:val="006B49C1"/>
    <w:rsid w:val="006E4107"/>
    <w:rsid w:val="008C4A82"/>
    <w:rsid w:val="00B912E8"/>
    <w:rsid w:val="00BE4C3E"/>
    <w:rsid w:val="00D804FF"/>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3C966"/>
  <w15:chartTrackingRefBased/>
  <w15:docId w15:val="{9729DFDE-BFDF-884E-B407-FAE0D073E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4107"/>
    <w:pPr>
      <w:ind w:left="720"/>
      <w:contextualSpacing/>
    </w:pPr>
    <w:rPr>
      <w:rFonts w:ascii="Times New Roman" w:eastAsia="Times New Roman" w:hAnsi="Times New Roman" w:cs="Times New Roman"/>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10</Pages>
  <Words>1601</Words>
  <Characters>9130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Louise En-Ting Liu</dc:creator>
  <cp:keywords/>
  <dc:description/>
  <cp:lastModifiedBy>Ml L</cp:lastModifiedBy>
  <cp:revision>8</cp:revision>
  <dcterms:created xsi:type="dcterms:W3CDTF">2022-01-31T09:32:00Z</dcterms:created>
  <dcterms:modified xsi:type="dcterms:W3CDTF">2022-02-07T13:48:00Z</dcterms:modified>
</cp:coreProperties>
</file>