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7BF" w:rsidRPr="00B66BA6" w:rsidRDefault="008A17EC" w:rsidP="00B547BF">
      <w:pPr>
        <w:spacing w:line="480" w:lineRule="auto"/>
        <w:rPr>
          <w:b/>
          <w:sz w:val="32"/>
          <w:szCs w:val="32"/>
          <w:lang w:val="en-US"/>
        </w:rPr>
      </w:pPr>
      <w:r>
        <w:rPr>
          <w:b/>
          <w:sz w:val="32"/>
          <w:szCs w:val="32"/>
          <w:lang w:val="en-US"/>
        </w:rPr>
        <w:t xml:space="preserve">SUPPLEMENTARY FILE: </w:t>
      </w:r>
      <w:r w:rsidR="00B547BF">
        <w:rPr>
          <w:b/>
          <w:sz w:val="32"/>
          <w:szCs w:val="32"/>
          <w:lang w:val="en-US"/>
        </w:rPr>
        <w:t xml:space="preserve">SGLT2-inhibitors modulate the Cardiac Autonomic Neuropathy and reduce the </w:t>
      </w:r>
      <w:proofErr w:type="spellStart"/>
      <w:r w:rsidR="00B547BF" w:rsidRPr="007D7E7B">
        <w:rPr>
          <w:b/>
          <w:sz w:val="32"/>
          <w:szCs w:val="32"/>
          <w:lang w:val="en-US"/>
        </w:rPr>
        <w:t>vaso</w:t>
      </w:r>
      <w:proofErr w:type="spellEnd"/>
      <w:r w:rsidR="00B547BF" w:rsidRPr="007D7E7B">
        <w:rPr>
          <w:b/>
          <w:sz w:val="32"/>
          <w:szCs w:val="32"/>
          <w:lang w:val="en-US"/>
        </w:rPr>
        <w:t xml:space="preserve">-vagal syncope </w:t>
      </w:r>
      <w:r w:rsidR="00B547BF" w:rsidRPr="00B66BA6">
        <w:rPr>
          <w:b/>
          <w:sz w:val="32"/>
          <w:szCs w:val="32"/>
          <w:lang w:val="en-US"/>
        </w:rPr>
        <w:t xml:space="preserve">recurrence in patients </w:t>
      </w:r>
      <w:r w:rsidR="00B547BF">
        <w:rPr>
          <w:b/>
          <w:sz w:val="32"/>
          <w:szCs w:val="32"/>
          <w:lang w:val="en-US"/>
        </w:rPr>
        <w:t xml:space="preserve">with </w:t>
      </w:r>
      <w:r w:rsidR="00B547BF" w:rsidRPr="00B66BA6">
        <w:rPr>
          <w:b/>
          <w:sz w:val="32"/>
          <w:szCs w:val="32"/>
          <w:lang w:val="en-US"/>
        </w:rPr>
        <w:t>type 2 diabetes mellitus</w:t>
      </w:r>
      <w:r w:rsidR="00B547BF">
        <w:rPr>
          <w:b/>
          <w:sz w:val="32"/>
          <w:szCs w:val="32"/>
          <w:lang w:val="en-US"/>
        </w:rPr>
        <w:t>: the SCAN study</w:t>
      </w:r>
      <w:r w:rsidR="00B547BF" w:rsidRPr="00B66BA6">
        <w:rPr>
          <w:b/>
          <w:sz w:val="32"/>
          <w:szCs w:val="32"/>
          <w:lang w:val="en-US"/>
        </w:rPr>
        <w:t xml:space="preserve"> </w:t>
      </w:r>
    </w:p>
    <w:p w:rsidR="00A21AE6" w:rsidRPr="00B66BA6" w:rsidRDefault="008A17EC" w:rsidP="00A21AE6">
      <w:pPr>
        <w:spacing w:line="480" w:lineRule="auto"/>
        <w:rPr>
          <w:sz w:val="24"/>
          <w:szCs w:val="24"/>
        </w:rPr>
      </w:pPr>
      <w:r w:rsidRPr="00B66BA6">
        <w:rPr>
          <w:sz w:val="24"/>
          <w:szCs w:val="24"/>
        </w:rPr>
        <w:t xml:space="preserve">Celestino </w:t>
      </w:r>
      <w:proofErr w:type="spellStart"/>
      <w:r w:rsidRPr="00B66BA6">
        <w:rPr>
          <w:sz w:val="24"/>
          <w:szCs w:val="24"/>
        </w:rPr>
        <w:t>Sardu</w:t>
      </w:r>
      <w:proofErr w:type="spellEnd"/>
      <w:r w:rsidRPr="00B66BA6">
        <w:rPr>
          <w:sz w:val="24"/>
          <w:szCs w:val="24"/>
        </w:rPr>
        <w:t xml:space="preserve">, MD, </w:t>
      </w:r>
      <w:proofErr w:type="spellStart"/>
      <w:r w:rsidRPr="00B66BA6">
        <w:rPr>
          <w:sz w:val="24"/>
          <w:szCs w:val="24"/>
        </w:rPr>
        <w:t>MSc</w:t>
      </w:r>
      <w:proofErr w:type="spellEnd"/>
      <w:r w:rsidRPr="00B66BA6">
        <w:rPr>
          <w:sz w:val="24"/>
          <w:szCs w:val="24"/>
        </w:rPr>
        <w:t>, Ph</w:t>
      </w:r>
      <w:r>
        <w:rPr>
          <w:sz w:val="24"/>
          <w:szCs w:val="24"/>
        </w:rPr>
        <w:t>D1*;</w:t>
      </w:r>
      <w:r w:rsidRPr="00B66BA6">
        <w:rPr>
          <w:sz w:val="24"/>
          <w:szCs w:val="24"/>
        </w:rPr>
        <w:t xml:space="preserve"> </w:t>
      </w:r>
      <w:r>
        <w:rPr>
          <w:sz w:val="24"/>
          <w:szCs w:val="24"/>
        </w:rPr>
        <w:t xml:space="preserve">Massimo Massetti, M2,3; Pietro Rambaldi, MD4; Gianluca Gatta, MD4; Ferdinando Carlo Sasso, MD, PhD1; </w:t>
      </w:r>
      <w:r w:rsidRPr="00B66BA6">
        <w:rPr>
          <w:sz w:val="24"/>
          <w:szCs w:val="24"/>
        </w:rPr>
        <w:t>Matteo Santamaria, MD, PhD2</w:t>
      </w:r>
      <w:r>
        <w:rPr>
          <w:sz w:val="24"/>
          <w:szCs w:val="24"/>
        </w:rPr>
        <w:t>;</w:t>
      </w:r>
      <w:r w:rsidRPr="00B66BA6">
        <w:rPr>
          <w:sz w:val="24"/>
          <w:szCs w:val="24"/>
        </w:rPr>
        <w:t xml:space="preserve"> </w:t>
      </w:r>
      <w:r>
        <w:rPr>
          <w:sz w:val="24"/>
          <w:szCs w:val="24"/>
        </w:rPr>
        <w:t xml:space="preserve">Mario Volpicelli, MD5; Valentino Ducceschi MD, PhD6; Giuseppe Signoriello, MD7; </w:t>
      </w:r>
      <w:r w:rsidRPr="00B66BA6">
        <w:rPr>
          <w:sz w:val="24"/>
          <w:szCs w:val="24"/>
        </w:rPr>
        <w:t>Giuseppe Paolisso, MD1,</w:t>
      </w:r>
      <w:r>
        <w:rPr>
          <w:sz w:val="24"/>
          <w:szCs w:val="24"/>
        </w:rPr>
        <w:t>8</w:t>
      </w:r>
      <w:r w:rsidRPr="00B66BA6">
        <w:rPr>
          <w:sz w:val="24"/>
          <w:szCs w:val="24"/>
        </w:rPr>
        <w:t xml:space="preserve"> and Raffaele Marfella, MD, PhD1</w:t>
      </w:r>
      <w:r>
        <w:rPr>
          <w:sz w:val="24"/>
          <w:szCs w:val="24"/>
        </w:rPr>
        <w:t>,8</w:t>
      </w:r>
      <w:r w:rsidRPr="00B66BA6">
        <w:rPr>
          <w:sz w:val="24"/>
          <w:szCs w:val="24"/>
        </w:rPr>
        <w:t>.</w:t>
      </w:r>
    </w:p>
    <w:p w:rsidR="00A21AE6" w:rsidRPr="00B66BA6" w:rsidRDefault="008A17EC" w:rsidP="00A21AE6">
      <w:pPr>
        <w:spacing w:line="240" w:lineRule="auto"/>
        <w:rPr>
          <w:sz w:val="24"/>
          <w:szCs w:val="24"/>
          <w:lang w:val="en-US"/>
        </w:rPr>
      </w:pPr>
      <w:r w:rsidRPr="00B66BA6">
        <w:rPr>
          <w:sz w:val="24"/>
          <w:szCs w:val="24"/>
          <w:lang w:val="en-US"/>
        </w:rPr>
        <w:t>1. Department of Advanced Medical and Surgical Sciences, University of Campania “Luigi Vanvitelli”, Naples, Italy; 2. Cardiovascu</w:t>
      </w:r>
      <w:r>
        <w:rPr>
          <w:sz w:val="24"/>
          <w:szCs w:val="24"/>
          <w:lang w:val="en-US"/>
        </w:rPr>
        <w:t>lar and Arrhythmias Department “Gemelli Molise”</w:t>
      </w:r>
      <w:r w:rsidRPr="00B66BA6">
        <w:rPr>
          <w:sz w:val="24"/>
          <w:szCs w:val="24"/>
          <w:lang w:val="en-US"/>
        </w:rPr>
        <w:t xml:space="preserve">, Campobasso, Italy; </w:t>
      </w:r>
      <w:r>
        <w:rPr>
          <w:sz w:val="24"/>
          <w:szCs w:val="24"/>
          <w:lang w:val="en-US"/>
        </w:rPr>
        <w:t xml:space="preserve">3. </w:t>
      </w:r>
      <w:r w:rsidRPr="00B51F47">
        <w:rPr>
          <w:sz w:val="24"/>
          <w:szCs w:val="24"/>
          <w:lang w:val="en-US"/>
        </w:rPr>
        <w:t xml:space="preserve">Department of Cardiovascular and Thoracic Sciences, Catholic University of the Sacred Heart, Rome, Italy; 4. </w:t>
      </w:r>
      <w:r w:rsidRPr="00B51F47">
        <w:rPr>
          <w:rFonts w:cstheme="minorHAnsi"/>
          <w:sz w:val="24"/>
          <w:szCs w:val="24"/>
          <w:lang w:val="en-US"/>
        </w:rPr>
        <w:t xml:space="preserve">Department of Precision Medicine, University of Campania “Luigi Vanvitelli”, Naples, Italy; </w:t>
      </w:r>
      <w:r w:rsidRPr="00B51F47">
        <w:rPr>
          <w:sz w:val="24"/>
          <w:szCs w:val="24"/>
          <w:lang w:val="en-US"/>
        </w:rPr>
        <w:t xml:space="preserve">5. Cardiovascular Diseases and Electrophysiology Unit, “S. Maria della Pietà Hospital”, Naples, Italy; 6. Cardiovascular Diseases and Electrophysiology Unit, “Vecchio Pellegrini Hospital”, Naples, Italy; 7. </w:t>
      </w:r>
      <w:r w:rsidRPr="000256B2">
        <w:rPr>
          <w:sz w:val="24"/>
          <w:szCs w:val="24"/>
          <w:lang w:val="en-US"/>
        </w:rPr>
        <w:t xml:space="preserve">Department of </w:t>
      </w:r>
      <w:r>
        <w:rPr>
          <w:sz w:val="24"/>
          <w:szCs w:val="24"/>
          <w:lang w:val="en-US"/>
        </w:rPr>
        <w:t>Mental Health</w:t>
      </w:r>
      <w:r w:rsidRPr="000256B2">
        <w:rPr>
          <w:sz w:val="24"/>
          <w:szCs w:val="24"/>
          <w:lang w:val="en-US"/>
        </w:rPr>
        <w:t>, University of Campania “Luigi Vanvitelli”, Naples, Italy;</w:t>
      </w:r>
      <w:r>
        <w:rPr>
          <w:sz w:val="24"/>
          <w:szCs w:val="24"/>
          <w:lang w:val="en-US"/>
        </w:rPr>
        <w:t xml:space="preserve"> 8. </w:t>
      </w:r>
      <w:r w:rsidRPr="00B51F47">
        <w:rPr>
          <w:sz w:val="24"/>
          <w:szCs w:val="24"/>
          <w:lang w:val="en-US"/>
        </w:rPr>
        <w:t>“Mediterranea</w:t>
      </w:r>
      <w:r>
        <w:rPr>
          <w:sz w:val="24"/>
          <w:szCs w:val="24"/>
          <w:lang w:val="en-US"/>
        </w:rPr>
        <w:t xml:space="preserve"> Cardiocentro”, Naples, Italy.</w:t>
      </w:r>
    </w:p>
    <w:p w:rsidR="00A21AE6" w:rsidRPr="00B66BA6" w:rsidRDefault="00A21AE6" w:rsidP="00A21AE6">
      <w:pPr>
        <w:spacing w:line="480" w:lineRule="auto"/>
        <w:rPr>
          <w:b/>
          <w:sz w:val="24"/>
          <w:szCs w:val="24"/>
          <w:lang w:val="en-US"/>
        </w:rPr>
      </w:pPr>
    </w:p>
    <w:p w:rsidR="00A21AE6" w:rsidRPr="00B66BA6" w:rsidRDefault="008A17EC" w:rsidP="00A21AE6">
      <w:pPr>
        <w:spacing w:line="480" w:lineRule="auto"/>
        <w:rPr>
          <w:sz w:val="24"/>
          <w:szCs w:val="24"/>
          <w:lang w:val="en-US"/>
        </w:rPr>
      </w:pPr>
      <w:r w:rsidRPr="00B66BA6">
        <w:rPr>
          <w:b/>
          <w:sz w:val="24"/>
          <w:szCs w:val="24"/>
          <w:lang w:val="en-US"/>
        </w:rPr>
        <w:t xml:space="preserve">Key words: </w:t>
      </w:r>
      <w:r>
        <w:rPr>
          <w:sz w:val="24"/>
          <w:szCs w:val="24"/>
          <w:lang w:val="en-US"/>
        </w:rPr>
        <w:t>type 2 diabetes mellitus, vaso-</w:t>
      </w:r>
      <w:r w:rsidRPr="00B66BA6">
        <w:rPr>
          <w:sz w:val="24"/>
          <w:szCs w:val="24"/>
          <w:lang w:val="en-US"/>
        </w:rPr>
        <w:t>vagal syncope, cardiac autonomic dysfunction.</w:t>
      </w:r>
    </w:p>
    <w:p w:rsidR="00A21AE6" w:rsidRPr="00B66BA6" w:rsidRDefault="008A17EC" w:rsidP="00A21AE6">
      <w:pPr>
        <w:spacing w:line="480" w:lineRule="auto"/>
        <w:rPr>
          <w:b/>
          <w:sz w:val="24"/>
          <w:szCs w:val="24"/>
          <w:lang w:val="en-US"/>
        </w:rPr>
      </w:pPr>
      <w:r w:rsidRPr="00B66BA6">
        <w:rPr>
          <w:b/>
          <w:sz w:val="24"/>
          <w:szCs w:val="24"/>
          <w:lang w:val="en-US"/>
        </w:rPr>
        <w:t xml:space="preserve">Clinical trial registration number: </w:t>
      </w:r>
      <w:r w:rsidRPr="00B66BA6">
        <w:rPr>
          <w:sz w:val="24"/>
          <w:szCs w:val="24"/>
          <w:lang w:val="en-US"/>
        </w:rPr>
        <w:t>NCT03717207.</w:t>
      </w:r>
    </w:p>
    <w:p w:rsidR="00A21AE6" w:rsidRPr="00B66BA6" w:rsidRDefault="008A17EC" w:rsidP="00A21AE6">
      <w:pPr>
        <w:spacing w:line="480" w:lineRule="auto"/>
        <w:rPr>
          <w:b/>
          <w:sz w:val="24"/>
          <w:szCs w:val="24"/>
          <w:lang w:val="en-US"/>
        </w:rPr>
      </w:pPr>
      <w:r w:rsidRPr="00B66BA6">
        <w:rPr>
          <w:b/>
          <w:sz w:val="24"/>
          <w:szCs w:val="24"/>
          <w:lang w:val="en-US"/>
        </w:rPr>
        <w:t xml:space="preserve">Word count: </w:t>
      </w:r>
      <w:r w:rsidRPr="00B66BA6">
        <w:rPr>
          <w:sz w:val="24"/>
          <w:szCs w:val="24"/>
          <w:lang w:val="en-US"/>
        </w:rPr>
        <w:t>3368.</w:t>
      </w:r>
    </w:p>
    <w:p w:rsidR="00A21AE6" w:rsidRPr="00B66BA6" w:rsidRDefault="008A17EC" w:rsidP="00A21AE6">
      <w:pPr>
        <w:spacing w:line="240" w:lineRule="auto"/>
        <w:rPr>
          <w:b/>
          <w:sz w:val="24"/>
          <w:szCs w:val="24"/>
          <w:lang w:val="en-US"/>
        </w:rPr>
      </w:pPr>
      <w:r w:rsidRPr="00B66BA6">
        <w:rPr>
          <w:b/>
          <w:sz w:val="24"/>
          <w:szCs w:val="24"/>
          <w:lang w:val="en-US"/>
        </w:rPr>
        <w:t>*Corresponding author:</w:t>
      </w:r>
      <w:r w:rsidRPr="00B66BA6">
        <w:rPr>
          <w:b/>
          <w:sz w:val="24"/>
          <w:szCs w:val="24"/>
          <w:lang w:val="en-US"/>
        </w:rPr>
        <w:tab/>
      </w:r>
    </w:p>
    <w:p w:rsidR="00A21AE6" w:rsidRPr="00B66BA6" w:rsidRDefault="008A17EC" w:rsidP="00A21AE6">
      <w:pPr>
        <w:spacing w:line="240" w:lineRule="auto"/>
        <w:rPr>
          <w:sz w:val="24"/>
          <w:szCs w:val="24"/>
          <w:lang w:val="en-US"/>
        </w:rPr>
      </w:pPr>
      <w:r w:rsidRPr="00C577C6">
        <w:rPr>
          <w:sz w:val="24"/>
          <w:szCs w:val="24"/>
        </w:rPr>
        <w:t xml:space="preserve">Celestino </w:t>
      </w:r>
      <w:proofErr w:type="spellStart"/>
      <w:r w:rsidRPr="00C577C6">
        <w:rPr>
          <w:sz w:val="24"/>
          <w:szCs w:val="24"/>
        </w:rPr>
        <w:t>Sardu</w:t>
      </w:r>
      <w:proofErr w:type="spellEnd"/>
      <w:r w:rsidRPr="00C577C6">
        <w:rPr>
          <w:sz w:val="24"/>
          <w:szCs w:val="24"/>
        </w:rPr>
        <w:t xml:space="preserve">, MD, </w:t>
      </w:r>
      <w:proofErr w:type="spellStart"/>
      <w:r w:rsidRPr="00C577C6">
        <w:rPr>
          <w:sz w:val="24"/>
          <w:szCs w:val="24"/>
        </w:rPr>
        <w:t>MSc</w:t>
      </w:r>
      <w:proofErr w:type="spellEnd"/>
      <w:r w:rsidRPr="00C577C6">
        <w:rPr>
          <w:sz w:val="24"/>
          <w:szCs w:val="24"/>
        </w:rPr>
        <w:t xml:space="preserve">, </w:t>
      </w:r>
      <w:proofErr w:type="spellStart"/>
      <w:r w:rsidRPr="00C577C6">
        <w:rPr>
          <w:sz w:val="24"/>
          <w:szCs w:val="24"/>
        </w:rPr>
        <w:t>PhD</w:t>
      </w:r>
      <w:proofErr w:type="spellEnd"/>
      <w:r w:rsidRPr="00C577C6">
        <w:rPr>
          <w:sz w:val="24"/>
          <w:szCs w:val="24"/>
        </w:rPr>
        <w:tab/>
      </w:r>
      <w:r w:rsidRPr="00C577C6">
        <w:rPr>
          <w:sz w:val="24"/>
          <w:szCs w:val="24"/>
        </w:rPr>
        <w:tab/>
      </w:r>
      <w:r w:rsidRPr="00C577C6">
        <w:rPr>
          <w:sz w:val="24"/>
          <w:szCs w:val="24"/>
        </w:rPr>
        <w:tab/>
      </w:r>
      <w:r w:rsidRPr="00C577C6">
        <w:rPr>
          <w:sz w:val="24"/>
          <w:szCs w:val="24"/>
        </w:rPr>
        <w:tab/>
      </w:r>
      <w:r w:rsidRPr="00C577C6">
        <w:rPr>
          <w:sz w:val="24"/>
          <w:szCs w:val="24"/>
        </w:rPr>
        <w:tab/>
      </w:r>
      <w:r w:rsidRPr="00C577C6">
        <w:rPr>
          <w:sz w:val="24"/>
          <w:szCs w:val="24"/>
        </w:rPr>
        <w:tab/>
      </w:r>
      <w:r w:rsidRPr="00C577C6">
        <w:rPr>
          <w:sz w:val="24"/>
          <w:szCs w:val="24"/>
        </w:rPr>
        <w:tab/>
      </w:r>
      <w:r w:rsidRPr="00C577C6">
        <w:rPr>
          <w:sz w:val="24"/>
          <w:szCs w:val="24"/>
        </w:rPr>
        <w:tab/>
      </w:r>
      <w:r w:rsidRPr="00C577C6">
        <w:rPr>
          <w:sz w:val="24"/>
          <w:szCs w:val="24"/>
        </w:rPr>
        <w:tab/>
        <w:t xml:space="preserve">         </w:t>
      </w:r>
      <w:proofErr w:type="spellStart"/>
      <w:r w:rsidRPr="00C577C6">
        <w:rPr>
          <w:sz w:val="24"/>
          <w:szCs w:val="24"/>
        </w:rPr>
        <w:t>address</w:t>
      </w:r>
      <w:proofErr w:type="spellEnd"/>
      <w:r w:rsidRPr="00C577C6">
        <w:rPr>
          <w:sz w:val="24"/>
          <w:szCs w:val="24"/>
        </w:rPr>
        <w:t xml:space="preserve">: Piazza Miraglia, 2; 80138, </w:t>
      </w:r>
      <w:proofErr w:type="spellStart"/>
      <w:r w:rsidRPr="00C577C6">
        <w:rPr>
          <w:sz w:val="24"/>
          <w:szCs w:val="24"/>
        </w:rPr>
        <w:t>Naples</w:t>
      </w:r>
      <w:proofErr w:type="spellEnd"/>
      <w:r w:rsidRPr="00C577C6">
        <w:rPr>
          <w:sz w:val="24"/>
          <w:szCs w:val="24"/>
        </w:rPr>
        <w:t xml:space="preserve">, </w:t>
      </w:r>
      <w:proofErr w:type="spellStart"/>
      <w:r w:rsidRPr="00C577C6">
        <w:rPr>
          <w:sz w:val="24"/>
          <w:szCs w:val="24"/>
        </w:rPr>
        <w:t>Italy</w:t>
      </w:r>
      <w:proofErr w:type="spellEnd"/>
      <w:r w:rsidRPr="00C577C6">
        <w:rPr>
          <w:sz w:val="24"/>
          <w:szCs w:val="24"/>
        </w:rPr>
        <w:t>.</w:t>
      </w:r>
      <w:r w:rsidRPr="00C577C6">
        <w:rPr>
          <w:sz w:val="24"/>
          <w:szCs w:val="24"/>
        </w:rPr>
        <w:tab/>
      </w:r>
      <w:r w:rsidRPr="00C577C6">
        <w:rPr>
          <w:sz w:val="24"/>
          <w:szCs w:val="24"/>
        </w:rPr>
        <w:tab/>
      </w:r>
      <w:r w:rsidRPr="00C577C6">
        <w:rPr>
          <w:sz w:val="24"/>
          <w:szCs w:val="24"/>
        </w:rPr>
        <w:tab/>
      </w:r>
      <w:r w:rsidRPr="00C577C6">
        <w:rPr>
          <w:sz w:val="24"/>
          <w:szCs w:val="24"/>
        </w:rPr>
        <w:tab/>
      </w:r>
      <w:r w:rsidRPr="00C577C6">
        <w:rPr>
          <w:sz w:val="24"/>
          <w:szCs w:val="24"/>
        </w:rPr>
        <w:tab/>
      </w:r>
      <w:r w:rsidRPr="00C577C6">
        <w:rPr>
          <w:sz w:val="24"/>
          <w:szCs w:val="24"/>
        </w:rPr>
        <w:tab/>
        <w:t xml:space="preserve"> </w:t>
      </w:r>
      <w:r w:rsidRPr="00B66BA6">
        <w:rPr>
          <w:sz w:val="24"/>
          <w:szCs w:val="24"/>
          <w:lang w:val="en-US"/>
        </w:rPr>
        <w:t>Telephone: +39 0815665110; fax: +39 0815095303.</w:t>
      </w:r>
      <w:r w:rsidRPr="00B66BA6">
        <w:rPr>
          <w:sz w:val="24"/>
          <w:szCs w:val="24"/>
          <w:lang w:val="en-US"/>
        </w:rPr>
        <w:tab/>
      </w:r>
      <w:r w:rsidRPr="00B66BA6">
        <w:rPr>
          <w:sz w:val="24"/>
          <w:szCs w:val="24"/>
          <w:lang w:val="en-US"/>
        </w:rPr>
        <w:tab/>
      </w:r>
      <w:r w:rsidRPr="00B66BA6">
        <w:rPr>
          <w:sz w:val="24"/>
          <w:szCs w:val="24"/>
          <w:lang w:val="en-US"/>
        </w:rPr>
        <w:tab/>
      </w:r>
      <w:r w:rsidRPr="00B66BA6">
        <w:rPr>
          <w:sz w:val="24"/>
          <w:szCs w:val="24"/>
          <w:lang w:val="en-US"/>
        </w:rPr>
        <w:tab/>
      </w:r>
      <w:r w:rsidRPr="00B66BA6">
        <w:rPr>
          <w:sz w:val="24"/>
          <w:szCs w:val="24"/>
          <w:lang w:val="en-US"/>
        </w:rPr>
        <w:tab/>
        <w:t xml:space="preserve">               email: </w:t>
      </w:r>
      <w:hyperlink r:id="rId8" w:history="1">
        <w:r w:rsidRPr="00B66BA6">
          <w:rPr>
            <w:rStyle w:val="Collegamentoipertestuale"/>
            <w:sz w:val="24"/>
            <w:szCs w:val="24"/>
            <w:lang w:val="en-US"/>
          </w:rPr>
          <w:t>drsarducele@gmail.com</w:t>
        </w:r>
      </w:hyperlink>
      <w:r w:rsidRPr="00B66BA6">
        <w:rPr>
          <w:sz w:val="24"/>
          <w:szCs w:val="24"/>
          <w:lang w:val="en-US"/>
        </w:rPr>
        <w:t xml:space="preserve"> </w:t>
      </w:r>
    </w:p>
    <w:p w:rsidR="009F7A69" w:rsidRDefault="009F7A69" w:rsidP="00A21AE6">
      <w:pPr>
        <w:spacing w:line="480" w:lineRule="auto"/>
        <w:rPr>
          <w:rFonts w:cstheme="minorHAnsi"/>
          <w:b/>
          <w:sz w:val="24"/>
          <w:szCs w:val="24"/>
          <w:lang w:val="en-US"/>
        </w:rPr>
      </w:pPr>
    </w:p>
    <w:p w:rsidR="009F7A69" w:rsidRDefault="009F7A69" w:rsidP="002746D5">
      <w:pPr>
        <w:autoSpaceDE w:val="0"/>
        <w:autoSpaceDN w:val="0"/>
        <w:adjustRightInd w:val="0"/>
        <w:spacing w:after="0" w:line="480" w:lineRule="auto"/>
        <w:rPr>
          <w:rFonts w:cstheme="minorHAnsi"/>
          <w:b/>
          <w:sz w:val="24"/>
          <w:szCs w:val="24"/>
          <w:lang w:val="en-US"/>
        </w:rPr>
      </w:pPr>
    </w:p>
    <w:p w:rsidR="002746D5" w:rsidRPr="002746D5" w:rsidRDefault="008A17EC" w:rsidP="002746D5">
      <w:pPr>
        <w:autoSpaceDE w:val="0"/>
        <w:autoSpaceDN w:val="0"/>
        <w:adjustRightInd w:val="0"/>
        <w:spacing w:after="0" w:line="480" w:lineRule="auto"/>
        <w:rPr>
          <w:rFonts w:cstheme="minorHAnsi"/>
          <w:b/>
          <w:sz w:val="24"/>
          <w:szCs w:val="24"/>
          <w:lang w:val="en-US"/>
        </w:rPr>
      </w:pPr>
      <w:r w:rsidRPr="002746D5">
        <w:rPr>
          <w:rFonts w:cstheme="minorHAnsi"/>
          <w:b/>
          <w:sz w:val="24"/>
          <w:szCs w:val="24"/>
          <w:lang w:val="en-US"/>
        </w:rPr>
        <w:lastRenderedPageBreak/>
        <w:t>RESULTS</w:t>
      </w:r>
    </w:p>
    <w:p w:rsidR="00D7054B" w:rsidRDefault="00BD609D" w:rsidP="00D7054B">
      <w:pPr>
        <w:autoSpaceDE w:val="0"/>
        <w:autoSpaceDN w:val="0"/>
        <w:adjustRightInd w:val="0"/>
        <w:spacing w:after="0" w:line="480" w:lineRule="auto"/>
        <w:rPr>
          <w:rFonts w:cstheme="minorHAnsi"/>
          <w:sz w:val="24"/>
          <w:szCs w:val="24"/>
          <w:lang w:val="en-US"/>
        </w:rPr>
      </w:pPr>
      <w:r>
        <w:rPr>
          <w:sz w:val="24"/>
          <w:szCs w:val="24"/>
          <w:lang w:val="en-US"/>
        </w:rPr>
        <w:t xml:space="preserve">In our study, the </w:t>
      </w:r>
      <w:r w:rsidR="00A85F45">
        <w:rPr>
          <w:sz w:val="24"/>
          <w:szCs w:val="24"/>
          <w:lang w:val="en-US"/>
        </w:rPr>
        <w:t xml:space="preserve">patients under </w:t>
      </w:r>
      <w:r>
        <w:rPr>
          <w:rFonts w:cstheme="minorHAnsi"/>
          <w:sz w:val="24"/>
          <w:szCs w:val="24"/>
          <w:lang w:val="en-US"/>
        </w:rPr>
        <w:t xml:space="preserve">sodium-glucose transporter 2 inhibitors (SGLT2-I users) vs. those without SGLT2-I </w:t>
      </w:r>
      <w:r w:rsidR="00CE449D">
        <w:rPr>
          <w:rFonts w:cstheme="minorHAnsi"/>
          <w:sz w:val="24"/>
          <w:szCs w:val="24"/>
          <w:lang w:val="en-US"/>
        </w:rPr>
        <w:t xml:space="preserve">therapy </w:t>
      </w:r>
      <w:r>
        <w:rPr>
          <w:rFonts w:cstheme="minorHAnsi"/>
          <w:sz w:val="24"/>
          <w:szCs w:val="24"/>
          <w:lang w:val="en-US"/>
        </w:rPr>
        <w:t>(Non-SGLT2-I users)</w:t>
      </w:r>
      <w:r>
        <w:rPr>
          <w:sz w:val="24"/>
          <w:szCs w:val="24"/>
          <w:lang w:val="en-US"/>
        </w:rPr>
        <w:t xml:space="preserve"> exhibited a significant difference regards the number of </w:t>
      </w:r>
      <w:r w:rsidR="00A85F45">
        <w:rPr>
          <w:sz w:val="24"/>
          <w:szCs w:val="24"/>
          <w:lang w:val="en-US"/>
        </w:rPr>
        <w:t>vasovagal syncope (</w:t>
      </w:r>
      <w:r>
        <w:rPr>
          <w:sz w:val="24"/>
          <w:szCs w:val="24"/>
          <w:lang w:val="en-US"/>
        </w:rPr>
        <w:t>VVS</w:t>
      </w:r>
      <w:r w:rsidR="00A85F45">
        <w:rPr>
          <w:sz w:val="24"/>
          <w:szCs w:val="24"/>
          <w:lang w:val="en-US"/>
        </w:rPr>
        <w:t>)</w:t>
      </w:r>
      <w:r>
        <w:rPr>
          <w:sz w:val="24"/>
          <w:szCs w:val="24"/>
          <w:lang w:val="en-US"/>
        </w:rPr>
        <w:t xml:space="preserve"> recurring events (40 vs. 200 events; p&lt;0.05) at follow-up end. However,</w:t>
      </w:r>
      <w:r>
        <w:rPr>
          <w:rFonts w:cstheme="minorHAnsi"/>
          <w:sz w:val="24"/>
          <w:szCs w:val="24"/>
          <w:lang w:val="en-US"/>
        </w:rPr>
        <w:t xml:space="preserve"> in these patients (SGLT2-I users vs. Non-SGLT2-I users) and specifically only in those with VVS recurrence, w</w:t>
      </w:r>
      <w:r w:rsidR="00007269">
        <w:rPr>
          <w:rFonts w:cstheme="minorHAnsi"/>
          <w:sz w:val="24"/>
          <w:szCs w:val="24"/>
          <w:lang w:val="en-US"/>
        </w:rPr>
        <w:t>e i</w:t>
      </w:r>
      <w:r w:rsidR="00D7054B">
        <w:rPr>
          <w:rFonts w:cstheme="minorHAnsi"/>
          <w:sz w:val="24"/>
          <w:szCs w:val="24"/>
          <w:lang w:val="en-US"/>
        </w:rPr>
        <w:t>nvestigat</w:t>
      </w:r>
      <w:r w:rsidR="00007269">
        <w:rPr>
          <w:rFonts w:cstheme="minorHAnsi"/>
          <w:sz w:val="24"/>
          <w:szCs w:val="24"/>
          <w:lang w:val="en-US"/>
        </w:rPr>
        <w:t xml:space="preserve">ed the parameters of heart rate variability (HRV) and the </w:t>
      </w:r>
      <w:r w:rsidR="00007269" w:rsidRPr="00C35EF1">
        <w:rPr>
          <w:rFonts w:cstheme="minorHAnsi"/>
          <w:sz w:val="24"/>
          <w:szCs w:val="24"/>
          <w:lang w:val="en-US"/>
        </w:rPr>
        <w:t>123I</w:t>
      </w:r>
      <w:r w:rsidR="00196FF5">
        <w:rPr>
          <w:rFonts w:cstheme="minorHAnsi"/>
          <w:sz w:val="24"/>
          <w:szCs w:val="24"/>
          <w:lang w:val="en-US"/>
        </w:rPr>
        <w:t>-metaiodobenzylguanidine (123I-M</w:t>
      </w:r>
      <w:r w:rsidR="00007269" w:rsidRPr="00C35EF1">
        <w:rPr>
          <w:rFonts w:cstheme="minorHAnsi"/>
          <w:sz w:val="24"/>
          <w:szCs w:val="24"/>
          <w:lang w:val="en-US"/>
        </w:rPr>
        <w:t>IBG) myocardial scintigraphy</w:t>
      </w:r>
      <w:r w:rsidR="00007269">
        <w:rPr>
          <w:rFonts w:cstheme="minorHAnsi"/>
          <w:sz w:val="24"/>
          <w:szCs w:val="24"/>
          <w:lang w:val="en-US"/>
        </w:rPr>
        <w:t xml:space="preserve"> indexes, to stage the vagal tone and cardiac autonomic dysfunction </w:t>
      </w:r>
      <w:r w:rsidR="00D7054B">
        <w:rPr>
          <w:rFonts w:cstheme="minorHAnsi"/>
          <w:sz w:val="24"/>
          <w:szCs w:val="24"/>
          <w:lang w:val="en-US"/>
        </w:rPr>
        <w:t xml:space="preserve">only </w:t>
      </w:r>
      <w:r w:rsidR="00007269">
        <w:rPr>
          <w:rFonts w:cstheme="minorHAnsi"/>
          <w:sz w:val="24"/>
          <w:szCs w:val="24"/>
          <w:lang w:val="en-US"/>
        </w:rPr>
        <w:t xml:space="preserve">for </w:t>
      </w:r>
      <w:r w:rsidR="00D7054B">
        <w:rPr>
          <w:rFonts w:cstheme="minorHAnsi"/>
          <w:sz w:val="24"/>
          <w:szCs w:val="24"/>
          <w:lang w:val="en-US"/>
        </w:rPr>
        <w:t>t</w:t>
      </w:r>
      <w:r w:rsidR="00F44CB7">
        <w:rPr>
          <w:rFonts w:cstheme="minorHAnsi"/>
          <w:sz w:val="24"/>
          <w:szCs w:val="24"/>
          <w:lang w:val="en-US"/>
        </w:rPr>
        <w:t xml:space="preserve">he patients </w:t>
      </w:r>
      <w:r w:rsidR="00007269">
        <w:rPr>
          <w:rFonts w:cstheme="minorHAnsi"/>
          <w:sz w:val="24"/>
          <w:szCs w:val="24"/>
          <w:lang w:val="en-US"/>
        </w:rPr>
        <w:t>presenting vasovagal syncope (</w:t>
      </w:r>
      <w:r w:rsidR="00F44CB7">
        <w:rPr>
          <w:rFonts w:cstheme="minorHAnsi"/>
          <w:sz w:val="24"/>
          <w:szCs w:val="24"/>
          <w:lang w:val="en-US"/>
        </w:rPr>
        <w:t>VVS</w:t>
      </w:r>
      <w:r w:rsidR="00007269">
        <w:rPr>
          <w:rFonts w:cstheme="minorHAnsi"/>
          <w:sz w:val="24"/>
          <w:szCs w:val="24"/>
          <w:lang w:val="en-US"/>
        </w:rPr>
        <w:t>)</w:t>
      </w:r>
      <w:r w:rsidR="00F44CB7">
        <w:rPr>
          <w:rFonts w:cstheme="minorHAnsi"/>
          <w:sz w:val="24"/>
          <w:szCs w:val="24"/>
          <w:lang w:val="en-US"/>
        </w:rPr>
        <w:t xml:space="preserve"> recurrence, </w:t>
      </w:r>
      <w:r w:rsidR="00007269">
        <w:rPr>
          <w:rFonts w:cstheme="minorHAnsi"/>
          <w:sz w:val="24"/>
          <w:szCs w:val="24"/>
          <w:lang w:val="en-US"/>
        </w:rPr>
        <w:t xml:space="preserve">as all causes, mixed, cardio-inhibitory and vasodepressor. However, </w:t>
      </w:r>
      <w:r w:rsidR="00D7054B">
        <w:rPr>
          <w:rFonts w:cstheme="minorHAnsi"/>
          <w:sz w:val="24"/>
          <w:szCs w:val="24"/>
          <w:lang w:val="en-US"/>
        </w:rPr>
        <w:t>we found as follows:</w:t>
      </w:r>
    </w:p>
    <w:p w:rsidR="00D7054B" w:rsidRPr="00F1168D" w:rsidRDefault="00D7054B" w:rsidP="00D7054B">
      <w:pPr>
        <w:autoSpaceDE w:val="0"/>
        <w:autoSpaceDN w:val="0"/>
        <w:adjustRightInd w:val="0"/>
        <w:spacing w:after="0" w:line="480" w:lineRule="auto"/>
        <w:rPr>
          <w:rFonts w:cstheme="minorHAnsi"/>
          <w:sz w:val="24"/>
          <w:szCs w:val="24"/>
          <w:lang w:val="en-US"/>
        </w:rPr>
      </w:pPr>
      <w:r>
        <w:rPr>
          <w:rFonts w:cstheme="minorHAnsi"/>
          <w:sz w:val="24"/>
          <w:szCs w:val="24"/>
          <w:lang w:val="en-US"/>
        </w:rPr>
        <w:t>-</w:t>
      </w:r>
      <w:r w:rsidRPr="00F1168D">
        <w:rPr>
          <w:rFonts w:cstheme="minorHAnsi"/>
          <w:sz w:val="24"/>
          <w:szCs w:val="24"/>
          <w:lang w:val="en-US"/>
        </w:rPr>
        <w:t xml:space="preserve">for </w:t>
      </w:r>
      <w:r w:rsidR="00CE449D">
        <w:rPr>
          <w:rFonts w:cstheme="minorHAnsi"/>
          <w:sz w:val="24"/>
          <w:szCs w:val="24"/>
          <w:lang w:val="en-US"/>
        </w:rPr>
        <w:t xml:space="preserve">the patients with </w:t>
      </w:r>
      <w:r w:rsidRPr="00F1168D">
        <w:rPr>
          <w:rFonts w:cstheme="minorHAnsi"/>
          <w:b/>
          <w:sz w:val="24"/>
          <w:szCs w:val="24"/>
          <w:lang w:val="en-US"/>
        </w:rPr>
        <w:t>all causes of syncope</w:t>
      </w:r>
      <w:r w:rsidRPr="00F1168D">
        <w:rPr>
          <w:rFonts w:cstheme="minorHAnsi"/>
          <w:sz w:val="24"/>
          <w:szCs w:val="24"/>
          <w:lang w:val="en-US"/>
        </w:rPr>
        <w:t xml:space="preserve">, the SGLT2-I-users vs. </w:t>
      </w:r>
      <w:r w:rsidR="000019D4">
        <w:rPr>
          <w:rFonts w:cstheme="minorHAnsi"/>
          <w:sz w:val="24"/>
          <w:szCs w:val="24"/>
          <w:lang w:val="en-US"/>
        </w:rPr>
        <w:t>Non-SGLT2-I</w:t>
      </w:r>
      <w:r w:rsidRPr="00F1168D">
        <w:rPr>
          <w:rFonts w:cstheme="minorHAnsi"/>
          <w:sz w:val="24"/>
          <w:szCs w:val="24"/>
          <w:lang w:val="en-US"/>
        </w:rPr>
        <w:t xml:space="preserve"> users’ showed at baseline a significant difference regards all investigated parameters (p&lt;0.05), at the exception of </w:t>
      </w:r>
      <w:r w:rsidR="00BC78B5">
        <w:rPr>
          <w:rFonts w:cstheme="minorHAnsi"/>
          <w:sz w:val="24"/>
          <w:szCs w:val="24"/>
          <w:lang w:val="en-US"/>
        </w:rPr>
        <w:t>heart rate (</w:t>
      </w:r>
      <w:r w:rsidRPr="00F1168D">
        <w:rPr>
          <w:rFonts w:cstheme="minorHAnsi"/>
          <w:sz w:val="24"/>
          <w:szCs w:val="24"/>
          <w:lang w:val="en-US"/>
        </w:rPr>
        <w:t>HR</w:t>
      </w:r>
      <w:r w:rsidR="00BC78B5">
        <w:rPr>
          <w:rFonts w:cstheme="minorHAnsi"/>
          <w:sz w:val="24"/>
          <w:szCs w:val="24"/>
          <w:lang w:val="en-US"/>
        </w:rPr>
        <w:t>),</w:t>
      </w:r>
      <w:r w:rsidRPr="00F1168D">
        <w:rPr>
          <w:rFonts w:cstheme="minorHAnsi"/>
          <w:sz w:val="24"/>
          <w:szCs w:val="24"/>
          <w:lang w:val="en-US"/>
        </w:rPr>
        <w:t xml:space="preserve"> (p&gt;0.05). </w:t>
      </w:r>
      <w:r w:rsidRPr="00F1168D">
        <w:rPr>
          <w:rFonts w:cstheme="minorHAnsi"/>
          <w:b/>
          <w:sz w:val="24"/>
          <w:szCs w:val="24"/>
          <w:lang w:val="en-US"/>
        </w:rPr>
        <w:t>Supplementary</w:t>
      </w:r>
      <w:r w:rsidRPr="00F1168D">
        <w:rPr>
          <w:rFonts w:cstheme="minorHAnsi"/>
          <w:sz w:val="24"/>
          <w:szCs w:val="24"/>
          <w:lang w:val="en-US"/>
        </w:rPr>
        <w:t xml:space="preserve"> </w:t>
      </w:r>
      <w:r w:rsidRPr="00F1168D">
        <w:rPr>
          <w:rFonts w:cstheme="minorHAnsi"/>
          <w:b/>
          <w:sz w:val="24"/>
          <w:szCs w:val="24"/>
          <w:lang w:val="en-US"/>
        </w:rPr>
        <w:t>table</w:t>
      </w:r>
      <w:r w:rsidR="002C7F1C">
        <w:rPr>
          <w:rFonts w:cstheme="minorHAnsi"/>
          <w:b/>
          <w:sz w:val="24"/>
          <w:szCs w:val="24"/>
          <w:lang w:val="en-US"/>
        </w:rPr>
        <w:t xml:space="preserve"> 1</w:t>
      </w:r>
      <w:r w:rsidRPr="00F1168D">
        <w:rPr>
          <w:rFonts w:cstheme="minorHAnsi"/>
          <w:sz w:val="24"/>
          <w:szCs w:val="24"/>
          <w:lang w:val="en-US"/>
        </w:rPr>
        <w:t xml:space="preserve">. At 1 year of follow-up, for all causes of syncope, SGLT2-I-users vs. </w:t>
      </w:r>
      <w:r w:rsidR="000019D4">
        <w:rPr>
          <w:rFonts w:cstheme="minorHAnsi"/>
          <w:sz w:val="24"/>
          <w:szCs w:val="24"/>
          <w:lang w:val="en-US"/>
        </w:rPr>
        <w:t>Non-SGLT2-I</w:t>
      </w:r>
      <w:r w:rsidRPr="00F1168D">
        <w:rPr>
          <w:rFonts w:cstheme="minorHAnsi"/>
          <w:sz w:val="24"/>
          <w:szCs w:val="24"/>
          <w:lang w:val="en-US"/>
        </w:rPr>
        <w:t xml:space="preserve"> users’ patients showed a significant difference regards all investigated parameters (p&lt;0.05). </w:t>
      </w:r>
      <w:r w:rsidRPr="00F1168D">
        <w:rPr>
          <w:rFonts w:cstheme="minorHAnsi"/>
          <w:b/>
          <w:sz w:val="24"/>
          <w:szCs w:val="24"/>
          <w:lang w:val="en-US"/>
        </w:rPr>
        <w:t>Supplementary</w:t>
      </w:r>
      <w:r w:rsidRPr="00F1168D">
        <w:rPr>
          <w:rFonts w:cstheme="minorHAnsi"/>
          <w:sz w:val="24"/>
          <w:szCs w:val="24"/>
          <w:lang w:val="en-US"/>
        </w:rPr>
        <w:t xml:space="preserve"> </w:t>
      </w:r>
      <w:r w:rsidRPr="00F1168D">
        <w:rPr>
          <w:rFonts w:cstheme="minorHAnsi"/>
          <w:b/>
          <w:sz w:val="24"/>
          <w:szCs w:val="24"/>
          <w:lang w:val="en-US"/>
        </w:rPr>
        <w:t>table</w:t>
      </w:r>
      <w:r w:rsidR="002C7F1C">
        <w:rPr>
          <w:rFonts w:cstheme="minorHAnsi"/>
          <w:b/>
          <w:sz w:val="24"/>
          <w:szCs w:val="24"/>
          <w:lang w:val="en-US"/>
        </w:rPr>
        <w:t xml:space="preserve"> 1</w:t>
      </w:r>
      <w:r w:rsidRPr="00F1168D">
        <w:rPr>
          <w:rFonts w:cstheme="minorHAnsi"/>
          <w:sz w:val="24"/>
          <w:szCs w:val="24"/>
          <w:lang w:val="en-US"/>
        </w:rPr>
        <w:t>.</w:t>
      </w:r>
    </w:p>
    <w:p w:rsidR="00D7054B" w:rsidRPr="00F1168D" w:rsidRDefault="00D7054B" w:rsidP="00D7054B">
      <w:pPr>
        <w:autoSpaceDE w:val="0"/>
        <w:autoSpaceDN w:val="0"/>
        <w:adjustRightInd w:val="0"/>
        <w:spacing w:after="0" w:line="480" w:lineRule="auto"/>
        <w:rPr>
          <w:rFonts w:cstheme="minorHAnsi"/>
          <w:sz w:val="24"/>
          <w:szCs w:val="24"/>
          <w:lang w:val="en-US"/>
        </w:rPr>
      </w:pPr>
      <w:r>
        <w:rPr>
          <w:rFonts w:cstheme="minorHAnsi"/>
          <w:sz w:val="24"/>
          <w:szCs w:val="24"/>
          <w:lang w:val="en-US"/>
        </w:rPr>
        <w:t>-</w:t>
      </w:r>
      <w:r w:rsidRPr="00F1168D">
        <w:rPr>
          <w:rFonts w:cstheme="minorHAnsi"/>
          <w:sz w:val="24"/>
          <w:szCs w:val="24"/>
          <w:lang w:val="en-US"/>
        </w:rPr>
        <w:t xml:space="preserve">For </w:t>
      </w:r>
      <w:r w:rsidR="00CE449D">
        <w:rPr>
          <w:rFonts w:cstheme="minorHAnsi"/>
          <w:sz w:val="24"/>
          <w:szCs w:val="24"/>
          <w:lang w:val="en-US"/>
        </w:rPr>
        <w:t xml:space="preserve">the patients with </w:t>
      </w:r>
      <w:r w:rsidRPr="00F1168D">
        <w:rPr>
          <w:rFonts w:cstheme="minorHAnsi"/>
          <w:b/>
          <w:sz w:val="24"/>
          <w:szCs w:val="24"/>
          <w:lang w:val="en-US"/>
        </w:rPr>
        <w:t>mixed syncope</w:t>
      </w:r>
      <w:r w:rsidRPr="00F1168D">
        <w:rPr>
          <w:rFonts w:cstheme="minorHAnsi"/>
          <w:sz w:val="24"/>
          <w:szCs w:val="24"/>
          <w:lang w:val="en-US"/>
        </w:rPr>
        <w:t xml:space="preserve">, SGLT2-I-users vs. </w:t>
      </w:r>
      <w:r w:rsidR="000019D4">
        <w:rPr>
          <w:rFonts w:cstheme="minorHAnsi"/>
          <w:sz w:val="24"/>
          <w:szCs w:val="24"/>
          <w:lang w:val="en-US"/>
        </w:rPr>
        <w:t>Non-SGLT2-I</w:t>
      </w:r>
      <w:r w:rsidRPr="00F1168D">
        <w:rPr>
          <w:rFonts w:cstheme="minorHAnsi"/>
          <w:sz w:val="24"/>
          <w:szCs w:val="24"/>
          <w:lang w:val="en-US"/>
        </w:rPr>
        <w:t xml:space="preserve"> users</w:t>
      </w:r>
      <w:r w:rsidR="00007269">
        <w:rPr>
          <w:rFonts w:cstheme="minorHAnsi"/>
          <w:sz w:val="24"/>
          <w:szCs w:val="24"/>
          <w:lang w:val="en-US"/>
        </w:rPr>
        <w:t>’</w:t>
      </w:r>
      <w:r w:rsidR="00CE449D">
        <w:rPr>
          <w:rFonts w:cstheme="minorHAnsi"/>
          <w:sz w:val="24"/>
          <w:szCs w:val="24"/>
          <w:lang w:val="en-US"/>
        </w:rPr>
        <w:t xml:space="preserve"> </w:t>
      </w:r>
      <w:r w:rsidRPr="00F1168D">
        <w:rPr>
          <w:rFonts w:cstheme="minorHAnsi"/>
          <w:sz w:val="24"/>
          <w:szCs w:val="24"/>
          <w:lang w:val="en-US"/>
        </w:rPr>
        <w:t xml:space="preserve">evidenced at baseline a significant difference regards all investigated parameters (p&lt;0.05), at the exception of HR, and </w:t>
      </w:r>
      <w:r w:rsidR="00BC78B5">
        <w:rPr>
          <w:rFonts w:cstheme="minorHAnsi"/>
          <w:sz w:val="24"/>
          <w:szCs w:val="24"/>
          <w:lang w:val="en-US"/>
        </w:rPr>
        <w:t>low frequency/high frequency ratio (</w:t>
      </w:r>
      <w:r w:rsidRPr="00F1168D">
        <w:rPr>
          <w:rFonts w:cstheme="minorHAnsi"/>
          <w:sz w:val="24"/>
          <w:szCs w:val="24"/>
          <w:lang w:val="en-US"/>
        </w:rPr>
        <w:t>LF/HF ratio</w:t>
      </w:r>
      <w:r w:rsidR="00BC78B5">
        <w:rPr>
          <w:rFonts w:cstheme="minorHAnsi"/>
          <w:sz w:val="24"/>
          <w:szCs w:val="24"/>
          <w:lang w:val="en-US"/>
        </w:rPr>
        <w:t>),</w:t>
      </w:r>
      <w:r w:rsidRPr="00F1168D">
        <w:rPr>
          <w:rFonts w:cstheme="minorHAnsi"/>
          <w:sz w:val="24"/>
          <w:szCs w:val="24"/>
          <w:lang w:val="en-US"/>
        </w:rPr>
        <w:t xml:space="preserve"> (p&gt;0.05). </w:t>
      </w:r>
      <w:r w:rsidRPr="00F1168D">
        <w:rPr>
          <w:rFonts w:cstheme="minorHAnsi"/>
          <w:b/>
          <w:sz w:val="24"/>
          <w:szCs w:val="24"/>
          <w:lang w:val="en-US"/>
        </w:rPr>
        <w:t>Table 3</w:t>
      </w:r>
      <w:r w:rsidRPr="00F1168D">
        <w:rPr>
          <w:rFonts w:cstheme="minorHAnsi"/>
          <w:sz w:val="24"/>
          <w:szCs w:val="24"/>
          <w:lang w:val="en-US"/>
        </w:rPr>
        <w:t xml:space="preserve">. At 1 year of follow-up, SGLT2-I-users vs. </w:t>
      </w:r>
      <w:r w:rsidR="000019D4">
        <w:rPr>
          <w:rFonts w:cstheme="minorHAnsi"/>
          <w:sz w:val="24"/>
          <w:szCs w:val="24"/>
          <w:lang w:val="en-US"/>
        </w:rPr>
        <w:t>Non-SGLT2-I</w:t>
      </w:r>
      <w:r w:rsidRPr="00F1168D">
        <w:rPr>
          <w:rFonts w:cstheme="minorHAnsi"/>
          <w:sz w:val="24"/>
          <w:szCs w:val="24"/>
          <w:lang w:val="en-US"/>
        </w:rPr>
        <w:t xml:space="preserve"> users’ patients showed a significant difference regards all investigated parameters (p&lt;0.05). </w:t>
      </w:r>
      <w:r w:rsidRPr="00F1168D">
        <w:rPr>
          <w:rFonts w:cstheme="minorHAnsi"/>
          <w:b/>
          <w:sz w:val="24"/>
          <w:szCs w:val="24"/>
          <w:lang w:val="en-US"/>
        </w:rPr>
        <w:t>Supplementary</w:t>
      </w:r>
      <w:r w:rsidRPr="00F1168D">
        <w:rPr>
          <w:rFonts w:cstheme="minorHAnsi"/>
          <w:sz w:val="24"/>
          <w:szCs w:val="24"/>
          <w:lang w:val="en-US"/>
        </w:rPr>
        <w:t xml:space="preserve"> </w:t>
      </w:r>
      <w:r w:rsidRPr="00F1168D">
        <w:rPr>
          <w:rFonts w:cstheme="minorHAnsi"/>
          <w:b/>
          <w:sz w:val="24"/>
          <w:szCs w:val="24"/>
          <w:lang w:val="en-US"/>
        </w:rPr>
        <w:t>table</w:t>
      </w:r>
      <w:r w:rsidR="002C7F1C">
        <w:rPr>
          <w:rFonts w:cstheme="minorHAnsi"/>
          <w:b/>
          <w:sz w:val="24"/>
          <w:szCs w:val="24"/>
          <w:lang w:val="en-US"/>
        </w:rPr>
        <w:t xml:space="preserve"> 1</w:t>
      </w:r>
      <w:r w:rsidRPr="00F1168D">
        <w:rPr>
          <w:rFonts w:cstheme="minorHAnsi"/>
          <w:sz w:val="24"/>
          <w:szCs w:val="24"/>
          <w:lang w:val="en-US"/>
        </w:rPr>
        <w:t>.</w:t>
      </w:r>
    </w:p>
    <w:p w:rsidR="00D7054B" w:rsidRPr="00F1168D" w:rsidRDefault="00D7054B" w:rsidP="00D7054B">
      <w:pPr>
        <w:autoSpaceDE w:val="0"/>
        <w:autoSpaceDN w:val="0"/>
        <w:adjustRightInd w:val="0"/>
        <w:spacing w:after="0" w:line="480" w:lineRule="auto"/>
        <w:rPr>
          <w:rFonts w:cstheme="minorHAnsi"/>
          <w:sz w:val="24"/>
          <w:szCs w:val="24"/>
          <w:lang w:val="en-US"/>
        </w:rPr>
      </w:pPr>
      <w:r>
        <w:rPr>
          <w:rFonts w:cstheme="minorHAnsi"/>
          <w:sz w:val="24"/>
          <w:szCs w:val="24"/>
          <w:lang w:val="en-US"/>
        </w:rPr>
        <w:t>-</w:t>
      </w:r>
      <w:r w:rsidRPr="00F1168D">
        <w:rPr>
          <w:rFonts w:cstheme="minorHAnsi"/>
          <w:sz w:val="24"/>
          <w:szCs w:val="24"/>
          <w:lang w:val="en-US"/>
        </w:rPr>
        <w:t>For</w:t>
      </w:r>
      <w:r>
        <w:rPr>
          <w:rFonts w:cstheme="minorHAnsi"/>
          <w:sz w:val="24"/>
          <w:szCs w:val="24"/>
          <w:lang w:val="en-US"/>
        </w:rPr>
        <w:t xml:space="preserve"> </w:t>
      </w:r>
      <w:r w:rsidR="00CE449D">
        <w:rPr>
          <w:rFonts w:cstheme="minorHAnsi"/>
          <w:sz w:val="24"/>
          <w:szCs w:val="24"/>
          <w:lang w:val="en-US"/>
        </w:rPr>
        <w:t xml:space="preserve">the patients with </w:t>
      </w:r>
      <w:r>
        <w:rPr>
          <w:rFonts w:cstheme="minorHAnsi"/>
          <w:sz w:val="24"/>
          <w:szCs w:val="24"/>
          <w:lang w:val="en-US"/>
        </w:rPr>
        <w:t>the</w:t>
      </w:r>
      <w:r w:rsidRPr="00F1168D">
        <w:rPr>
          <w:rFonts w:cstheme="minorHAnsi"/>
          <w:sz w:val="24"/>
          <w:szCs w:val="24"/>
          <w:lang w:val="en-US"/>
        </w:rPr>
        <w:t xml:space="preserve"> </w:t>
      </w:r>
      <w:r w:rsidRPr="00F1168D">
        <w:rPr>
          <w:rFonts w:cstheme="minorHAnsi"/>
          <w:b/>
          <w:sz w:val="24"/>
          <w:szCs w:val="24"/>
          <w:lang w:val="en-US"/>
        </w:rPr>
        <w:t>cardio-inhibitory syncope</w:t>
      </w:r>
      <w:r w:rsidRPr="00F1168D">
        <w:rPr>
          <w:rFonts w:cstheme="minorHAnsi"/>
          <w:sz w:val="24"/>
          <w:szCs w:val="24"/>
          <w:lang w:val="en-US"/>
        </w:rPr>
        <w:t xml:space="preserve">, SGLT2-I-users vs. </w:t>
      </w:r>
      <w:r w:rsidR="000019D4">
        <w:rPr>
          <w:rFonts w:cstheme="minorHAnsi"/>
          <w:sz w:val="24"/>
          <w:szCs w:val="24"/>
          <w:lang w:val="en-US"/>
        </w:rPr>
        <w:t>Non-SGLT2-I</w:t>
      </w:r>
      <w:r w:rsidRPr="00F1168D">
        <w:rPr>
          <w:rFonts w:cstheme="minorHAnsi"/>
          <w:sz w:val="24"/>
          <w:szCs w:val="24"/>
          <w:lang w:val="en-US"/>
        </w:rPr>
        <w:t xml:space="preserve"> </w:t>
      </w:r>
      <w:proofErr w:type="gramStart"/>
      <w:r w:rsidRPr="00F1168D">
        <w:rPr>
          <w:rFonts w:cstheme="minorHAnsi"/>
          <w:sz w:val="24"/>
          <w:szCs w:val="24"/>
          <w:lang w:val="en-US"/>
        </w:rPr>
        <w:t>users’</w:t>
      </w:r>
      <w:proofErr w:type="gramEnd"/>
      <w:r w:rsidRPr="00F1168D">
        <w:rPr>
          <w:rFonts w:cstheme="minorHAnsi"/>
          <w:sz w:val="24"/>
          <w:szCs w:val="24"/>
          <w:lang w:val="en-US"/>
        </w:rPr>
        <w:t xml:space="preserve"> at baseline showed significant difference regards all investigated parameters (p&lt;0.05), at the exception of HR, and LF (p&gt;0.05). </w:t>
      </w:r>
      <w:r w:rsidRPr="00F1168D">
        <w:rPr>
          <w:rFonts w:cstheme="minorHAnsi"/>
          <w:b/>
          <w:sz w:val="24"/>
          <w:szCs w:val="24"/>
          <w:lang w:val="en-US"/>
        </w:rPr>
        <w:t>Supplementary</w:t>
      </w:r>
      <w:r w:rsidRPr="00F1168D">
        <w:rPr>
          <w:rFonts w:cstheme="minorHAnsi"/>
          <w:sz w:val="24"/>
          <w:szCs w:val="24"/>
          <w:lang w:val="en-US"/>
        </w:rPr>
        <w:t xml:space="preserve"> </w:t>
      </w:r>
      <w:r w:rsidRPr="00F1168D">
        <w:rPr>
          <w:rFonts w:cstheme="minorHAnsi"/>
          <w:b/>
          <w:sz w:val="24"/>
          <w:szCs w:val="24"/>
          <w:lang w:val="en-US"/>
        </w:rPr>
        <w:t>table</w:t>
      </w:r>
      <w:r w:rsidR="002C7F1C">
        <w:rPr>
          <w:rFonts w:cstheme="minorHAnsi"/>
          <w:b/>
          <w:sz w:val="24"/>
          <w:szCs w:val="24"/>
          <w:lang w:val="en-US"/>
        </w:rPr>
        <w:t xml:space="preserve"> 1</w:t>
      </w:r>
      <w:r w:rsidRPr="00F1168D">
        <w:rPr>
          <w:rFonts w:cstheme="minorHAnsi"/>
          <w:sz w:val="24"/>
          <w:szCs w:val="24"/>
          <w:lang w:val="en-US"/>
        </w:rPr>
        <w:t xml:space="preserve">. At 1 year of follow-up, SGLT2-I-users vs. </w:t>
      </w:r>
      <w:r w:rsidR="000019D4">
        <w:rPr>
          <w:rFonts w:cstheme="minorHAnsi"/>
          <w:sz w:val="24"/>
          <w:szCs w:val="24"/>
          <w:lang w:val="en-US"/>
        </w:rPr>
        <w:lastRenderedPageBreak/>
        <w:t>Non-SGLT2-I</w:t>
      </w:r>
      <w:r w:rsidRPr="00F1168D">
        <w:rPr>
          <w:rFonts w:cstheme="minorHAnsi"/>
          <w:sz w:val="24"/>
          <w:szCs w:val="24"/>
          <w:lang w:val="en-US"/>
        </w:rPr>
        <w:t xml:space="preserve"> users’ patients evidenced significant difference regards all investigated parameters (p&lt;0.05), at the exception of HR (p&gt;0.05). </w:t>
      </w:r>
      <w:r w:rsidRPr="00F1168D">
        <w:rPr>
          <w:rFonts w:cstheme="minorHAnsi"/>
          <w:b/>
          <w:sz w:val="24"/>
          <w:szCs w:val="24"/>
          <w:lang w:val="en-US"/>
        </w:rPr>
        <w:t>Supplementary</w:t>
      </w:r>
      <w:r w:rsidRPr="00F1168D">
        <w:rPr>
          <w:rFonts w:cstheme="minorHAnsi"/>
          <w:sz w:val="24"/>
          <w:szCs w:val="24"/>
          <w:lang w:val="en-US"/>
        </w:rPr>
        <w:t xml:space="preserve"> </w:t>
      </w:r>
      <w:r w:rsidRPr="00F1168D">
        <w:rPr>
          <w:rFonts w:cstheme="minorHAnsi"/>
          <w:b/>
          <w:sz w:val="24"/>
          <w:szCs w:val="24"/>
          <w:lang w:val="en-US"/>
        </w:rPr>
        <w:t>table</w:t>
      </w:r>
      <w:r w:rsidR="002C7F1C">
        <w:rPr>
          <w:rFonts w:cstheme="minorHAnsi"/>
          <w:b/>
          <w:sz w:val="24"/>
          <w:szCs w:val="24"/>
          <w:lang w:val="en-US"/>
        </w:rPr>
        <w:t xml:space="preserve"> 1</w:t>
      </w:r>
      <w:r w:rsidRPr="00F1168D">
        <w:rPr>
          <w:rFonts w:cstheme="minorHAnsi"/>
          <w:sz w:val="24"/>
          <w:szCs w:val="24"/>
          <w:lang w:val="en-US"/>
        </w:rPr>
        <w:t>.</w:t>
      </w:r>
    </w:p>
    <w:p w:rsidR="00D7054B" w:rsidRPr="00B300EE" w:rsidRDefault="00D7054B" w:rsidP="00D7054B">
      <w:pPr>
        <w:autoSpaceDE w:val="0"/>
        <w:autoSpaceDN w:val="0"/>
        <w:adjustRightInd w:val="0"/>
        <w:spacing w:after="0" w:line="480" w:lineRule="auto"/>
        <w:rPr>
          <w:rFonts w:cstheme="minorHAnsi"/>
          <w:sz w:val="24"/>
          <w:szCs w:val="24"/>
          <w:lang w:val="en-US"/>
        </w:rPr>
      </w:pPr>
      <w:r>
        <w:rPr>
          <w:rFonts w:cstheme="minorHAnsi"/>
          <w:sz w:val="24"/>
          <w:szCs w:val="24"/>
          <w:lang w:val="en-US"/>
        </w:rPr>
        <w:t>-</w:t>
      </w:r>
      <w:r w:rsidRPr="00F1168D">
        <w:rPr>
          <w:rFonts w:cstheme="minorHAnsi"/>
          <w:sz w:val="24"/>
          <w:szCs w:val="24"/>
          <w:lang w:val="en-US"/>
        </w:rPr>
        <w:t xml:space="preserve">For </w:t>
      </w:r>
      <w:r w:rsidR="00CE449D">
        <w:rPr>
          <w:rFonts w:cstheme="minorHAnsi"/>
          <w:sz w:val="24"/>
          <w:szCs w:val="24"/>
          <w:lang w:val="en-US"/>
        </w:rPr>
        <w:t xml:space="preserve">the patients with </w:t>
      </w:r>
      <w:r>
        <w:rPr>
          <w:rFonts w:cstheme="minorHAnsi"/>
          <w:sz w:val="24"/>
          <w:szCs w:val="24"/>
          <w:lang w:val="en-US"/>
        </w:rPr>
        <w:t xml:space="preserve">the </w:t>
      </w:r>
      <w:proofErr w:type="spellStart"/>
      <w:r w:rsidRPr="00F1168D">
        <w:rPr>
          <w:rFonts w:cstheme="minorHAnsi"/>
          <w:b/>
          <w:sz w:val="24"/>
          <w:szCs w:val="24"/>
          <w:lang w:val="en-US"/>
        </w:rPr>
        <w:t>vaso</w:t>
      </w:r>
      <w:proofErr w:type="spellEnd"/>
      <w:r w:rsidRPr="00F1168D">
        <w:rPr>
          <w:rFonts w:cstheme="minorHAnsi"/>
          <w:b/>
          <w:sz w:val="24"/>
          <w:szCs w:val="24"/>
          <w:lang w:val="en-US"/>
        </w:rPr>
        <w:t>-depressor syncope</w:t>
      </w:r>
      <w:r w:rsidRPr="00F1168D">
        <w:rPr>
          <w:rFonts w:cstheme="minorHAnsi"/>
          <w:sz w:val="24"/>
          <w:szCs w:val="24"/>
          <w:lang w:val="en-US"/>
        </w:rPr>
        <w:t xml:space="preserve">, SGLT2-I-users vs. </w:t>
      </w:r>
      <w:r w:rsidR="000019D4">
        <w:rPr>
          <w:rFonts w:cstheme="minorHAnsi"/>
          <w:sz w:val="24"/>
          <w:szCs w:val="24"/>
          <w:lang w:val="en-US"/>
        </w:rPr>
        <w:t>Non-SGLT2-I</w:t>
      </w:r>
      <w:r w:rsidRPr="00F1168D">
        <w:rPr>
          <w:rFonts w:cstheme="minorHAnsi"/>
          <w:sz w:val="24"/>
          <w:szCs w:val="24"/>
          <w:lang w:val="en-US"/>
        </w:rPr>
        <w:t xml:space="preserve"> </w:t>
      </w:r>
      <w:proofErr w:type="gramStart"/>
      <w:r w:rsidRPr="00F1168D">
        <w:rPr>
          <w:rFonts w:cstheme="minorHAnsi"/>
          <w:sz w:val="24"/>
          <w:szCs w:val="24"/>
          <w:lang w:val="en-US"/>
        </w:rPr>
        <w:t>users’</w:t>
      </w:r>
      <w:proofErr w:type="gramEnd"/>
      <w:r w:rsidRPr="00F1168D">
        <w:rPr>
          <w:rFonts w:cstheme="minorHAnsi"/>
          <w:sz w:val="24"/>
          <w:szCs w:val="24"/>
          <w:lang w:val="en-US"/>
        </w:rPr>
        <w:t xml:space="preserve"> at baseline showed a significant difference regards all investigated parameters (p&lt;0.05), at the exception of HR, and LF/HF ratio (p&gt;0.05). Table 3. At 1 year of follow-up, SGLT2-I-users vs. </w:t>
      </w:r>
      <w:r w:rsidR="000019D4">
        <w:rPr>
          <w:rFonts w:cstheme="minorHAnsi"/>
          <w:sz w:val="24"/>
          <w:szCs w:val="24"/>
          <w:lang w:val="en-US"/>
        </w:rPr>
        <w:t>Non-SGLT2-I</w:t>
      </w:r>
      <w:r w:rsidRPr="00F1168D">
        <w:rPr>
          <w:rFonts w:cstheme="minorHAnsi"/>
          <w:sz w:val="24"/>
          <w:szCs w:val="24"/>
          <w:lang w:val="en-US"/>
        </w:rPr>
        <w:t xml:space="preserve"> users’ patients evidenced significant differences regards all investigated parameters (p&lt;0.05). </w:t>
      </w:r>
      <w:r w:rsidRPr="00F1168D">
        <w:rPr>
          <w:rFonts w:cstheme="minorHAnsi"/>
          <w:b/>
          <w:sz w:val="24"/>
          <w:szCs w:val="24"/>
          <w:lang w:val="en-US"/>
        </w:rPr>
        <w:t>Supplementary</w:t>
      </w:r>
      <w:r w:rsidRPr="00F1168D">
        <w:rPr>
          <w:rFonts w:cstheme="minorHAnsi"/>
          <w:sz w:val="24"/>
          <w:szCs w:val="24"/>
          <w:lang w:val="en-US"/>
        </w:rPr>
        <w:t xml:space="preserve"> </w:t>
      </w:r>
      <w:r w:rsidRPr="00F1168D">
        <w:rPr>
          <w:rFonts w:cstheme="minorHAnsi"/>
          <w:b/>
          <w:sz w:val="24"/>
          <w:szCs w:val="24"/>
          <w:lang w:val="en-US"/>
        </w:rPr>
        <w:t>table</w:t>
      </w:r>
      <w:r w:rsidR="002C7F1C">
        <w:rPr>
          <w:rFonts w:cstheme="minorHAnsi"/>
          <w:b/>
          <w:sz w:val="24"/>
          <w:szCs w:val="24"/>
          <w:lang w:val="en-US"/>
        </w:rPr>
        <w:t xml:space="preserve"> 1</w:t>
      </w:r>
      <w:r w:rsidRPr="00F1168D">
        <w:rPr>
          <w:rFonts w:cstheme="minorHAnsi"/>
          <w:sz w:val="24"/>
          <w:szCs w:val="24"/>
          <w:lang w:val="en-US"/>
        </w:rPr>
        <w:t>.</w:t>
      </w:r>
    </w:p>
    <w:p w:rsidR="002746D5" w:rsidRDefault="008A17EC" w:rsidP="002746D5">
      <w:pPr>
        <w:autoSpaceDE w:val="0"/>
        <w:autoSpaceDN w:val="0"/>
        <w:adjustRightInd w:val="0"/>
        <w:spacing w:after="0" w:line="480" w:lineRule="auto"/>
        <w:rPr>
          <w:rFonts w:cstheme="minorHAnsi"/>
          <w:sz w:val="24"/>
          <w:szCs w:val="24"/>
          <w:lang w:val="en-US"/>
        </w:rPr>
      </w:pPr>
      <w:r>
        <w:rPr>
          <w:rFonts w:cstheme="minorHAnsi"/>
          <w:b/>
          <w:sz w:val="24"/>
          <w:szCs w:val="24"/>
          <w:lang w:val="en-US"/>
        </w:rPr>
        <w:t>C</w:t>
      </w:r>
      <w:r w:rsidRPr="00D62CEA">
        <w:rPr>
          <w:rFonts w:cstheme="minorHAnsi"/>
          <w:b/>
          <w:sz w:val="24"/>
          <w:szCs w:val="24"/>
          <w:lang w:val="en-US"/>
        </w:rPr>
        <w:t xml:space="preserve">omparing </w:t>
      </w:r>
      <w:r w:rsidR="00007269">
        <w:rPr>
          <w:rFonts w:cstheme="minorHAnsi"/>
          <w:b/>
          <w:sz w:val="24"/>
          <w:szCs w:val="24"/>
          <w:lang w:val="en-US"/>
        </w:rPr>
        <w:t xml:space="preserve">in </w:t>
      </w:r>
      <w:r w:rsidR="00CE449D">
        <w:rPr>
          <w:rFonts w:cstheme="minorHAnsi"/>
          <w:b/>
          <w:sz w:val="24"/>
          <w:szCs w:val="24"/>
          <w:lang w:val="en-US"/>
        </w:rPr>
        <w:t>each</w:t>
      </w:r>
      <w:r w:rsidRPr="00D62CEA">
        <w:rPr>
          <w:rFonts w:cstheme="minorHAnsi"/>
          <w:b/>
          <w:sz w:val="24"/>
          <w:szCs w:val="24"/>
          <w:lang w:val="en-US"/>
        </w:rPr>
        <w:t xml:space="preserve"> </w:t>
      </w:r>
      <w:r w:rsidR="00CE449D">
        <w:rPr>
          <w:rFonts w:cstheme="minorHAnsi"/>
          <w:b/>
          <w:sz w:val="24"/>
          <w:szCs w:val="24"/>
          <w:lang w:val="en-US"/>
        </w:rPr>
        <w:t>cohort of</w:t>
      </w:r>
      <w:r w:rsidR="00007269">
        <w:rPr>
          <w:rFonts w:cstheme="minorHAnsi"/>
          <w:b/>
          <w:sz w:val="24"/>
          <w:szCs w:val="24"/>
          <w:lang w:val="en-US"/>
        </w:rPr>
        <w:t xml:space="preserve"> </w:t>
      </w:r>
      <w:r w:rsidR="00CE449D">
        <w:rPr>
          <w:rFonts w:cstheme="minorHAnsi"/>
          <w:b/>
          <w:sz w:val="24"/>
          <w:szCs w:val="24"/>
          <w:lang w:val="en-US"/>
        </w:rPr>
        <w:t xml:space="preserve">study </w:t>
      </w:r>
      <w:r w:rsidR="00007269">
        <w:rPr>
          <w:rFonts w:cstheme="minorHAnsi"/>
          <w:b/>
          <w:sz w:val="24"/>
          <w:szCs w:val="24"/>
          <w:lang w:val="en-US"/>
        </w:rPr>
        <w:t xml:space="preserve">(SGLT2-I users and Non-SGLT2-I users’ patients) </w:t>
      </w:r>
      <w:r w:rsidR="00CE449D">
        <w:rPr>
          <w:rFonts w:cstheme="minorHAnsi"/>
          <w:b/>
          <w:sz w:val="24"/>
          <w:szCs w:val="24"/>
          <w:lang w:val="en-US"/>
        </w:rPr>
        <w:t xml:space="preserve">for the patients </w:t>
      </w:r>
      <w:r w:rsidR="00007269">
        <w:rPr>
          <w:rFonts w:cstheme="minorHAnsi"/>
          <w:b/>
          <w:sz w:val="24"/>
          <w:szCs w:val="24"/>
          <w:lang w:val="en-US"/>
        </w:rPr>
        <w:t>with</w:t>
      </w:r>
      <w:r w:rsidR="00007269" w:rsidRPr="00D62CEA">
        <w:rPr>
          <w:rFonts w:cstheme="minorHAnsi"/>
          <w:b/>
          <w:sz w:val="24"/>
          <w:szCs w:val="24"/>
          <w:lang w:val="en-US"/>
        </w:rPr>
        <w:t xml:space="preserve"> </w:t>
      </w:r>
      <w:r w:rsidR="00007269">
        <w:rPr>
          <w:rFonts w:cstheme="minorHAnsi"/>
          <w:b/>
          <w:sz w:val="24"/>
          <w:szCs w:val="24"/>
          <w:lang w:val="en-US"/>
        </w:rPr>
        <w:t xml:space="preserve">VVS recurrence the </w:t>
      </w:r>
      <w:r w:rsidR="00D7054B">
        <w:rPr>
          <w:rFonts w:cstheme="minorHAnsi"/>
          <w:b/>
          <w:sz w:val="24"/>
          <w:szCs w:val="24"/>
          <w:lang w:val="en-US"/>
        </w:rPr>
        <w:t xml:space="preserve">data at </w:t>
      </w:r>
      <w:r w:rsidR="00D548C0">
        <w:rPr>
          <w:rFonts w:cstheme="minorHAnsi"/>
          <w:b/>
          <w:sz w:val="24"/>
          <w:szCs w:val="24"/>
          <w:lang w:val="en-US"/>
        </w:rPr>
        <w:t xml:space="preserve">1 year of </w:t>
      </w:r>
      <w:r w:rsidRPr="00D62CEA">
        <w:rPr>
          <w:rFonts w:cstheme="minorHAnsi"/>
          <w:b/>
          <w:sz w:val="24"/>
          <w:szCs w:val="24"/>
          <w:lang w:val="en-US"/>
        </w:rPr>
        <w:t>follow-up vs. baseline</w:t>
      </w:r>
      <w:r>
        <w:rPr>
          <w:rFonts w:cstheme="minorHAnsi"/>
          <w:sz w:val="24"/>
          <w:szCs w:val="24"/>
          <w:lang w:val="en-US"/>
        </w:rPr>
        <w:t>, we noted</w:t>
      </w:r>
      <w:r w:rsidR="00007269">
        <w:rPr>
          <w:rFonts w:cstheme="minorHAnsi"/>
          <w:sz w:val="24"/>
          <w:szCs w:val="24"/>
          <w:lang w:val="en-US"/>
        </w:rPr>
        <w:t xml:space="preserve"> that</w:t>
      </w:r>
      <w:r>
        <w:rPr>
          <w:rFonts w:cstheme="minorHAnsi"/>
          <w:sz w:val="24"/>
          <w:szCs w:val="24"/>
          <w:lang w:val="en-US"/>
        </w:rPr>
        <w:t>:</w:t>
      </w:r>
    </w:p>
    <w:p w:rsidR="002746D5" w:rsidRDefault="008A17EC" w:rsidP="002746D5">
      <w:pPr>
        <w:autoSpaceDE w:val="0"/>
        <w:autoSpaceDN w:val="0"/>
        <w:adjustRightInd w:val="0"/>
        <w:spacing w:after="0" w:line="480" w:lineRule="auto"/>
        <w:rPr>
          <w:rFonts w:cstheme="minorHAnsi"/>
          <w:sz w:val="24"/>
          <w:szCs w:val="24"/>
          <w:lang w:val="en-US"/>
        </w:rPr>
      </w:pPr>
      <w:r>
        <w:rPr>
          <w:rFonts w:cstheme="minorHAnsi"/>
          <w:sz w:val="24"/>
          <w:szCs w:val="24"/>
          <w:lang w:val="en-US"/>
        </w:rPr>
        <w:t xml:space="preserve">1. </w:t>
      </w:r>
      <w:r w:rsidRPr="00880B43">
        <w:rPr>
          <w:rFonts w:cstheme="minorHAnsi"/>
          <w:b/>
          <w:sz w:val="24"/>
          <w:szCs w:val="24"/>
          <w:lang w:val="en-US"/>
        </w:rPr>
        <w:t>for all causes of syncope</w:t>
      </w:r>
      <w:r>
        <w:rPr>
          <w:rFonts w:cstheme="minorHAnsi"/>
          <w:sz w:val="24"/>
          <w:szCs w:val="24"/>
          <w:lang w:val="en-US"/>
        </w:rPr>
        <w:t xml:space="preserve">, </w:t>
      </w:r>
      <w:r w:rsidR="00251A8B">
        <w:rPr>
          <w:rFonts w:cstheme="minorHAnsi"/>
          <w:sz w:val="24"/>
          <w:szCs w:val="24"/>
          <w:lang w:val="en-US"/>
        </w:rPr>
        <w:t xml:space="preserve">the patients </w:t>
      </w:r>
      <w:r>
        <w:rPr>
          <w:rFonts w:cstheme="minorHAnsi"/>
          <w:sz w:val="24"/>
          <w:szCs w:val="24"/>
          <w:lang w:val="en-US"/>
        </w:rPr>
        <w:t>SLGT2</w:t>
      </w:r>
      <w:r w:rsidR="00D548C0">
        <w:rPr>
          <w:rFonts w:cstheme="minorHAnsi"/>
          <w:sz w:val="24"/>
          <w:szCs w:val="24"/>
          <w:lang w:val="en-US"/>
        </w:rPr>
        <w:t>-I</w:t>
      </w:r>
      <w:r w:rsidR="000019D4">
        <w:rPr>
          <w:rFonts w:cstheme="minorHAnsi"/>
          <w:sz w:val="24"/>
          <w:szCs w:val="24"/>
          <w:lang w:val="en-US"/>
        </w:rPr>
        <w:t xml:space="preserve"> users</w:t>
      </w:r>
      <w:r w:rsidR="00251A8B">
        <w:rPr>
          <w:rFonts w:cstheme="minorHAnsi"/>
          <w:sz w:val="24"/>
          <w:szCs w:val="24"/>
          <w:lang w:val="en-US"/>
        </w:rPr>
        <w:t xml:space="preserve"> </w:t>
      </w:r>
      <w:r>
        <w:rPr>
          <w:rFonts w:cstheme="minorHAnsi"/>
          <w:sz w:val="24"/>
          <w:szCs w:val="24"/>
          <w:lang w:val="en-US"/>
        </w:rPr>
        <w:t xml:space="preserve">had a significant reduction of </w:t>
      </w:r>
      <w:r w:rsidR="00476B34">
        <w:rPr>
          <w:rFonts w:cstheme="minorHAnsi"/>
          <w:sz w:val="24"/>
          <w:szCs w:val="24"/>
          <w:lang w:val="en-US"/>
        </w:rPr>
        <w:t>heart rate (</w:t>
      </w:r>
      <w:r>
        <w:rPr>
          <w:rFonts w:cstheme="minorHAnsi"/>
          <w:sz w:val="24"/>
          <w:szCs w:val="24"/>
          <w:lang w:val="en-US"/>
        </w:rPr>
        <w:t>HR</w:t>
      </w:r>
      <w:r w:rsidR="00476B34">
        <w:rPr>
          <w:rFonts w:cstheme="minorHAnsi"/>
          <w:sz w:val="24"/>
          <w:szCs w:val="24"/>
          <w:lang w:val="en-US"/>
        </w:rPr>
        <w:t xml:space="preserve">, </w:t>
      </w:r>
      <w:r>
        <w:rPr>
          <w:rFonts w:cstheme="minorHAnsi"/>
          <w:sz w:val="24"/>
          <w:szCs w:val="24"/>
          <w:lang w:val="en-US"/>
        </w:rPr>
        <w:t xml:space="preserve">60.2±9.4 vs. 75.2±11.3; p&lt;0.05), and of </w:t>
      </w:r>
      <w:r w:rsidR="00251A8B">
        <w:rPr>
          <w:rFonts w:cstheme="minorHAnsi"/>
          <w:sz w:val="24"/>
          <w:szCs w:val="24"/>
          <w:lang w:val="en-US"/>
        </w:rPr>
        <w:t>high frequency (</w:t>
      </w:r>
      <w:r>
        <w:rPr>
          <w:rFonts w:cstheme="minorHAnsi"/>
          <w:sz w:val="24"/>
          <w:szCs w:val="24"/>
          <w:lang w:val="en-US"/>
        </w:rPr>
        <w:t>HF</w:t>
      </w:r>
      <w:r w:rsidR="00251A8B">
        <w:rPr>
          <w:rFonts w:cstheme="minorHAnsi"/>
          <w:sz w:val="24"/>
          <w:szCs w:val="24"/>
          <w:lang w:val="en-US"/>
        </w:rPr>
        <w:t xml:space="preserve">, </w:t>
      </w:r>
      <w:r>
        <w:rPr>
          <w:rFonts w:cstheme="minorHAnsi"/>
          <w:sz w:val="24"/>
          <w:szCs w:val="24"/>
          <w:lang w:val="en-US"/>
        </w:rPr>
        <w:t xml:space="preserve">15.32±0.73 vs. 19.12±1.19; p&lt;0.05), and a significant increase of </w:t>
      </w:r>
      <w:r w:rsidR="00251A8B">
        <w:rPr>
          <w:rFonts w:cstheme="minorHAnsi"/>
          <w:sz w:val="24"/>
          <w:szCs w:val="24"/>
          <w:lang w:val="en-US"/>
        </w:rPr>
        <w:t>low frequency (</w:t>
      </w:r>
      <w:r>
        <w:rPr>
          <w:rFonts w:cstheme="minorHAnsi"/>
          <w:sz w:val="24"/>
          <w:szCs w:val="24"/>
          <w:lang w:val="en-US"/>
        </w:rPr>
        <w:t>LF</w:t>
      </w:r>
      <w:r w:rsidR="00251A8B">
        <w:rPr>
          <w:rFonts w:cstheme="minorHAnsi"/>
          <w:sz w:val="24"/>
          <w:szCs w:val="24"/>
          <w:lang w:val="en-US"/>
        </w:rPr>
        <w:t xml:space="preserve">, </w:t>
      </w:r>
      <w:r>
        <w:rPr>
          <w:rFonts w:cstheme="minorHAnsi"/>
          <w:sz w:val="24"/>
          <w:szCs w:val="24"/>
          <w:lang w:val="en-US"/>
        </w:rPr>
        <w:t xml:space="preserve">88.91±3.12 vs. 82.93±5.51; p&lt;0.05), and of </w:t>
      </w:r>
      <w:r w:rsidR="00251A8B">
        <w:rPr>
          <w:rFonts w:cstheme="minorHAnsi"/>
          <w:sz w:val="24"/>
          <w:szCs w:val="24"/>
          <w:lang w:val="en-US"/>
        </w:rPr>
        <w:t xml:space="preserve">the </w:t>
      </w:r>
      <w:r w:rsidR="008F320A">
        <w:rPr>
          <w:rFonts w:cstheme="minorHAnsi"/>
          <w:sz w:val="24"/>
          <w:szCs w:val="24"/>
          <w:lang w:val="en-US"/>
        </w:rPr>
        <w:t>LF/HF ratio (</w:t>
      </w:r>
      <w:r>
        <w:rPr>
          <w:rFonts w:cstheme="minorHAnsi"/>
          <w:sz w:val="24"/>
          <w:szCs w:val="24"/>
          <w:lang w:val="en-US"/>
        </w:rPr>
        <w:t>LF/HFr</w:t>
      </w:r>
      <w:r w:rsidR="008F320A">
        <w:rPr>
          <w:rFonts w:cstheme="minorHAnsi"/>
          <w:sz w:val="24"/>
          <w:szCs w:val="24"/>
          <w:lang w:val="en-US"/>
        </w:rPr>
        <w:t xml:space="preserve">, </w:t>
      </w:r>
      <w:r>
        <w:rPr>
          <w:rFonts w:cstheme="minorHAnsi"/>
          <w:sz w:val="24"/>
          <w:szCs w:val="24"/>
          <w:lang w:val="en-US"/>
        </w:rPr>
        <w:t xml:space="preserve">5.82±0.35 vs. 4.35±0.39; p&lt;0.05). Thus, </w:t>
      </w:r>
      <w:r w:rsidR="00D548C0">
        <w:rPr>
          <w:rFonts w:cstheme="minorHAnsi"/>
          <w:sz w:val="24"/>
          <w:szCs w:val="24"/>
          <w:lang w:val="en-US"/>
        </w:rPr>
        <w:t xml:space="preserve">the SGLT2-I users </w:t>
      </w:r>
      <w:r>
        <w:rPr>
          <w:rFonts w:cstheme="minorHAnsi"/>
          <w:sz w:val="24"/>
          <w:szCs w:val="24"/>
          <w:lang w:val="en-US"/>
        </w:rPr>
        <w:t xml:space="preserve">evidenced a significant increase of the </w:t>
      </w:r>
      <w:r w:rsidR="008F320A">
        <w:rPr>
          <w:rFonts w:cstheme="minorHAnsi"/>
          <w:sz w:val="24"/>
          <w:szCs w:val="24"/>
          <w:lang w:val="en-US"/>
        </w:rPr>
        <w:t>Heart to Mediastinum ratio (</w:t>
      </w:r>
      <w:r w:rsidRPr="00EA20C3">
        <w:rPr>
          <w:rFonts w:cstheme="minorHAnsi"/>
          <w:sz w:val="24"/>
          <w:szCs w:val="24"/>
          <w:lang w:val="en-US"/>
        </w:rPr>
        <w:t>H/M</w:t>
      </w:r>
      <w:r w:rsidRPr="00EA20C3">
        <w:rPr>
          <w:rFonts w:cstheme="minorHAnsi"/>
          <w:sz w:val="24"/>
          <w:szCs w:val="24"/>
          <w:vertAlign w:val="subscript"/>
          <w:lang w:val="en-US"/>
        </w:rPr>
        <w:t>late</w:t>
      </w:r>
      <w:r w:rsidR="008F320A">
        <w:rPr>
          <w:rFonts w:cstheme="minorHAnsi"/>
          <w:sz w:val="24"/>
          <w:szCs w:val="24"/>
          <w:lang w:val="en-US"/>
        </w:rPr>
        <w:t xml:space="preserve">, </w:t>
      </w:r>
      <w:r>
        <w:rPr>
          <w:rFonts w:cstheme="minorHAnsi"/>
          <w:sz w:val="24"/>
          <w:szCs w:val="24"/>
          <w:lang w:val="en-US"/>
        </w:rPr>
        <w:t xml:space="preserve">2.55±0.29 vs. 1.90±0.11; p&lt;0.05), and a significant reduction of the </w:t>
      </w:r>
      <w:r w:rsidR="008F320A">
        <w:rPr>
          <w:rFonts w:cstheme="minorHAnsi"/>
          <w:sz w:val="24"/>
          <w:szCs w:val="24"/>
          <w:lang w:val="en-US"/>
        </w:rPr>
        <w:t>Washout rate (</w:t>
      </w:r>
      <w:r w:rsidRPr="00EA20C3">
        <w:rPr>
          <w:rFonts w:cstheme="minorHAnsi"/>
          <w:sz w:val="24"/>
          <w:szCs w:val="24"/>
          <w:lang w:val="en-US"/>
        </w:rPr>
        <w:t>WR</w:t>
      </w:r>
      <w:r w:rsidR="008F320A">
        <w:rPr>
          <w:rFonts w:cstheme="minorHAnsi"/>
          <w:sz w:val="24"/>
          <w:szCs w:val="24"/>
          <w:lang w:val="en-US"/>
        </w:rPr>
        <w:t xml:space="preserve">, </w:t>
      </w:r>
      <w:r w:rsidR="008456A7" w:rsidRPr="008456A7">
        <w:rPr>
          <w:rFonts w:cstheme="minorHAnsi"/>
          <w:sz w:val="24"/>
          <w:szCs w:val="24"/>
          <w:lang w:val="en-US"/>
        </w:rPr>
        <w:t>29.17±6.55</w:t>
      </w:r>
      <w:r w:rsidR="008456A7">
        <w:rPr>
          <w:rFonts w:cstheme="minorHAnsi"/>
          <w:sz w:val="24"/>
          <w:szCs w:val="24"/>
          <w:lang w:val="en-US"/>
        </w:rPr>
        <w:t xml:space="preserve"> </w:t>
      </w:r>
      <w:r>
        <w:rPr>
          <w:rFonts w:cstheme="minorHAnsi"/>
          <w:sz w:val="24"/>
          <w:szCs w:val="24"/>
          <w:lang w:val="en-US"/>
        </w:rPr>
        <w:t xml:space="preserve">vs. </w:t>
      </w:r>
      <w:r w:rsidR="008456A7">
        <w:rPr>
          <w:rFonts w:cstheme="minorHAnsi"/>
          <w:sz w:val="24"/>
          <w:szCs w:val="24"/>
          <w:lang w:val="en-US"/>
        </w:rPr>
        <w:t>47</w:t>
      </w:r>
      <w:r>
        <w:rPr>
          <w:rFonts w:cstheme="minorHAnsi"/>
          <w:sz w:val="24"/>
          <w:szCs w:val="24"/>
          <w:lang w:val="en-US"/>
        </w:rPr>
        <w:t>.</w:t>
      </w:r>
      <w:r w:rsidR="008456A7">
        <w:rPr>
          <w:rFonts w:cstheme="minorHAnsi"/>
          <w:sz w:val="24"/>
          <w:szCs w:val="24"/>
          <w:lang w:val="en-US"/>
        </w:rPr>
        <w:t>45±7</w:t>
      </w:r>
      <w:r>
        <w:rPr>
          <w:rFonts w:cstheme="minorHAnsi"/>
          <w:sz w:val="24"/>
          <w:szCs w:val="24"/>
          <w:lang w:val="en-US"/>
        </w:rPr>
        <w:t>.</w:t>
      </w:r>
      <w:r w:rsidR="008456A7">
        <w:rPr>
          <w:rFonts w:cstheme="minorHAnsi"/>
          <w:sz w:val="24"/>
          <w:szCs w:val="24"/>
          <w:lang w:val="en-US"/>
        </w:rPr>
        <w:t>58</w:t>
      </w:r>
      <w:r>
        <w:rPr>
          <w:rFonts w:cstheme="minorHAnsi"/>
          <w:sz w:val="24"/>
          <w:szCs w:val="24"/>
          <w:lang w:val="en-US"/>
        </w:rPr>
        <w:t xml:space="preserve">; p&lt;0.05). </w:t>
      </w:r>
      <w:r w:rsidRPr="00880B43">
        <w:rPr>
          <w:rFonts w:cstheme="minorHAnsi"/>
          <w:sz w:val="24"/>
          <w:szCs w:val="24"/>
          <w:lang w:val="en-US"/>
        </w:rPr>
        <w:t>On the contrary, the</w:t>
      </w:r>
      <w:r>
        <w:rPr>
          <w:rFonts w:cstheme="minorHAnsi"/>
          <w:sz w:val="24"/>
          <w:szCs w:val="24"/>
          <w:lang w:val="en-US"/>
        </w:rPr>
        <w:t>se</w:t>
      </w:r>
      <w:r w:rsidRPr="00880B43">
        <w:rPr>
          <w:rFonts w:cstheme="minorHAnsi"/>
          <w:sz w:val="24"/>
          <w:szCs w:val="24"/>
          <w:lang w:val="en-US"/>
        </w:rPr>
        <w:t xml:space="preserve"> parameters did not reach the statistical significance </w:t>
      </w:r>
      <w:r>
        <w:rPr>
          <w:rFonts w:cstheme="minorHAnsi"/>
          <w:sz w:val="24"/>
          <w:szCs w:val="24"/>
          <w:lang w:val="en-US"/>
        </w:rPr>
        <w:t xml:space="preserve">in the cohort of </w:t>
      </w:r>
      <w:r w:rsidR="000019D4">
        <w:rPr>
          <w:rFonts w:cstheme="minorHAnsi"/>
          <w:sz w:val="24"/>
          <w:szCs w:val="24"/>
          <w:lang w:val="en-US"/>
        </w:rPr>
        <w:t>N</w:t>
      </w:r>
      <w:r>
        <w:rPr>
          <w:rFonts w:cstheme="minorHAnsi"/>
          <w:sz w:val="24"/>
          <w:szCs w:val="24"/>
          <w:lang w:val="en-US"/>
        </w:rPr>
        <w:t>on-SLGT2</w:t>
      </w:r>
      <w:r w:rsidR="00D548C0">
        <w:rPr>
          <w:rFonts w:cstheme="minorHAnsi"/>
          <w:sz w:val="24"/>
          <w:szCs w:val="24"/>
          <w:lang w:val="en-US"/>
        </w:rPr>
        <w:t>-I</w:t>
      </w:r>
      <w:r>
        <w:rPr>
          <w:rFonts w:cstheme="minorHAnsi"/>
          <w:sz w:val="24"/>
          <w:szCs w:val="24"/>
          <w:lang w:val="en-US"/>
        </w:rPr>
        <w:t xml:space="preserve"> users comparing the follow-up end vs. baseline condition (p&gt;0.05).</w:t>
      </w:r>
      <w:r w:rsidR="00C17738">
        <w:rPr>
          <w:rFonts w:cstheme="minorHAnsi"/>
          <w:sz w:val="24"/>
          <w:szCs w:val="24"/>
          <w:lang w:val="en-US"/>
        </w:rPr>
        <w:t xml:space="preserve"> </w:t>
      </w:r>
      <w:r w:rsidR="00C17738">
        <w:rPr>
          <w:rFonts w:cstheme="minorHAnsi"/>
          <w:b/>
          <w:sz w:val="24"/>
          <w:szCs w:val="24"/>
          <w:lang w:val="en-US"/>
        </w:rPr>
        <w:t>S</w:t>
      </w:r>
      <w:r w:rsidR="00C17738" w:rsidRPr="00C17738">
        <w:rPr>
          <w:rFonts w:cstheme="minorHAnsi"/>
          <w:b/>
          <w:sz w:val="24"/>
          <w:szCs w:val="24"/>
          <w:lang w:val="en-US"/>
        </w:rPr>
        <w:t>upplementary table</w:t>
      </w:r>
      <w:r w:rsidR="002C7F1C">
        <w:rPr>
          <w:rFonts w:cstheme="minorHAnsi"/>
          <w:b/>
          <w:sz w:val="24"/>
          <w:szCs w:val="24"/>
          <w:lang w:val="en-US"/>
        </w:rPr>
        <w:t xml:space="preserve"> 1</w:t>
      </w:r>
      <w:r w:rsidR="00C17738">
        <w:rPr>
          <w:rFonts w:cstheme="minorHAnsi"/>
          <w:sz w:val="24"/>
          <w:szCs w:val="24"/>
          <w:lang w:val="en-US"/>
        </w:rPr>
        <w:t xml:space="preserve">. </w:t>
      </w:r>
    </w:p>
    <w:p w:rsidR="002746D5" w:rsidRDefault="008A17EC" w:rsidP="002746D5">
      <w:pPr>
        <w:autoSpaceDE w:val="0"/>
        <w:autoSpaceDN w:val="0"/>
        <w:adjustRightInd w:val="0"/>
        <w:spacing w:after="0" w:line="480" w:lineRule="auto"/>
        <w:rPr>
          <w:rFonts w:cstheme="minorHAnsi"/>
          <w:sz w:val="24"/>
          <w:szCs w:val="24"/>
          <w:lang w:val="en-US"/>
        </w:rPr>
      </w:pPr>
      <w:r>
        <w:rPr>
          <w:rFonts w:cstheme="minorHAnsi"/>
          <w:sz w:val="24"/>
          <w:szCs w:val="24"/>
          <w:lang w:val="en-US"/>
        </w:rPr>
        <w:t xml:space="preserve">2. </w:t>
      </w:r>
      <w:r w:rsidRPr="00880B43">
        <w:rPr>
          <w:rFonts w:cstheme="minorHAnsi"/>
          <w:b/>
          <w:sz w:val="24"/>
          <w:szCs w:val="24"/>
          <w:lang w:val="en-US"/>
        </w:rPr>
        <w:t xml:space="preserve">for </w:t>
      </w:r>
      <w:r>
        <w:rPr>
          <w:rFonts w:cstheme="minorHAnsi"/>
          <w:b/>
          <w:sz w:val="24"/>
          <w:szCs w:val="24"/>
          <w:lang w:val="en-US"/>
        </w:rPr>
        <w:t>mixed</w:t>
      </w:r>
      <w:r w:rsidRPr="00880B43">
        <w:rPr>
          <w:rFonts w:cstheme="minorHAnsi"/>
          <w:b/>
          <w:sz w:val="24"/>
          <w:szCs w:val="24"/>
          <w:lang w:val="en-US"/>
        </w:rPr>
        <w:t xml:space="preserve"> syncope</w:t>
      </w:r>
      <w:r>
        <w:rPr>
          <w:rFonts w:cstheme="minorHAnsi"/>
          <w:sz w:val="24"/>
          <w:szCs w:val="24"/>
          <w:lang w:val="en-US"/>
        </w:rPr>
        <w:t xml:space="preserve">, </w:t>
      </w:r>
      <w:r w:rsidR="00D548C0">
        <w:rPr>
          <w:rFonts w:cstheme="minorHAnsi"/>
          <w:sz w:val="24"/>
          <w:szCs w:val="24"/>
          <w:lang w:val="en-US"/>
        </w:rPr>
        <w:t xml:space="preserve">SGLT2-I users </w:t>
      </w:r>
      <w:r>
        <w:rPr>
          <w:rFonts w:cstheme="minorHAnsi"/>
          <w:sz w:val="24"/>
          <w:szCs w:val="24"/>
          <w:lang w:val="en-US"/>
        </w:rPr>
        <w:t xml:space="preserve">had a significant reduction of HR (56.5±9.6 vs. 73.6±12.1; p&lt;0.05), and of HF (15.27±0.71 vs. 19.07±1.82; p&lt;0.05), and a significant increase of LF/HFr (5.86±0.25 vs. 4.62±0.48; p&lt;0.05), and of </w:t>
      </w:r>
      <w:r w:rsidRPr="00EA20C3">
        <w:rPr>
          <w:rFonts w:cstheme="minorHAnsi"/>
          <w:sz w:val="24"/>
          <w:szCs w:val="24"/>
          <w:lang w:val="en-US"/>
        </w:rPr>
        <w:t>H/M</w:t>
      </w:r>
      <w:r w:rsidRPr="00EA20C3">
        <w:rPr>
          <w:rFonts w:cstheme="minorHAnsi"/>
          <w:sz w:val="24"/>
          <w:szCs w:val="24"/>
          <w:vertAlign w:val="subscript"/>
          <w:lang w:val="en-US"/>
        </w:rPr>
        <w:t>late</w:t>
      </w:r>
      <w:r>
        <w:rPr>
          <w:rFonts w:cstheme="minorHAnsi"/>
          <w:sz w:val="24"/>
          <w:szCs w:val="24"/>
          <w:vertAlign w:val="subscript"/>
          <w:lang w:val="en-US"/>
        </w:rPr>
        <w:t xml:space="preserve"> </w:t>
      </w:r>
      <w:r>
        <w:rPr>
          <w:rFonts w:cstheme="minorHAnsi"/>
          <w:sz w:val="24"/>
          <w:szCs w:val="24"/>
          <w:lang w:val="en-US"/>
        </w:rPr>
        <w:t>(2</w:t>
      </w:r>
      <w:r w:rsidR="00D548C0">
        <w:rPr>
          <w:rFonts w:cstheme="minorHAnsi"/>
          <w:sz w:val="24"/>
          <w:szCs w:val="24"/>
          <w:lang w:val="en-US"/>
        </w:rPr>
        <w:t>.49±0.02 vs. 1.80±0.10; p&lt;0.05).</w:t>
      </w:r>
      <w:r>
        <w:rPr>
          <w:rFonts w:cstheme="minorHAnsi"/>
          <w:sz w:val="24"/>
          <w:szCs w:val="24"/>
          <w:lang w:val="en-US"/>
        </w:rPr>
        <w:t xml:space="preserve"> </w:t>
      </w:r>
      <w:r w:rsidR="00D548C0">
        <w:rPr>
          <w:rFonts w:cstheme="minorHAnsi"/>
          <w:sz w:val="24"/>
          <w:szCs w:val="24"/>
          <w:lang w:val="en-US"/>
        </w:rPr>
        <w:t>T</w:t>
      </w:r>
      <w:r>
        <w:rPr>
          <w:rFonts w:cstheme="minorHAnsi"/>
          <w:sz w:val="24"/>
          <w:szCs w:val="24"/>
          <w:lang w:val="en-US"/>
        </w:rPr>
        <w:t xml:space="preserve">his cohort of patients showed a significant reduction of the </w:t>
      </w:r>
      <w:r w:rsidRPr="00EA20C3">
        <w:rPr>
          <w:rFonts w:cstheme="minorHAnsi"/>
          <w:sz w:val="24"/>
          <w:szCs w:val="24"/>
          <w:lang w:val="en-US"/>
        </w:rPr>
        <w:t>WR</w:t>
      </w:r>
      <w:r>
        <w:rPr>
          <w:rFonts w:cstheme="minorHAnsi"/>
          <w:sz w:val="24"/>
          <w:szCs w:val="24"/>
          <w:lang w:val="en-US"/>
        </w:rPr>
        <w:t xml:space="preserve"> (3</w:t>
      </w:r>
      <w:r w:rsidR="008456A7">
        <w:rPr>
          <w:rFonts w:cstheme="minorHAnsi"/>
          <w:sz w:val="24"/>
          <w:szCs w:val="24"/>
          <w:lang w:val="en-US"/>
        </w:rPr>
        <w:t>2</w:t>
      </w:r>
      <w:r>
        <w:rPr>
          <w:rFonts w:cstheme="minorHAnsi"/>
          <w:sz w:val="24"/>
          <w:szCs w:val="24"/>
          <w:lang w:val="en-US"/>
        </w:rPr>
        <w:t>.</w:t>
      </w:r>
      <w:r w:rsidR="008456A7">
        <w:rPr>
          <w:rFonts w:cstheme="minorHAnsi"/>
          <w:sz w:val="24"/>
          <w:szCs w:val="24"/>
          <w:lang w:val="en-US"/>
        </w:rPr>
        <w:t>41</w:t>
      </w:r>
      <w:r>
        <w:rPr>
          <w:rFonts w:cstheme="minorHAnsi"/>
          <w:sz w:val="24"/>
          <w:szCs w:val="24"/>
          <w:lang w:val="en-US"/>
        </w:rPr>
        <w:t>±</w:t>
      </w:r>
      <w:r w:rsidR="008456A7">
        <w:rPr>
          <w:rFonts w:cstheme="minorHAnsi"/>
          <w:sz w:val="24"/>
          <w:szCs w:val="24"/>
          <w:lang w:val="en-US"/>
        </w:rPr>
        <w:t>1</w:t>
      </w:r>
      <w:r>
        <w:rPr>
          <w:rFonts w:cstheme="minorHAnsi"/>
          <w:sz w:val="24"/>
          <w:szCs w:val="24"/>
          <w:lang w:val="en-US"/>
        </w:rPr>
        <w:t>.</w:t>
      </w:r>
      <w:r w:rsidR="008456A7">
        <w:rPr>
          <w:rFonts w:cstheme="minorHAnsi"/>
          <w:sz w:val="24"/>
          <w:szCs w:val="24"/>
          <w:lang w:val="en-US"/>
        </w:rPr>
        <w:t>5</w:t>
      </w:r>
      <w:r>
        <w:rPr>
          <w:rFonts w:cstheme="minorHAnsi"/>
          <w:sz w:val="24"/>
          <w:szCs w:val="24"/>
          <w:lang w:val="en-US"/>
        </w:rPr>
        <w:t xml:space="preserve">2 vs. </w:t>
      </w:r>
      <w:r w:rsidR="008456A7">
        <w:rPr>
          <w:rFonts w:cstheme="minorHAnsi"/>
          <w:sz w:val="24"/>
          <w:szCs w:val="24"/>
          <w:lang w:val="en-US"/>
        </w:rPr>
        <w:t>46</w:t>
      </w:r>
      <w:r>
        <w:rPr>
          <w:rFonts w:cstheme="minorHAnsi"/>
          <w:sz w:val="24"/>
          <w:szCs w:val="24"/>
          <w:lang w:val="en-US"/>
        </w:rPr>
        <w:t>.1</w:t>
      </w:r>
      <w:r w:rsidR="008456A7">
        <w:rPr>
          <w:rFonts w:cstheme="minorHAnsi"/>
          <w:sz w:val="24"/>
          <w:szCs w:val="24"/>
          <w:lang w:val="en-US"/>
        </w:rPr>
        <w:t>0</w:t>
      </w:r>
      <w:r>
        <w:rPr>
          <w:rFonts w:cstheme="minorHAnsi"/>
          <w:sz w:val="24"/>
          <w:szCs w:val="24"/>
          <w:lang w:val="en-US"/>
        </w:rPr>
        <w:t>±</w:t>
      </w:r>
      <w:r w:rsidR="008456A7">
        <w:rPr>
          <w:rFonts w:cstheme="minorHAnsi"/>
          <w:sz w:val="24"/>
          <w:szCs w:val="24"/>
          <w:lang w:val="en-US"/>
        </w:rPr>
        <w:t>8</w:t>
      </w:r>
      <w:r>
        <w:rPr>
          <w:rFonts w:cstheme="minorHAnsi"/>
          <w:sz w:val="24"/>
          <w:szCs w:val="24"/>
          <w:lang w:val="en-US"/>
        </w:rPr>
        <w:t>.</w:t>
      </w:r>
      <w:r w:rsidR="008456A7">
        <w:rPr>
          <w:rFonts w:cstheme="minorHAnsi"/>
          <w:sz w:val="24"/>
          <w:szCs w:val="24"/>
          <w:lang w:val="en-US"/>
        </w:rPr>
        <w:t>07</w:t>
      </w:r>
      <w:r>
        <w:rPr>
          <w:rFonts w:cstheme="minorHAnsi"/>
          <w:sz w:val="24"/>
          <w:szCs w:val="24"/>
          <w:lang w:val="en-US"/>
        </w:rPr>
        <w:t>; p&lt;0.05).</w:t>
      </w:r>
    </w:p>
    <w:p w:rsidR="002746D5" w:rsidRDefault="000019D4" w:rsidP="002746D5">
      <w:pPr>
        <w:autoSpaceDE w:val="0"/>
        <w:autoSpaceDN w:val="0"/>
        <w:adjustRightInd w:val="0"/>
        <w:spacing w:after="0" w:line="480" w:lineRule="auto"/>
        <w:rPr>
          <w:rFonts w:cstheme="minorHAnsi"/>
          <w:sz w:val="24"/>
          <w:szCs w:val="24"/>
          <w:lang w:val="en-US"/>
        </w:rPr>
      </w:pPr>
      <w:r>
        <w:rPr>
          <w:rFonts w:cstheme="minorHAnsi"/>
          <w:sz w:val="24"/>
          <w:szCs w:val="24"/>
          <w:lang w:val="en-US"/>
        </w:rPr>
        <w:t>In the N</w:t>
      </w:r>
      <w:r w:rsidR="008A17EC">
        <w:rPr>
          <w:rFonts w:cstheme="minorHAnsi"/>
          <w:sz w:val="24"/>
          <w:szCs w:val="24"/>
          <w:lang w:val="en-US"/>
        </w:rPr>
        <w:t>on-SLGT2-I users, we found a significant reduction of HF (17.02±0.13 vs. 18.37</w:t>
      </w:r>
    </w:p>
    <w:p w:rsidR="008456A7" w:rsidRDefault="008A17EC" w:rsidP="00C17738">
      <w:pPr>
        <w:autoSpaceDE w:val="0"/>
        <w:autoSpaceDN w:val="0"/>
        <w:adjustRightInd w:val="0"/>
        <w:spacing w:after="0" w:line="480" w:lineRule="auto"/>
        <w:rPr>
          <w:rFonts w:cstheme="minorHAnsi"/>
          <w:sz w:val="24"/>
          <w:szCs w:val="24"/>
          <w:lang w:val="en-US"/>
        </w:rPr>
      </w:pPr>
      <w:r>
        <w:rPr>
          <w:rFonts w:cstheme="minorHAnsi"/>
          <w:sz w:val="24"/>
          <w:szCs w:val="24"/>
          <w:lang w:val="en-US"/>
        </w:rPr>
        <w:t xml:space="preserve">1.23; p&lt;0.05), with a significant increase of LF/HFr (5.04±0.25 vs. 4.53±0.47; p&lt;0.05), and of H/Mlate (1.60±0.35 vs. 1.42±0.14; p&lt;0.05). </w:t>
      </w:r>
      <w:r w:rsidR="00C17738">
        <w:rPr>
          <w:rFonts w:cstheme="minorHAnsi"/>
          <w:b/>
          <w:sz w:val="24"/>
          <w:szCs w:val="24"/>
          <w:lang w:val="en-US"/>
        </w:rPr>
        <w:t>S</w:t>
      </w:r>
      <w:r w:rsidR="00C17738" w:rsidRPr="00C17738">
        <w:rPr>
          <w:rFonts w:cstheme="minorHAnsi"/>
          <w:b/>
          <w:sz w:val="24"/>
          <w:szCs w:val="24"/>
          <w:lang w:val="en-US"/>
        </w:rPr>
        <w:t>upplementary table</w:t>
      </w:r>
      <w:r w:rsidR="002C7F1C">
        <w:rPr>
          <w:rFonts w:cstheme="minorHAnsi"/>
          <w:b/>
          <w:sz w:val="24"/>
          <w:szCs w:val="24"/>
          <w:lang w:val="en-US"/>
        </w:rPr>
        <w:t xml:space="preserve"> 1</w:t>
      </w:r>
      <w:r w:rsidR="00C17738">
        <w:rPr>
          <w:rFonts w:cstheme="minorHAnsi"/>
          <w:sz w:val="24"/>
          <w:szCs w:val="24"/>
          <w:lang w:val="en-US"/>
        </w:rPr>
        <w:t>.</w:t>
      </w:r>
    </w:p>
    <w:p w:rsidR="002746D5" w:rsidRPr="009316B4" w:rsidRDefault="008A17EC" w:rsidP="002746D5">
      <w:pPr>
        <w:autoSpaceDE w:val="0"/>
        <w:autoSpaceDN w:val="0"/>
        <w:adjustRightInd w:val="0"/>
        <w:spacing w:after="0" w:line="480" w:lineRule="auto"/>
        <w:rPr>
          <w:rFonts w:cstheme="minorHAnsi"/>
          <w:sz w:val="24"/>
          <w:szCs w:val="24"/>
          <w:lang w:val="en-US"/>
        </w:rPr>
      </w:pPr>
      <w:r>
        <w:rPr>
          <w:rFonts w:cstheme="minorHAnsi"/>
          <w:sz w:val="24"/>
          <w:szCs w:val="24"/>
          <w:lang w:val="en-US"/>
        </w:rPr>
        <w:lastRenderedPageBreak/>
        <w:t xml:space="preserve">3. </w:t>
      </w:r>
      <w:r w:rsidRPr="00132389">
        <w:rPr>
          <w:rFonts w:cstheme="minorHAnsi"/>
          <w:b/>
          <w:sz w:val="24"/>
          <w:szCs w:val="24"/>
          <w:lang w:val="en-US"/>
        </w:rPr>
        <w:t>for cardio-inhibitory syncope</w:t>
      </w:r>
      <w:r>
        <w:rPr>
          <w:rFonts w:cstheme="minorHAnsi"/>
          <w:sz w:val="24"/>
          <w:szCs w:val="24"/>
          <w:lang w:val="en-US"/>
        </w:rPr>
        <w:t xml:space="preserve">, </w:t>
      </w:r>
      <w:r w:rsidR="00D548C0">
        <w:rPr>
          <w:rFonts w:cstheme="minorHAnsi"/>
          <w:sz w:val="24"/>
          <w:szCs w:val="24"/>
          <w:lang w:val="en-US"/>
        </w:rPr>
        <w:t xml:space="preserve">SGLT2-I users </w:t>
      </w:r>
      <w:r w:rsidRPr="009316B4">
        <w:rPr>
          <w:rFonts w:cstheme="minorHAnsi"/>
          <w:sz w:val="24"/>
          <w:szCs w:val="24"/>
          <w:lang w:val="en-US"/>
        </w:rPr>
        <w:t>had a significant reduction of HR (56.</w:t>
      </w:r>
      <w:r>
        <w:rPr>
          <w:rFonts w:cstheme="minorHAnsi"/>
          <w:sz w:val="24"/>
          <w:szCs w:val="24"/>
          <w:lang w:val="en-US"/>
        </w:rPr>
        <w:t>3</w:t>
      </w:r>
      <w:r w:rsidRPr="009316B4">
        <w:rPr>
          <w:rFonts w:cstheme="minorHAnsi"/>
          <w:sz w:val="24"/>
          <w:szCs w:val="24"/>
          <w:lang w:val="en-US"/>
        </w:rPr>
        <w:t>±</w:t>
      </w:r>
      <w:r>
        <w:rPr>
          <w:rFonts w:cstheme="minorHAnsi"/>
          <w:sz w:val="24"/>
          <w:szCs w:val="24"/>
          <w:lang w:val="en-US"/>
        </w:rPr>
        <w:t>5</w:t>
      </w:r>
      <w:r w:rsidRPr="009316B4">
        <w:rPr>
          <w:rFonts w:cstheme="minorHAnsi"/>
          <w:sz w:val="24"/>
          <w:szCs w:val="24"/>
          <w:lang w:val="en-US"/>
        </w:rPr>
        <w:t>.</w:t>
      </w:r>
      <w:r>
        <w:rPr>
          <w:rFonts w:cstheme="minorHAnsi"/>
          <w:sz w:val="24"/>
          <w:szCs w:val="24"/>
          <w:lang w:val="en-US"/>
        </w:rPr>
        <w:t>5</w:t>
      </w:r>
      <w:r w:rsidRPr="009316B4">
        <w:rPr>
          <w:rFonts w:cstheme="minorHAnsi"/>
          <w:sz w:val="24"/>
          <w:szCs w:val="24"/>
          <w:lang w:val="en-US"/>
        </w:rPr>
        <w:t xml:space="preserve"> vs. 7</w:t>
      </w:r>
      <w:r>
        <w:rPr>
          <w:rFonts w:cstheme="minorHAnsi"/>
          <w:sz w:val="24"/>
          <w:szCs w:val="24"/>
          <w:lang w:val="en-US"/>
        </w:rPr>
        <w:t>2</w:t>
      </w:r>
      <w:r w:rsidRPr="009316B4">
        <w:rPr>
          <w:rFonts w:cstheme="minorHAnsi"/>
          <w:sz w:val="24"/>
          <w:szCs w:val="24"/>
          <w:lang w:val="en-US"/>
        </w:rPr>
        <w:t>.</w:t>
      </w:r>
      <w:r>
        <w:rPr>
          <w:rFonts w:cstheme="minorHAnsi"/>
          <w:sz w:val="24"/>
          <w:szCs w:val="24"/>
          <w:lang w:val="en-US"/>
        </w:rPr>
        <w:t>7</w:t>
      </w:r>
      <w:r w:rsidRPr="009316B4">
        <w:rPr>
          <w:rFonts w:cstheme="minorHAnsi"/>
          <w:sz w:val="24"/>
          <w:szCs w:val="24"/>
          <w:lang w:val="en-US"/>
        </w:rPr>
        <w:t>±</w:t>
      </w:r>
      <w:r>
        <w:rPr>
          <w:rFonts w:cstheme="minorHAnsi"/>
          <w:sz w:val="24"/>
          <w:szCs w:val="24"/>
          <w:lang w:val="en-US"/>
        </w:rPr>
        <w:t>6</w:t>
      </w:r>
      <w:r w:rsidRPr="009316B4">
        <w:rPr>
          <w:rFonts w:cstheme="minorHAnsi"/>
          <w:sz w:val="24"/>
          <w:szCs w:val="24"/>
          <w:lang w:val="en-US"/>
        </w:rPr>
        <w:t>.</w:t>
      </w:r>
      <w:r>
        <w:rPr>
          <w:rFonts w:cstheme="minorHAnsi"/>
          <w:sz w:val="24"/>
          <w:szCs w:val="24"/>
          <w:lang w:val="en-US"/>
        </w:rPr>
        <w:t>7</w:t>
      </w:r>
      <w:r w:rsidRPr="009316B4">
        <w:rPr>
          <w:rFonts w:cstheme="minorHAnsi"/>
          <w:sz w:val="24"/>
          <w:szCs w:val="24"/>
          <w:lang w:val="en-US"/>
        </w:rPr>
        <w:t>; p&lt;0.05), and of HF (15.</w:t>
      </w:r>
      <w:r>
        <w:rPr>
          <w:rFonts w:cstheme="minorHAnsi"/>
          <w:sz w:val="24"/>
          <w:szCs w:val="24"/>
          <w:lang w:val="en-US"/>
        </w:rPr>
        <w:t>1</w:t>
      </w:r>
      <w:r w:rsidRPr="009316B4">
        <w:rPr>
          <w:rFonts w:cstheme="minorHAnsi"/>
          <w:sz w:val="24"/>
          <w:szCs w:val="24"/>
          <w:lang w:val="en-US"/>
        </w:rPr>
        <w:t>2±0.1</w:t>
      </w:r>
      <w:r>
        <w:rPr>
          <w:rFonts w:cstheme="minorHAnsi"/>
          <w:sz w:val="24"/>
          <w:szCs w:val="24"/>
          <w:lang w:val="en-US"/>
        </w:rPr>
        <w:t>7</w:t>
      </w:r>
      <w:r w:rsidRPr="009316B4">
        <w:rPr>
          <w:rFonts w:cstheme="minorHAnsi"/>
          <w:sz w:val="24"/>
          <w:szCs w:val="24"/>
          <w:lang w:val="en-US"/>
        </w:rPr>
        <w:t xml:space="preserve"> vs. </w:t>
      </w:r>
      <w:r>
        <w:rPr>
          <w:rFonts w:cstheme="minorHAnsi"/>
          <w:sz w:val="24"/>
          <w:szCs w:val="24"/>
          <w:lang w:val="en-US"/>
        </w:rPr>
        <w:t>20</w:t>
      </w:r>
      <w:r w:rsidRPr="009316B4">
        <w:rPr>
          <w:rFonts w:cstheme="minorHAnsi"/>
          <w:sz w:val="24"/>
          <w:szCs w:val="24"/>
          <w:lang w:val="en-US"/>
        </w:rPr>
        <w:t>.</w:t>
      </w:r>
      <w:r>
        <w:rPr>
          <w:rFonts w:cstheme="minorHAnsi"/>
          <w:sz w:val="24"/>
          <w:szCs w:val="24"/>
          <w:lang w:val="en-US"/>
        </w:rPr>
        <w:t>1</w:t>
      </w:r>
      <w:r w:rsidRPr="009316B4">
        <w:rPr>
          <w:rFonts w:cstheme="minorHAnsi"/>
          <w:sz w:val="24"/>
          <w:szCs w:val="24"/>
          <w:lang w:val="en-US"/>
        </w:rPr>
        <w:t>0</w:t>
      </w:r>
      <w:r>
        <w:rPr>
          <w:rFonts w:cstheme="minorHAnsi"/>
          <w:sz w:val="24"/>
          <w:szCs w:val="24"/>
          <w:lang w:val="en-US"/>
        </w:rPr>
        <w:t>±1.56</w:t>
      </w:r>
      <w:r w:rsidRPr="009316B4">
        <w:rPr>
          <w:rFonts w:cstheme="minorHAnsi"/>
          <w:sz w:val="24"/>
          <w:szCs w:val="24"/>
          <w:lang w:val="en-US"/>
        </w:rPr>
        <w:t>; p&lt;0.05), and a significant increase of LF/HFr (5.</w:t>
      </w:r>
      <w:r>
        <w:rPr>
          <w:rFonts w:cstheme="minorHAnsi"/>
          <w:sz w:val="24"/>
          <w:szCs w:val="24"/>
          <w:lang w:val="en-US"/>
        </w:rPr>
        <w:t>90</w:t>
      </w:r>
      <w:r w:rsidRPr="009316B4">
        <w:rPr>
          <w:rFonts w:cstheme="minorHAnsi"/>
          <w:sz w:val="24"/>
          <w:szCs w:val="24"/>
          <w:lang w:val="en-US"/>
        </w:rPr>
        <w:t>±0.</w:t>
      </w:r>
      <w:r>
        <w:rPr>
          <w:rFonts w:cstheme="minorHAnsi"/>
          <w:sz w:val="24"/>
          <w:szCs w:val="24"/>
          <w:lang w:val="en-US"/>
        </w:rPr>
        <w:t>07</w:t>
      </w:r>
      <w:r w:rsidRPr="009316B4">
        <w:rPr>
          <w:rFonts w:cstheme="minorHAnsi"/>
          <w:sz w:val="24"/>
          <w:szCs w:val="24"/>
          <w:lang w:val="en-US"/>
        </w:rPr>
        <w:t xml:space="preserve"> vs. 4.</w:t>
      </w:r>
      <w:r>
        <w:rPr>
          <w:rFonts w:cstheme="minorHAnsi"/>
          <w:sz w:val="24"/>
          <w:szCs w:val="24"/>
          <w:lang w:val="en-US"/>
        </w:rPr>
        <w:t>01</w:t>
      </w:r>
      <w:r w:rsidRPr="009316B4">
        <w:rPr>
          <w:rFonts w:cstheme="minorHAnsi"/>
          <w:sz w:val="24"/>
          <w:szCs w:val="24"/>
          <w:lang w:val="en-US"/>
        </w:rPr>
        <w:t>±0.</w:t>
      </w:r>
      <w:r>
        <w:rPr>
          <w:rFonts w:cstheme="minorHAnsi"/>
          <w:sz w:val="24"/>
          <w:szCs w:val="24"/>
          <w:lang w:val="en-US"/>
        </w:rPr>
        <w:t>15</w:t>
      </w:r>
      <w:r w:rsidRPr="009316B4">
        <w:rPr>
          <w:rFonts w:cstheme="minorHAnsi"/>
          <w:sz w:val="24"/>
          <w:szCs w:val="24"/>
          <w:lang w:val="en-US"/>
        </w:rPr>
        <w:t xml:space="preserve">; p&lt;0.05), and of </w:t>
      </w:r>
      <w:r w:rsidR="00D548C0" w:rsidRPr="00EA20C3">
        <w:rPr>
          <w:rFonts w:cstheme="minorHAnsi"/>
          <w:sz w:val="24"/>
          <w:szCs w:val="24"/>
          <w:lang w:val="en-US"/>
        </w:rPr>
        <w:t>H/M</w:t>
      </w:r>
      <w:r w:rsidR="00D548C0" w:rsidRPr="00EA20C3">
        <w:rPr>
          <w:rFonts w:cstheme="minorHAnsi"/>
          <w:sz w:val="24"/>
          <w:szCs w:val="24"/>
          <w:vertAlign w:val="subscript"/>
          <w:lang w:val="en-US"/>
        </w:rPr>
        <w:t>late</w:t>
      </w:r>
      <w:r w:rsidR="00D548C0">
        <w:rPr>
          <w:rFonts w:cstheme="minorHAnsi"/>
          <w:sz w:val="24"/>
          <w:szCs w:val="24"/>
          <w:vertAlign w:val="subscript"/>
          <w:lang w:val="en-US"/>
        </w:rPr>
        <w:t xml:space="preserve"> </w:t>
      </w:r>
      <w:r w:rsidRPr="009316B4">
        <w:rPr>
          <w:rFonts w:cstheme="minorHAnsi"/>
          <w:sz w:val="24"/>
          <w:szCs w:val="24"/>
          <w:lang w:val="en-US"/>
        </w:rPr>
        <w:t>(2.</w:t>
      </w:r>
      <w:r>
        <w:rPr>
          <w:rFonts w:cstheme="minorHAnsi"/>
          <w:sz w:val="24"/>
          <w:szCs w:val="24"/>
          <w:lang w:val="en-US"/>
        </w:rPr>
        <w:t>53</w:t>
      </w:r>
      <w:r w:rsidRPr="009316B4">
        <w:rPr>
          <w:rFonts w:cstheme="minorHAnsi"/>
          <w:sz w:val="24"/>
          <w:szCs w:val="24"/>
          <w:lang w:val="en-US"/>
        </w:rPr>
        <w:t>±0.2</w:t>
      </w:r>
      <w:r>
        <w:rPr>
          <w:rFonts w:cstheme="minorHAnsi"/>
          <w:sz w:val="24"/>
          <w:szCs w:val="24"/>
          <w:lang w:val="en-US"/>
        </w:rPr>
        <w:t>8</w:t>
      </w:r>
      <w:r w:rsidRPr="009316B4">
        <w:rPr>
          <w:rFonts w:cstheme="minorHAnsi"/>
          <w:sz w:val="24"/>
          <w:szCs w:val="24"/>
          <w:lang w:val="en-US"/>
        </w:rPr>
        <w:t xml:space="preserve"> vs. 1.8</w:t>
      </w:r>
      <w:r>
        <w:rPr>
          <w:rFonts w:cstheme="minorHAnsi"/>
          <w:sz w:val="24"/>
          <w:szCs w:val="24"/>
          <w:lang w:val="en-US"/>
        </w:rPr>
        <w:t>4</w:t>
      </w:r>
      <w:r w:rsidRPr="009316B4">
        <w:rPr>
          <w:rFonts w:cstheme="minorHAnsi"/>
          <w:sz w:val="24"/>
          <w:szCs w:val="24"/>
          <w:lang w:val="en-US"/>
        </w:rPr>
        <w:t>±0.1</w:t>
      </w:r>
      <w:r>
        <w:rPr>
          <w:rFonts w:cstheme="minorHAnsi"/>
          <w:sz w:val="24"/>
          <w:szCs w:val="24"/>
          <w:lang w:val="en-US"/>
        </w:rPr>
        <w:t>3; p&lt;0.05).</w:t>
      </w:r>
      <w:r w:rsidRPr="009316B4">
        <w:rPr>
          <w:rFonts w:cstheme="minorHAnsi"/>
          <w:sz w:val="24"/>
          <w:szCs w:val="24"/>
          <w:lang w:val="en-US"/>
        </w:rPr>
        <w:t xml:space="preserve"> </w:t>
      </w:r>
      <w:r>
        <w:rPr>
          <w:rFonts w:cstheme="minorHAnsi"/>
          <w:sz w:val="24"/>
          <w:szCs w:val="24"/>
          <w:lang w:val="en-US"/>
        </w:rPr>
        <w:t>T</w:t>
      </w:r>
      <w:r w:rsidRPr="009316B4">
        <w:rPr>
          <w:rFonts w:cstheme="minorHAnsi"/>
          <w:sz w:val="24"/>
          <w:szCs w:val="24"/>
          <w:lang w:val="en-US"/>
        </w:rPr>
        <w:t>his cohort of patients showed a sig</w:t>
      </w:r>
      <w:r w:rsidR="008456A7">
        <w:rPr>
          <w:rFonts w:cstheme="minorHAnsi"/>
          <w:sz w:val="24"/>
          <w:szCs w:val="24"/>
          <w:lang w:val="en-US"/>
        </w:rPr>
        <w:t>nificant reduction of the WR (41</w:t>
      </w:r>
      <w:r w:rsidRPr="009316B4">
        <w:rPr>
          <w:rFonts w:cstheme="minorHAnsi"/>
          <w:sz w:val="24"/>
          <w:szCs w:val="24"/>
          <w:lang w:val="en-US"/>
        </w:rPr>
        <w:t>.</w:t>
      </w:r>
      <w:r>
        <w:rPr>
          <w:rFonts w:cstheme="minorHAnsi"/>
          <w:sz w:val="24"/>
          <w:szCs w:val="24"/>
          <w:lang w:val="en-US"/>
        </w:rPr>
        <w:t>75</w:t>
      </w:r>
      <w:r w:rsidRPr="009316B4">
        <w:rPr>
          <w:rFonts w:cstheme="minorHAnsi"/>
          <w:sz w:val="24"/>
          <w:szCs w:val="24"/>
          <w:lang w:val="en-US"/>
        </w:rPr>
        <w:t>±</w:t>
      </w:r>
      <w:r>
        <w:rPr>
          <w:rFonts w:cstheme="minorHAnsi"/>
          <w:sz w:val="24"/>
          <w:szCs w:val="24"/>
          <w:lang w:val="en-US"/>
        </w:rPr>
        <w:t>6</w:t>
      </w:r>
      <w:r w:rsidRPr="009316B4">
        <w:rPr>
          <w:rFonts w:cstheme="minorHAnsi"/>
          <w:sz w:val="24"/>
          <w:szCs w:val="24"/>
          <w:lang w:val="en-US"/>
        </w:rPr>
        <w:t>.</w:t>
      </w:r>
      <w:r>
        <w:rPr>
          <w:rFonts w:cstheme="minorHAnsi"/>
          <w:sz w:val="24"/>
          <w:szCs w:val="24"/>
          <w:lang w:val="en-US"/>
        </w:rPr>
        <w:t>55</w:t>
      </w:r>
      <w:r w:rsidRPr="009316B4">
        <w:rPr>
          <w:rFonts w:cstheme="minorHAnsi"/>
          <w:sz w:val="24"/>
          <w:szCs w:val="24"/>
          <w:lang w:val="en-US"/>
        </w:rPr>
        <w:t xml:space="preserve"> vs. 5</w:t>
      </w:r>
      <w:r>
        <w:rPr>
          <w:rFonts w:cstheme="minorHAnsi"/>
          <w:sz w:val="24"/>
          <w:szCs w:val="24"/>
          <w:lang w:val="en-US"/>
        </w:rPr>
        <w:t>9</w:t>
      </w:r>
      <w:r w:rsidRPr="009316B4">
        <w:rPr>
          <w:rFonts w:cstheme="minorHAnsi"/>
          <w:sz w:val="24"/>
          <w:szCs w:val="24"/>
          <w:lang w:val="en-US"/>
        </w:rPr>
        <w:t>.1</w:t>
      </w:r>
      <w:r>
        <w:rPr>
          <w:rFonts w:cstheme="minorHAnsi"/>
          <w:sz w:val="24"/>
          <w:szCs w:val="24"/>
          <w:lang w:val="en-US"/>
        </w:rPr>
        <w:t>0±6</w:t>
      </w:r>
      <w:r w:rsidRPr="009316B4">
        <w:rPr>
          <w:rFonts w:cstheme="minorHAnsi"/>
          <w:sz w:val="24"/>
          <w:szCs w:val="24"/>
          <w:lang w:val="en-US"/>
        </w:rPr>
        <w:t>.</w:t>
      </w:r>
      <w:r>
        <w:rPr>
          <w:rFonts w:cstheme="minorHAnsi"/>
          <w:sz w:val="24"/>
          <w:szCs w:val="24"/>
          <w:lang w:val="en-US"/>
        </w:rPr>
        <w:t>59</w:t>
      </w:r>
      <w:r w:rsidRPr="009316B4">
        <w:rPr>
          <w:rFonts w:cstheme="minorHAnsi"/>
          <w:sz w:val="24"/>
          <w:szCs w:val="24"/>
          <w:lang w:val="en-US"/>
        </w:rPr>
        <w:t>; p&lt;0.05).</w:t>
      </w:r>
    </w:p>
    <w:p w:rsidR="002746D5" w:rsidRPr="009316B4" w:rsidRDefault="000019D4" w:rsidP="002746D5">
      <w:pPr>
        <w:autoSpaceDE w:val="0"/>
        <w:autoSpaceDN w:val="0"/>
        <w:adjustRightInd w:val="0"/>
        <w:spacing w:after="0" w:line="480" w:lineRule="auto"/>
        <w:rPr>
          <w:rFonts w:cstheme="minorHAnsi"/>
          <w:sz w:val="24"/>
          <w:szCs w:val="24"/>
          <w:lang w:val="en-US"/>
        </w:rPr>
      </w:pPr>
      <w:r>
        <w:rPr>
          <w:rFonts w:cstheme="minorHAnsi"/>
          <w:sz w:val="24"/>
          <w:szCs w:val="24"/>
          <w:lang w:val="en-US"/>
        </w:rPr>
        <w:t>In the N</w:t>
      </w:r>
      <w:r w:rsidR="008A17EC" w:rsidRPr="009316B4">
        <w:rPr>
          <w:rFonts w:cstheme="minorHAnsi"/>
          <w:sz w:val="24"/>
          <w:szCs w:val="24"/>
          <w:lang w:val="en-US"/>
        </w:rPr>
        <w:t>on-SLGT2</w:t>
      </w:r>
      <w:r w:rsidR="00D548C0">
        <w:rPr>
          <w:rFonts w:cstheme="minorHAnsi"/>
          <w:sz w:val="24"/>
          <w:szCs w:val="24"/>
          <w:lang w:val="en-US"/>
        </w:rPr>
        <w:t>-I</w:t>
      </w:r>
      <w:r w:rsidR="008A17EC" w:rsidRPr="009316B4">
        <w:rPr>
          <w:rFonts w:cstheme="minorHAnsi"/>
          <w:sz w:val="24"/>
          <w:szCs w:val="24"/>
          <w:lang w:val="en-US"/>
        </w:rPr>
        <w:t xml:space="preserve"> users, we found a significant reduction of HF (17.0</w:t>
      </w:r>
      <w:r w:rsidR="008A17EC">
        <w:rPr>
          <w:rFonts w:cstheme="minorHAnsi"/>
          <w:sz w:val="24"/>
          <w:szCs w:val="24"/>
          <w:lang w:val="en-US"/>
        </w:rPr>
        <w:t>6</w:t>
      </w:r>
      <w:r w:rsidR="008A17EC" w:rsidRPr="009316B4">
        <w:rPr>
          <w:rFonts w:cstheme="minorHAnsi"/>
          <w:sz w:val="24"/>
          <w:szCs w:val="24"/>
          <w:lang w:val="en-US"/>
        </w:rPr>
        <w:t>±0.1</w:t>
      </w:r>
      <w:r w:rsidR="008A17EC">
        <w:rPr>
          <w:rFonts w:cstheme="minorHAnsi"/>
          <w:sz w:val="24"/>
          <w:szCs w:val="24"/>
          <w:lang w:val="en-US"/>
        </w:rPr>
        <w:t>8</w:t>
      </w:r>
      <w:r w:rsidR="008A17EC" w:rsidRPr="009316B4">
        <w:rPr>
          <w:rFonts w:cstheme="minorHAnsi"/>
          <w:sz w:val="24"/>
          <w:szCs w:val="24"/>
          <w:lang w:val="en-US"/>
        </w:rPr>
        <w:t xml:space="preserve"> vs. 18.</w:t>
      </w:r>
      <w:r w:rsidR="008A17EC">
        <w:rPr>
          <w:rFonts w:cstheme="minorHAnsi"/>
          <w:sz w:val="24"/>
          <w:szCs w:val="24"/>
          <w:lang w:val="en-US"/>
        </w:rPr>
        <w:t>05</w:t>
      </w:r>
    </w:p>
    <w:p w:rsidR="002746D5" w:rsidRDefault="008A17EC" w:rsidP="00C17738">
      <w:pPr>
        <w:autoSpaceDE w:val="0"/>
        <w:autoSpaceDN w:val="0"/>
        <w:adjustRightInd w:val="0"/>
        <w:spacing w:after="0" w:line="480" w:lineRule="auto"/>
        <w:rPr>
          <w:rFonts w:cstheme="minorHAnsi"/>
          <w:sz w:val="24"/>
          <w:szCs w:val="24"/>
          <w:lang w:val="en-US"/>
        </w:rPr>
      </w:pPr>
      <w:r w:rsidRPr="009316B4">
        <w:rPr>
          <w:rFonts w:cstheme="minorHAnsi"/>
          <w:sz w:val="24"/>
          <w:szCs w:val="24"/>
          <w:lang w:val="en-US"/>
        </w:rPr>
        <w:t>1.</w:t>
      </w:r>
      <w:r>
        <w:rPr>
          <w:rFonts w:cstheme="minorHAnsi"/>
          <w:sz w:val="24"/>
          <w:szCs w:val="24"/>
          <w:lang w:val="en-US"/>
        </w:rPr>
        <w:t>71</w:t>
      </w:r>
      <w:r w:rsidRPr="009316B4">
        <w:rPr>
          <w:rFonts w:cstheme="minorHAnsi"/>
          <w:sz w:val="24"/>
          <w:szCs w:val="24"/>
          <w:lang w:val="en-US"/>
        </w:rPr>
        <w:t xml:space="preserve">; p&lt;0.05), with a significant increase of </w:t>
      </w:r>
      <w:r>
        <w:rPr>
          <w:rFonts w:cstheme="minorHAnsi"/>
          <w:sz w:val="24"/>
          <w:szCs w:val="24"/>
          <w:lang w:val="en-US"/>
        </w:rPr>
        <w:t xml:space="preserve">the </w:t>
      </w:r>
      <w:r w:rsidR="00D548C0" w:rsidRPr="00EA20C3">
        <w:rPr>
          <w:rFonts w:cstheme="minorHAnsi"/>
          <w:sz w:val="24"/>
          <w:szCs w:val="24"/>
          <w:lang w:val="en-US"/>
        </w:rPr>
        <w:t>H/M</w:t>
      </w:r>
      <w:r w:rsidR="00D548C0" w:rsidRPr="00EA20C3">
        <w:rPr>
          <w:rFonts w:cstheme="minorHAnsi"/>
          <w:sz w:val="24"/>
          <w:szCs w:val="24"/>
          <w:vertAlign w:val="subscript"/>
          <w:lang w:val="en-US"/>
        </w:rPr>
        <w:t>late</w:t>
      </w:r>
      <w:r w:rsidR="00D548C0">
        <w:rPr>
          <w:rFonts w:cstheme="minorHAnsi"/>
          <w:sz w:val="24"/>
          <w:szCs w:val="24"/>
          <w:vertAlign w:val="subscript"/>
          <w:lang w:val="en-US"/>
        </w:rPr>
        <w:t xml:space="preserve"> </w:t>
      </w:r>
      <w:r w:rsidRPr="009316B4">
        <w:rPr>
          <w:rFonts w:cstheme="minorHAnsi"/>
          <w:sz w:val="24"/>
          <w:szCs w:val="24"/>
          <w:lang w:val="en-US"/>
        </w:rPr>
        <w:t>(1.</w:t>
      </w:r>
      <w:r>
        <w:rPr>
          <w:rFonts w:cstheme="minorHAnsi"/>
          <w:sz w:val="24"/>
          <w:szCs w:val="24"/>
          <w:lang w:val="en-US"/>
        </w:rPr>
        <w:t>72</w:t>
      </w:r>
      <w:r w:rsidRPr="009316B4">
        <w:rPr>
          <w:rFonts w:cstheme="minorHAnsi"/>
          <w:sz w:val="24"/>
          <w:szCs w:val="24"/>
          <w:lang w:val="en-US"/>
        </w:rPr>
        <w:t>±0.3</w:t>
      </w:r>
      <w:r>
        <w:rPr>
          <w:rFonts w:cstheme="minorHAnsi"/>
          <w:sz w:val="24"/>
          <w:szCs w:val="24"/>
          <w:lang w:val="en-US"/>
        </w:rPr>
        <w:t>0</w:t>
      </w:r>
      <w:r w:rsidRPr="009316B4">
        <w:rPr>
          <w:rFonts w:cstheme="minorHAnsi"/>
          <w:sz w:val="24"/>
          <w:szCs w:val="24"/>
          <w:lang w:val="en-US"/>
        </w:rPr>
        <w:t xml:space="preserve"> vs. 1.</w:t>
      </w:r>
      <w:r>
        <w:rPr>
          <w:rFonts w:cstheme="minorHAnsi"/>
          <w:sz w:val="24"/>
          <w:szCs w:val="24"/>
          <w:lang w:val="en-US"/>
        </w:rPr>
        <w:t>56</w:t>
      </w:r>
      <w:r w:rsidRPr="009316B4">
        <w:rPr>
          <w:rFonts w:cstheme="minorHAnsi"/>
          <w:sz w:val="24"/>
          <w:szCs w:val="24"/>
          <w:lang w:val="en-US"/>
        </w:rPr>
        <w:t>±0.1</w:t>
      </w:r>
      <w:r>
        <w:rPr>
          <w:rFonts w:cstheme="minorHAnsi"/>
          <w:sz w:val="24"/>
          <w:szCs w:val="24"/>
          <w:lang w:val="en-US"/>
        </w:rPr>
        <w:t>8</w:t>
      </w:r>
      <w:r w:rsidR="008456A7">
        <w:rPr>
          <w:rFonts w:cstheme="minorHAnsi"/>
          <w:sz w:val="24"/>
          <w:szCs w:val="24"/>
          <w:lang w:val="en-US"/>
        </w:rPr>
        <w:t>; p&lt;0.05), and a significant reduction of WR (32.95±5.77 vs. 39.35±</w:t>
      </w:r>
      <w:r w:rsidR="00C17738">
        <w:rPr>
          <w:rFonts w:cstheme="minorHAnsi"/>
          <w:sz w:val="24"/>
          <w:szCs w:val="24"/>
          <w:lang w:val="en-US"/>
        </w:rPr>
        <w:t xml:space="preserve">7.53; p&lt;0.05). </w:t>
      </w:r>
      <w:r w:rsidR="00C17738">
        <w:rPr>
          <w:rFonts w:cstheme="minorHAnsi"/>
          <w:b/>
          <w:sz w:val="24"/>
          <w:szCs w:val="24"/>
          <w:lang w:val="en-US"/>
        </w:rPr>
        <w:t>S</w:t>
      </w:r>
      <w:r w:rsidR="00C17738" w:rsidRPr="00C17738">
        <w:rPr>
          <w:rFonts w:cstheme="minorHAnsi"/>
          <w:b/>
          <w:sz w:val="24"/>
          <w:szCs w:val="24"/>
          <w:lang w:val="en-US"/>
        </w:rPr>
        <w:t>upplementary table</w:t>
      </w:r>
      <w:r w:rsidR="002C7F1C">
        <w:rPr>
          <w:rFonts w:cstheme="minorHAnsi"/>
          <w:b/>
          <w:sz w:val="24"/>
          <w:szCs w:val="24"/>
          <w:lang w:val="en-US"/>
        </w:rPr>
        <w:t xml:space="preserve"> 1</w:t>
      </w:r>
      <w:r w:rsidR="00C17738">
        <w:rPr>
          <w:rFonts w:cstheme="minorHAnsi"/>
          <w:sz w:val="24"/>
          <w:szCs w:val="24"/>
          <w:lang w:val="en-US"/>
        </w:rPr>
        <w:t>.</w:t>
      </w:r>
    </w:p>
    <w:p w:rsidR="002746D5" w:rsidRPr="009316B4" w:rsidRDefault="008A17EC" w:rsidP="002746D5">
      <w:pPr>
        <w:autoSpaceDE w:val="0"/>
        <w:autoSpaceDN w:val="0"/>
        <w:adjustRightInd w:val="0"/>
        <w:spacing w:after="0" w:line="480" w:lineRule="auto"/>
        <w:rPr>
          <w:rFonts w:cstheme="minorHAnsi"/>
          <w:sz w:val="24"/>
          <w:szCs w:val="24"/>
          <w:lang w:val="en-US"/>
        </w:rPr>
      </w:pPr>
      <w:r>
        <w:rPr>
          <w:rFonts w:cstheme="minorHAnsi"/>
          <w:sz w:val="24"/>
          <w:szCs w:val="24"/>
          <w:lang w:val="en-US"/>
        </w:rPr>
        <w:t xml:space="preserve">4. </w:t>
      </w:r>
      <w:r w:rsidRPr="00132389">
        <w:rPr>
          <w:rFonts w:cstheme="minorHAnsi"/>
          <w:b/>
          <w:sz w:val="24"/>
          <w:szCs w:val="24"/>
          <w:lang w:val="en-US"/>
        </w:rPr>
        <w:t xml:space="preserve">for </w:t>
      </w:r>
      <w:r>
        <w:rPr>
          <w:rFonts w:cstheme="minorHAnsi"/>
          <w:b/>
          <w:sz w:val="24"/>
          <w:szCs w:val="24"/>
          <w:lang w:val="en-US"/>
        </w:rPr>
        <w:t>vaso-depressor</w:t>
      </w:r>
      <w:r w:rsidRPr="00132389">
        <w:rPr>
          <w:rFonts w:cstheme="minorHAnsi"/>
          <w:b/>
          <w:sz w:val="24"/>
          <w:szCs w:val="24"/>
          <w:lang w:val="en-US"/>
        </w:rPr>
        <w:t xml:space="preserve"> syncope</w:t>
      </w:r>
      <w:r>
        <w:rPr>
          <w:rFonts w:cstheme="minorHAnsi"/>
          <w:sz w:val="24"/>
          <w:szCs w:val="24"/>
          <w:lang w:val="en-US"/>
        </w:rPr>
        <w:t xml:space="preserve">, </w:t>
      </w:r>
      <w:r w:rsidR="00D548C0">
        <w:rPr>
          <w:rFonts w:cstheme="minorHAnsi"/>
          <w:sz w:val="24"/>
          <w:szCs w:val="24"/>
          <w:lang w:val="en-US"/>
        </w:rPr>
        <w:t xml:space="preserve">SGLT2-I users </w:t>
      </w:r>
      <w:r w:rsidRPr="009316B4">
        <w:rPr>
          <w:rFonts w:cstheme="minorHAnsi"/>
          <w:sz w:val="24"/>
          <w:szCs w:val="24"/>
          <w:lang w:val="en-US"/>
        </w:rPr>
        <w:t>had a significant reduction of HR (56.</w:t>
      </w:r>
      <w:r>
        <w:rPr>
          <w:rFonts w:cstheme="minorHAnsi"/>
          <w:sz w:val="24"/>
          <w:szCs w:val="24"/>
          <w:lang w:val="en-US"/>
        </w:rPr>
        <w:t>7</w:t>
      </w:r>
      <w:r w:rsidRPr="009316B4">
        <w:rPr>
          <w:rFonts w:cstheme="minorHAnsi"/>
          <w:sz w:val="24"/>
          <w:szCs w:val="24"/>
          <w:lang w:val="en-US"/>
        </w:rPr>
        <w:t>±</w:t>
      </w:r>
      <w:r>
        <w:rPr>
          <w:rFonts w:cstheme="minorHAnsi"/>
          <w:sz w:val="24"/>
          <w:szCs w:val="24"/>
          <w:lang w:val="en-US"/>
        </w:rPr>
        <w:t>9</w:t>
      </w:r>
      <w:r w:rsidRPr="009316B4">
        <w:rPr>
          <w:rFonts w:cstheme="minorHAnsi"/>
          <w:sz w:val="24"/>
          <w:szCs w:val="24"/>
          <w:lang w:val="en-US"/>
        </w:rPr>
        <w:t>.</w:t>
      </w:r>
      <w:r>
        <w:rPr>
          <w:rFonts w:cstheme="minorHAnsi"/>
          <w:sz w:val="24"/>
          <w:szCs w:val="24"/>
          <w:lang w:val="en-US"/>
        </w:rPr>
        <w:t>9</w:t>
      </w:r>
      <w:r w:rsidRPr="009316B4">
        <w:rPr>
          <w:rFonts w:cstheme="minorHAnsi"/>
          <w:sz w:val="24"/>
          <w:szCs w:val="24"/>
          <w:lang w:val="en-US"/>
        </w:rPr>
        <w:t xml:space="preserve"> vs. 7</w:t>
      </w:r>
      <w:r>
        <w:rPr>
          <w:rFonts w:cstheme="minorHAnsi"/>
          <w:sz w:val="24"/>
          <w:szCs w:val="24"/>
          <w:lang w:val="en-US"/>
        </w:rPr>
        <w:t>5</w:t>
      </w:r>
      <w:r w:rsidRPr="009316B4">
        <w:rPr>
          <w:rFonts w:cstheme="minorHAnsi"/>
          <w:sz w:val="24"/>
          <w:szCs w:val="24"/>
          <w:lang w:val="en-US"/>
        </w:rPr>
        <w:t>.</w:t>
      </w:r>
      <w:r>
        <w:rPr>
          <w:rFonts w:cstheme="minorHAnsi"/>
          <w:sz w:val="24"/>
          <w:szCs w:val="24"/>
          <w:lang w:val="en-US"/>
        </w:rPr>
        <w:t>8</w:t>
      </w:r>
      <w:r w:rsidRPr="009316B4">
        <w:rPr>
          <w:rFonts w:cstheme="minorHAnsi"/>
          <w:sz w:val="24"/>
          <w:szCs w:val="24"/>
          <w:lang w:val="en-US"/>
        </w:rPr>
        <w:t>±</w:t>
      </w:r>
      <w:r>
        <w:rPr>
          <w:rFonts w:cstheme="minorHAnsi"/>
          <w:sz w:val="24"/>
          <w:szCs w:val="24"/>
          <w:lang w:val="en-US"/>
        </w:rPr>
        <w:t>11.4</w:t>
      </w:r>
      <w:r w:rsidRPr="009316B4">
        <w:rPr>
          <w:rFonts w:cstheme="minorHAnsi"/>
          <w:sz w:val="24"/>
          <w:szCs w:val="24"/>
          <w:lang w:val="en-US"/>
        </w:rPr>
        <w:t>; p&lt;0.05), and of HF (15.</w:t>
      </w:r>
      <w:r>
        <w:rPr>
          <w:rFonts w:cstheme="minorHAnsi"/>
          <w:sz w:val="24"/>
          <w:szCs w:val="24"/>
          <w:lang w:val="en-US"/>
        </w:rPr>
        <w:t>38</w:t>
      </w:r>
      <w:r w:rsidRPr="009316B4">
        <w:rPr>
          <w:rFonts w:cstheme="minorHAnsi"/>
          <w:sz w:val="24"/>
          <w:szCs w:val="24"/>
          <w:lang w:val="en-US"/>
        </w:rPr>
        <w:t>±0.</w:t>
      </w:r>
      <w:r>
        <w:rPr>
          <w:rFonts w:cstheme="minorHAnsi"/>
          <w:sz w:val="24"/>
          <w:szCs w:val="24"/>
          <w:lang w:val="en-US"/>
        </w:rPr>
        <w:t>80</w:t>
      </w:r>
      <w:r w:rsidRPr="009316B4">
        <w:rPr>
          <w:rFonts w:cstheme="minorHAnsi"/>
          <w:sz w:val="24"/>
          <w:szCs w:val="24"/>
          <w:lang w:val="en-US"/>
        </w:rPr>
        <w:t xml:space="preserve"> vs. </w:t>
      </w:r>
      <w:r>
        <w:rPr>
          <w:rFonts w:cstheme="minorHAnsi"/>
          <w:sz w:val="24"/>
          <w:szCs w:val="24"/>
          <w:lang w:val="en-US"/>
        </w:rPr>
        <w:t>19</w:t>
      </w:r>
      <w:r w:rsidRPr="009316B4">
        <w:rPr>
          <w:rFonts w:cstheme="minorHAnsi"/>
          <w:sz w:val="24"/>
          <w:szCs w:val="24"/>
          <w:lang w:val="en-US"/>
        </w:rPr>
        <w:t>.</w:t>
      </w:r>
      <w:r>
        <w:rPr>
          <w:rFonts w:cstheme="minorHAnsi"/>
          <w:sz w:val="24"/>
          <w:szCs w:val="24"/>
          <w:lang w:val="en-US"/>
        </w:rPr>
        <w:t>01±1.24</w:t>
      </w:r>
      <w:r w:rsidRPr="009316B4">
        <w:rPr>
          <w:rFonts w:cstheme="minorHAnsi"/>
          <w:sz w:val="24"/>
          <w:szCs w:val="24"/>
          <w:lang w:val="en-US"/>
        </w:rPr>
        <w:t>; p&lt;0.05), and a significant increase of LF/HFr (5.</w:t>
      </w:r>
      <w:r>
        <w:rPr>
          <w:rFonts w:cstheme="minorHAnsi"/>
          <w:sz w:val="24"/>
          <w:szCs w:val="24"/>
          <w:lang w:val="en-US"/>
        </w:rPr>
        <w:t>78</w:t>
      </w:r>
      <w:r w:rsidRPr="009316B4">
        <w:rPr>
          <w:rFonts w:cstheme="minorHAnsi"/>
          <w:sz w:val="24"/>
          <w:szCs w:val="24"/>
          <w:lang w:val="en-US"/>
        </w:rPr>
        <w:t>±0.</w:t>
      </w:r>
      <w:r>
        <w:rPr>
          <w:rFonts w:cstheme="minorHAnsi"/>
          <w:sz w:val="24"/>
          <w:szCs w:val="24"/>
          <w:lang w:val="en-US"/>
        </w:rPr>
        <w:t>41</w:t>
      </w:r>
      <w:r w:rsidRPr="009316B4">
        <w:rPr>
          <w:rFonts w:cstheme="minorHAnsi"/>
          <w:sz w:val="24"/>
          <w:szCs w:val="24"/>
          <w:lang w:val="en-US"/>
        </w:rPr>
        <w:t xml:space="preserve"> vs. 4.</w:t>
      </w:r>
      <w:r>
        <w:rPr>
          <w:rFonts w:cstheme="minorHAnsi"/>
          <w:sz w:val="24"/>
          <w:szCs w:val="24"/>
          <w:lang w:val="en-US"/>
        </w:rPr>
        <w:t>31</w:t>
      </w:r>
      <w:r w:rsidRPr="009316B4">
        <w:rPr>
          <w:rFonts w:cstheme="minorHAnsi"/>
          <w:sz w:val="24"/>
          <w:szCs w:val="24"/>
          <w:lang w:val="en-US"/>
        </w:rPr>
        <w:t>±0.</w:t>
      </w:r>
      <w:r>
        <w:rPr>
          <w:rFonts w:cstheme="minorHAnsi"/>
          <w:sz w:val="24"/>
          <w:szCs w:val="24"/>
          <w:lang w:val="en-US"/>
        </w:rPr>
        <w:t>34</w:t>
      </w:r>
      <w:r w:rsidRPr="009316B4">
        <w:rPr>
          <w:rFonts w:cstheme="minorHAnsi"/>
          <w:sz w:val="24"/>
          <w:szCs w:val="24"/>
          <w:lang w:val="en-US"/>
        </w:rPr>
        <w:t xml:space="preserve">; p&lt;0.05), and of </w:t>
      </w:r>
      <w:r w:rsidR="00D548C0" w:rsidRPr="00EA20C3">
        <w:rPr>
          <w:rFonts w:cstheme="minorHAnsi"/>
          <w:sz w:val="24"/>
          <w:szCs w:val="24"/>
          <w:lang w:val="en-US"/>
        </w:rPr>
        <w:t>H/M</w:t>
      </w:r>
      <w:r w:rsidR="00D548C0" w:rsidRPr="00EA20C3">
        <w:rPr>
          <w:rFonts w:cstheme="minorHAnsi"/>
          <w:sz w:val="24"/>
          <w:szCs w:val="24"/>
          <w:vertAlign w:val="subscript"/>
          <w:lang w:val="en-US"/>
        </w:rPr>
        <w:t>late</w:t>
      </w:r>
      <w:r w:rsidR="00D548C0">
        <w:rPr>
          <w:rFonts w:cstheme="minorHAnsi"/>
          <w:sz w:val="24"/>
          <w:szCs w:val="24"/>
          <w:vertAlign w:val="subscript"/>
          <w:lang w:val="en-US"/>
        </w:rPr>
        <w:t xml:space="preserve"> </w:t>
      </w:r>
      <w:r w:rsidRPr="009316B4">
        <w:rPr>
          <w:rFonts w:cstheme="minorHAnsi"/>
          <w:sz w:val="24"/>
          <w:szCs w:val="24"/>
          <w:lang w:val="en-US"/>
        </w:rPr>
        <w:t>(2.</w:t>
      </w:r>
      <w:r>
        <w:rPr>
          <w:rFonts w:cstheme="minorHAnsi"/>
          <w:sz w:val="24"/>
          <w:szCs w:val="24"/>
          <w:lang w:val="en-US"/>
        </w:rPr>
        <w:t>38</w:t>
      </w:r>
      <w:r w:rsidRPr="009316B4">
        <w:rPr>
          <w:rFonts w:cstheme="minorHAnsi"/>
          <w:sz w:val="24"/>
          <w:szCs w:val="24"/>
          <w:lang w:val="en-US"/>
        </w:rPr>
        <w:t>±0.</w:t>
      </w:r>
      <w:r>
        <w:rPr>
          <w:rFonts w:cstheme="minorHAnsi"/>
          <w:sz w:val="24"/>
          <w:szCs w:val="24"/>
          <w:lang w:val="en-US"/>
        </w:rPr>
        <w:t>32</w:t>
      </w:r>
      <w:r w:rsidRPr="009316B4">
        <w:rPr>
          <w:rFonts w:cstheme="minorHAnsi"/>
          <w:sz w:val="24"/>
          <w:szCs w:val="24"/>
          <w:lang w:val="en-US"/>
        </w:rPr>
        <w:t xml:space="preserve"> vs. 1.</w:t>
      </w:r>
      <w:r>
        <w:rPr>
          <w:rFonts w:cstheme="minorHAnsi"/>
          <w:sz w:val="24"/>
          <w:szCs w:val="24"/>
          <w:lang w:val="en-US"/>
        </w:rPr>
        <w:t>95</w:t>
      </w:r>
      <w:r w:rsidRPr="009316B4">
        <w:rPr>
          <w:rFonts w:cstheme="minorHAnsi"/>
          <w:sz w:val="24"/>
          <w:szCs w:val="24"/>
          <w:lang w:val="en-US"/>
        </w:rPr>
        <w:t>±0.</w:t>
      </w:r>
      <w:r>
        <w:rPr>
          <w:rFonts w:cstheme="minorHAnsi"/>
          <w:sz w:val="24"/>
          <w:szCs w:val="24"/>
          <w:lang w:val="en-US"/>
        </w:rPr>
        <w:t>09; p&lt;0.05).</w:t>
      </w:r>
      <w:r w:rsidRPr="009316B4">
        <w:rPr>
          <w:rFonts w:cstheme="minorHAnsi"/>
          <w:sz w:val="24"/>
          <w:szCs w:val="24"/>
          <w:lang w:val="en-US"/>
        </w:rPr>
        <w:t xml:space="preserve"> </w:t>
      </w:r>
      <w:r>
        <w:rPr>
          <w:rFonts w:cstheme="minorHAnsi"/>
          <w:sz w:val="24"/>
          <w:szCs w:val="24"/>
          <w:lang w:val="en-US"/>
        </w:rPr>
        <w:t>T</w:t>
      </w:r>
      <w:r w:rsidRPr="009316B4">
        <w:rPr>
          <w:rFonts w:cstheme="minorHAnsi"/>
          <w:sz w:val="24"/>
          <w:szCs w:val="24"/>
          <w:lang w:val="en-US"/>
        </w:rPr>
        <w:t>his cohort of patients showed a sig</w:t>
      </w:r>
      <w:r>
        <w:rPr>
          <w:rFonts w:cstheme="minorHAnsi"/>
          <w:sz w:val="24"/>
          <w:szCs w:val="24"/>
          <w:lang w:val="en-US"/>
        </w:rPr>
        <w:t>nificant reductio</w:t>
      </w:r>
      <w:r w:rsidR="008456A7">
        <w:rPr>
          <w:rFonts w:cstheme="minorHAnsi"/>
          <w:sz w:val="24"/>
          <w:szCs w:val="24"/>
          <w:lang w:val="en-US"/>
        </w:rPr>
        <w:t>n of the WR (26</w:t>
      </w:r>
      <w:r w:rsidRPr="009316B4">
        <w:rPr>
          <w:rFonts w:cstheme="minorHAnsi"/>
          <w:sz w:val="24"/>
          <w:szCs w:val="24"/>
          <w:lang w:val="en-US"/>
        </w:rPr>
        <w:t>.</w:t>
      </w:r>
      <w:r>
        <w:rPr>
          <w:rFonts w:cstheme="minorHAnsi"/>
          <w:sz w:val="24"/>
          <w:szCs w:val="24"/>
          <w:lang w:val="en-US"/>
        </w:rPr>
        <w:t>69</w:t>
      </w:r>
      <w:r w:rsidRPr="009316B4">
        <w:rPr>
          <w:rFonts w:cstheme="minorHAnsi"/>
          <w:sz w:val="24"/>
          <w:szCs w:val="24"/>
          <w:lang w:val="en-US"/>
        </w:rPr>
        <w:t>±</w:t>
      </w:r>
      <w:r>
        <w:rPr>
          <w:rFonts w:cstheme="minorHAnsi"/>
          <w:sz w:val="24"/>
          <w:szCs w:val="24"/>
          <w:lang w:val="en-US"/>
        </w:rPr>
        <w:t>4</w:t>
      </w:r>
      <w:r w:rsidRPr="009316B4">
        <w:rPr>
          <w:rFonts w:cstheme="minorHAnsi"/>
          <w:sz w:val="24"/>
          <w:szCs w:val="24"/>
          <w:lang w:val="en-US"/>
        </w:rPr>
        <w:t>.</w:t>
      </w:r>
      <w:r w:rsidR="008456A7">
        <w:rPr>
          <w:rFonts w:cstheme="minorHAnsi"/>
          <w:sz w:val="24"/>
          <w:szCs w:val="24"/>
          <w:lang w:val="en-US"/>
        </w:rPr>
        <w:t>59</w:t>
      </w:r>
      <w:r w:rsidRPr="009316B4">
        <w:rPr>
          <w:rFonts w:cstheme="minorHAnsi"/>
          <w:sz w:val="24"/>
          <w:szCs w:val="24"/>
          <w:lang w:val="en-US"/>
        </w:rPr>
        <w:t xml:space="preserve"> vs. </w:t>
      </w:r>
      <w:r w:rsidR="008456A7">
        <w:rPr>
          <w:rFonts w:cstheme="minorHAnsi"/>
          <w:sz w:val="24"/>
          <w:szCs w:val="24"/>
          <w:lang w:val="en-US"/>
        </w:rPr>
        <w:t>46</w:t>
      </w:r>
      <w:r w:rsidRPr="009316B4">
        <w:rPr>
          <w:rFonts w:cstheme="minorHAnsi"/>
          <w:sz w:val="24"/>
          <w:szCs w:val="24"/>
          <w:lang w:val="en-US"/>
        </w:rPr>
        <w:t>.</w:t>
      </w:r>
      <w:r w:rsidR="008456A7">
        <w:rPr>
          <w:rFonts w:cstheme="minorHAnsi"/>
          <w:sz w:val="24"/>
          <w:szCs w:val="24"/>
          <w:lang w:val="en-US"/>
        </w:rPr>
        <w:t>19</w:t>
      </w:r>
      <w:r>
        <w:rPr>
          <w:rFonts w:cstheme="minorHAnsi"/>
          <w:sz w:val="24"/>
          <w:szCs w:val="24"/>
          <w:lang w:val="en-US"/>
        </w:rPr>
        <w:t>±</w:t>
      </w:r>
      <w:r w:rsidR="008456A7">
        <w:rPr>
          <w:rFonts w:cstheme="minorHAnsi"/>
          <w:sz w:val="24"/>
          <w:szCs w:val="24"/>
          <w:lang w:val="en-US"/>
        </w:rPr>
        <w:t>6</w:t>
      </w:r>
      <w:r w:rsidRPr="009316B4">
        <w:rPr>
          <w:rFonts w:cstheme="minorHAnsi"/>
          <w:sz w:val="24"/>
          <w:szCs w:val="24"/>
          <w:lang w:val="en-US"/>
        </w:rPr>
        <w:t>.</w:t>
      </w:r>
      <w:r w:rsidR="008456A7">
        <w:rPr>
          <w:rFonts w:cstheme="minorHAnsi"/>
          <w:sz w:val="24"/>
          <w:szCs w:val="24"/>
          <w:lang w:val="en-US"/>
        </w:rPr>
        <w:t>11</w:t>
      </w:r>
      <w:r w:rsidRPr="009316B4">
        <w:rPr>
          <w:rFonts w:cstheme="minorHAnsi"/>
          <w:sz w:val="24"/>
          <w:szCs w:val="24"/>
          <w:lang w:val="en-US"/>
        </w:rPr>
        <w:t>; p&lt;0.05).</w:t>
      </w:r>
    </w:p>
    <w:p w:rsidR="002746D5" w:rsidRDefault="008A17EC" w:rsidP="00C17738">
      <w:pPr>
        <w:autoSpaceDE w:val="0"/>
        <w:autoSpaceDN w:val="0"/>
        <w:adjustRightInd w:val="0"/>
        <w:spacing w:after="0" w:line="480" w:lineRule="auto"/>
        <w:rPr>
          <w:rFonts w:cstheme="minorHAnsi"/>
          <w:sz w:val="24"/>
          <w:szCs w:val="24"/>
          <w:lang w:val="en-US"/>
        </w:rPr>
      </w:pPr>
      <w:r w:rsidRPr="009316B4">
        <w:rPr>
          <w:rFonts w:cstheme="minorHAnsi"/>
          <w:sz w:val="24"/>
          <w:szCs w:val="24"/>
          <w:lang w:val="en-US"/>
        </w:rPr>
        <w:t xml:space="preserve">In the </w:t>
      </w:r>
      <w:r w:rsidR="000019D4">
        <w:rPr>
          <w:rFonts w:cstheme="minorHAnsi"/>
          <w:sz w:val="24"/>
          <w:szCs w:val="24"/>
          <w:lang w:val="en-US"/>
        </w:rPr>
        <w:t>N</w:t>
      </w:r>
      <w:r w:rsidRPr="009316B4">
        <w:rPr>
          <w:rFonts w:cstheme="minorHAnsi"/>
          <w:sz w:val="24"/>
          <w:szCs w:val="24"/>
          <w:lang w:val="en-US"/>
        </w:rPr>
        <w:t>on-SLGT2</w:t>
      </w:r>
      <w:r w:rsidR="00D548C0">
        <w:rPr>
          <w:rFonts w:cstheme="minorHAnsi"/>
          <w:sz w:val="24"/>
          <w:szCs w:val="24"/>
          <w:lang w:val="en-US"/>
        </w:rPr>
        <w:t>-I</w:t>
      </w:r>
      <w:r w:rsidRPr="009316B4">
        <w:rPr>
          <w:rFonts w:cstheme="minorHAnsi"/>
          <w:sz w:val="24"/>
          <w:szCs w:val="24"/>
          <w:lang w:val="en-US"/>
        </w:rPr>
        <w:t xml:space="preserve"> users, we found a significant reduction of </w:t>
      </w:r>
      <w:r>
        <w:rPr>
          <w:rFonts w:cstheme="minorHAnsi"/>
          <w:sz w:val="24"/>
          <w:szCs w:val="24"/>
          <w:lang w:val="en-US"/>
        </w:rPr>
        <w:t xml:space="preserve">HR (70.8±10.1 vs. 78.08±11.85; p&lt;0.05) and of the </w:t>
      </w:r>
      <w:r w:rsidRPr="009316B4">
        <w:rPr>
          <w:rFonts w:cstheme="minorHAnsi"/>
          <w:sz w:val="24"/>
          <w:szCs w:val="24"/>
          <w:lang w:val="en-US"/>
        </w:rPr>
        <w:t>HF (17.</w:t>
      </w:r>
      <w:r>
        <w:rPr>
          <w:rFonts w:cstheme="minorHAnsi"/>
          <w:sz w:val="24"/>
          <w:szCs w:val="24"/>
          <w:lang w:val="en-US"/>
        </w:rPr>
        <w:t>34</w:t>
      </w:r>
      <w:r w:rsidRPr="009316B4">
        <w:rPr>
          <w:rFonts w:cstheme="minorHAnsi"/>
          <w:sz w:val="24"/>
          <w:szCs w:val="24"/>
          <w:lang w:val="en-US"/>
        </w:rPr>
        <w:t>±0.</w:t>
      </w:r>
      <w:r>
        <w:rPr>
          <w:rFonts w:cstheme="minorHAnsi"/>
          <w:sz w:val="24"/>
          <w:szCs w:val="24"/>
          <w:lang w:val="en-US"/>
        </w:rPr>
        <w:t>93</w:t>
      </w:r>
      <w:r w:rsidRPr="009316B4">
        <w:rPr>
          <w:rFonts w:cstheme="minorHAnsi"/>
          <w:sz w:val="24"/>
          <w:szCs w:val="24"/>
          <w:lang w:val="en-US"/>
        </w:rPr>
        <w:t xml:space="preserve"> vs. 18.</w:t>
      </w:r>
      <w:r>
        <w:rPr>
          <w:rFonts w:cstheme="minorHAnsi"/>
          <w:sz w:val="24"/>
          <w:szCs w:val="24"/>
          <w:lang w:val="en-US"/>
        </w:rPr>
        <w:t>96±</w:t>
      </w:r>
      <w:r w:rsidRPr="009316B4">
        <w:rPr>
          <w:rFonts w:cstheme="minorHAnsi"/>
          <w:sz w:val="24"/>
          <w:szCs w:val="24"/>
          <w:lang w:val="en-US"/>
        </w:rPr>
        <w:t>1.</w:t>
      </w:r>
      <w:r>
        <w:rPr>
          <w:rFonts w:cstheme="minorHAnsi"/>
          <w:sz w:val="24"/>
          <w:szCs w:val="24"/>
          <w:lang w:val="en-US"/>
        </w:rPr>
        <w:t>25; p&lt;0.05).</w:t>
      </w:r>
      <w:r w:rsidR="00C17738">
        <w:rPr>
          <w:rFonts w:cstheme="minorHAnsi"/>
          <w:sz w:val="24"/>
          <w:szCs w:val="24"/>
          <w:lang w:val="en-US"/>
        </w:rPr>
        <w:t xml:space="preserve"> </w:t>
      </w:r>
      <w:r w:rsidR="00C17738">
        <w:rPr>
          <w:rFonts w:cstheme="minorHAnsi"/>
          <w:b/>
          <w:sz w:val="24"/>
          <w:szCs w:val="24"/>
          <w:lang w:val="en-US"/>
        </w:rPr>
        <w:t>S</w:t>
      </w:r>
      <w:r w:rsidR="00C17738" w:rsidRPr="00C17738">
        <w:rPr>
          <w:rFonts w:cstheme="minorHAnsi"/>
          <w:b/>
          <w:sz w:val="24"/>
          <w:szCs w:val="24"/>
          <w:lang w:val="en-US"/>
        </w:rPr>
        <w:t>upplementary table</w:t>
      </w:r>
      <w:r w:rsidR="002C7F1C">
        <w:rPr>
          <w:rFonts w:cstheme="minorHAnsi"/>
          <w:b/>
          <w:sz w:val="24"/>
          <w:szCs w:val="24"/>
          <w:lang w:val="en-US"/>
        </w:rPr>
        <w:t xml:space="preserve"> 1</w:t>
      </w:r>
      <w:r w:rsidR="00C17738">
        <w:rPr>
          <w:rFonts w:cstheme="minorHAnsi"/>
          <w:sz w:val="24"/>
          <w:szCs w:val="24"/>
          <w:lang w:val="en-US"/>
        </w:rPr>
        <w:t>.</w:t>
      </w:r>
    </w:p>
    <w:p w:rsidR="002C7F1C" w:rsidRDefault="002C7F1C" w:rsidP="002C7F1C">
      <w:pPr>
        <w:rPr>
          <w:rFonts w:cstheme="minorHAnsi"/>
          <w:sz w:val="24"/>
          <w:szCs w:val="24"/>
          <w:vertAlign w:val="subscript"/>
          <w:lang w:val="en-US"/>
        </w:rPr>
      </w:pPr>
      <w:r w:rsidRPr="002C7F1C">
        <w:rPr>
          <w:sz w:val="24"/>
          <w:szCs w:val="24"/>
          <w:lang w:val="en-US"/>
        </w:rPr>
        <w:t>Finally, we tested the correlation between sympathetic system parameters (HR, LF/</w:t>
      </w:r>
      <w:proofErr w:type="spellStart"/>
      <w:r w:rsidRPr="002C7F1C">
        <w:rPr>
          <w:sz w:val="24"/>
          <w:szCs w:val="24"/>
          <w:lang w:val="en-US"/>
        </w:rPr>
        <w:t>HFr</w:t>
      </w:r>
      <w:proofErr w:type="spellEnd"/>
      <w:r w:rsidRPr="002C7F1C">
        <w:rPr>
          <w:sz w:val="24"/>
          <w:szCs w:val="24"/>
          <w:lang w:val="en-US"/>
        </w:rPr>
        <w:t xml:space="preserve">, </w:t>
      </w:r>
      <w:r w:rsidRPr="002C7F1C">
        <w:rPr>
          <w:rFonts w:cstheme="minorHAnsi"/>
          <w:sz w:val="24"/>
          <w:szCs w:val="24"/>
          <w:lang w:val="en-US"/>
        </w:rPr>
        <w:t>H/</w:t>
      </w:r>
      <w:proofErr w:type="spellStart"/>
      <w:r w:rsidRPr="002C7F1C">
        <w:rPr>
          <w:rFonts w:cstheme="minorHAnsi"/>
          <w:sz w:val="24"/>
          <w:szCs w:val="24"/>
          <w:lang w:val="en-US"/>
        </w:rPr>
        <w:t>M</w:t>
      </w:r>
      <w:r w:rsidRPr="002C7F1C">
        <w:rPr>
          <w:rFonts w:cstheme="minorHAnsi"/>
          <w:sz w:val="24"/>
          <w:szCs w:val="24"/>
          <w:vertAlign w:val="subscript"/>
          <w:lang w:val="en-US"/>
        </w:rPr>
        <w:t>late</w:t>
      </w:r>
      <w:proofErr w:type="spellEnd"/>
      <w:r w:rsidRPr="002C7F1C">
        <w:rPr>
          <w:rFonts w:cstheme="minorHAnsi"/>
          <w:sz w:val="24"/>
          <w:szCs w:val="24"/>
          <w:vertAlign w:val="subscript"/>
          <w:lang w:val="en-US"/>
        </w:rPr>
        <w:t xml:space="preserve">, </w:t>
      </w:r>
    </w:p>
    <w:p w:rsidR="00082609" w:rsidRPr="00082609" w:rsidRDefault="002C7F1C" w:rsidP="00082609">
      <w:pPr>
        <w:spacing w:line="480" w:lineRule="auto"/>
        <w:rPr>
          <w:sz w:val="24"/>
          <w:szCs w:val="24"/>
          <w:lang w:val="en-US"/>
        </w:rPr>
      </w:pPr>
      <w:r w:rsidRPr="002C7F1C">
        <w:rPr>
          <w:rFonts w:cstheme="minorHAnsi"/>
          <w:sz w:val="24"/>
          <w:szCs w:val="24"/>
          <w:lang w:val="en-US"/>
        </w:rPr>
        <w:t>and WR)</w:t>
      </w:r>
      <w:r>
        <w:rPr>
          <w:rFonts w:cstheme="minorHAnsi"/>
          <w:sz w:val="24"/>
          <w:szCs w:val="24"/>
          <w:lang w:val="en-US"/>
        </w:rPr>
        <w:t xml:space="preserve"> and study variables as </w:t>
      </w:r>
      <w:r w:rsidR="00082609">
        <w:rPr>
          <w:rFonts w:cstheme="minorHAnsi"/>
          <w:sz w:val="24"/>
          <w:szCs w:val="24"/>
          <w:lang w:val="en-US"/>
        </w:rPr>
        <w:t>C reactive protein (</w:t>
      </w:r>
      <w:r>
        <w:rPr>
          <w:rFonts w:cstheme="minorHAnsi"/>
          <w:sz w:val="24"/>
          <w:szCs w:val="24"/>
          <w:lang w:val="en-US"/>
        </w:rPr>
        <w:t>CRP</w:t>
      </w:r>
      <w:r w:rsidR="00082609">
        <w:rPr>
          <w:rFonts w:cstheme="minorHAnsi"/>
          <w:sz w:val="24"/>
          <w:szCs w:val="24"/>
          <w:lang w:val="en-US"/>
        </w:rPr>
        <w:t xml:space="preserve">, marker of </w:t>
      </w:r>
      <w:r>
        <w:rPr>
          <w:rFonts w:cstheme="minorHAnsi"/>
          <w:sz w:val="24"/>
          <w:szCs w:val="24"/>
          <w:lang w:val="en-US"/>
        </w:rPr>
        <w:t xml:space="preserve">inflammation) </w:t>
      </w:r>
      <w:proofErr w:type="spellStart"/>
      <w:r>
        <w:rPr>
          <w:rFonts w:cstheme="minorHAnsi"/>
          <w:sz w:val="24"/>
          <w:szCs w:val="24"/>
          <w:lang w:val="en-US"/>
        </w:rPr>
        <w:t>glycemia</w:t>
      </w:r>
      <w:proofErr w:type="spellEnd"/>
      <w:r>
        <w:rPr>
          <w:rFonts w:cstheme="minorHAnsi"/>
          <w:sz w:val="24"/>
          <w:szCs w:val="24"/>
          <w:lang w:val="en-US"/>
        </w:rPr>
        <w:t xml:space="preserve"> (glucose </w:t>
      </w:r>
      <w:r w:rsidR="00082609">
        <w:rPr>
          <w:rFonts w:cstheme="minorHAnsi"/>
          <w:sz w:val="24"/>
          <w:szCs w:val="24"/>
          <w:lang w:val="en-US"/>
        </w:rPr>
        <w:t>homeostasis</w:t>
      </w:r>
      <w:r>
        <w:rPr>
          <w:rFonts w:cstheme="minorHAnsi"/>
          <w:sz w:val="24"/>
          <w:szCs w:val="24"/>
          <w:lang w:val="en-US"/>
        </w:rPr>
        <w:t xml:space="preserve">), </w:t>
      </w:r>
      <w:r w:rsidR="00082609">
        <w:rPr>
          <w:rFonts w:cstheme="minorHAnsi"/>
          <w:sz w:val="24"/>
          <w:szCs w:val="24"/>
          <w:lang w:val="en-US"/>
        </w:rPr>
        <w:t xml:space="preserve">the </w:t>
      </w:r>
      <w:r>
        <w:rPr>
          <w:rFonts w:cstheme="minorHAnsi"/>
          <w:sz w:val="24"/>
          <w:szCs w:val="24"/>
          <w:lang w:val="en-US"/>
        </w:rPr>
        <w:t xml:space="preserve">left ventricle ejection fraction (LVEF, index of cardiac pump), </w:t>
      </w:r>
      <w:r w:rsidR="00082609">
        <w:rPr>
          <w:rFonts w:cstheme="minorHAnsi"/>
          <w:sz w:val="24"/>
          <w:szCs w:val="24"/>
          <w:lang w:val="en-US"/>
        </w:rPr>
        <w:t xml:space="preserve">the </w:t>
      </w:r>
      <w:r>
        <w:rPr>
          <w:rFonts w:cstheme="minorHAnsi"/>
          <w:sz w:val="24"/>
          <w:szCs w:val="24"/>
          <w:lang w:val="en-US"/>
        </w:rPr>
        <w:t xml:space="preserve">noradrenaline </w:t>
      </w:r>
      <w:r w:rsidR="00082609">
        <w:rPr>
          <w:rFonts w:cstheme="minorHAnsi"/>
          <w:sz w:val="24"/>
          <w:szCs w:val="24"/>
          <w:lang w:val="en-US"/>
        </w:rPr>
        <w:t xml:space="preserve">blood values </w:t>
      </w:r>
      <w:r>
        <w:rPr>
          <w:rFonts w:cstheme="minorHAnsi"/>
          <w:sz w:val="24"/>
          <w:szCs w:val="24"/>
          <w:lang w:val="en-US"/>
        </w:rPr>
        <w:t>(</w:t>
      </w:r>
      <w:r w:rsidR="00082609">
        <w:rPr>
          <w:rFonts w:cstheme="minorHAnsi"/>
          <w:sz w:val="24"/>
          <w:szCs w:val="24"/>
          <w:lang w:val="en-US"/>
        </w:rPr>
        <w:t xml:space="preserve">marker of </w:t>
      </w:r>
      <w:r>
        <w:rPr>
          <w:rFonts w:cstheme="minorHAnsi"/>
          <w:sz w:val="24"/>
          <w:szCs w:val="24"/>
          <w:lang w:val="en-US"/>
        </w:rPr>
        <w:t xml:space="preserve">sympathetic system overdrive), and </w:t>
      </w:r>
      <w:r w:rsidR="00082609">
        <w:rPr>
          <w:rFonts w:cstheme="minorHAnsi"/>
          <w:sz w:val="24"/>
          <w:szCs w:val="24"/>
          <w:lang w:val="en-US"/>
        </w:rPr>
        <w:t xml:space="preserve">the </w:t>
      </w:r>
      <w:r>
        <w:rPr>
          <w:rFonts w:cstheme="minorHAnsi"/>
          <w:sz w:val="24"/>
          <w:szCs w:val="24"/>
          <w:lang w:val="en-US"/>
        </w:rPr>
        <w:t>systolic blood pressure (</w:t>
      </w:r>
      <w:r w:rsidRPr="00605F3D">
        <w:rPr>
          <w:rFonts w:cstheme="minorHAnsi"/>
          <w:sz w:val="24"/>
          <w:szCs w:val="24"/>
          <w:lang w:val="en-US"/>
        </w:rPr>
        <w:t>hemodynamic index)</w:t>
      </w:r>
      <w:r w:rsidR="00082609" w:rsidRPr="00605F3D">
        <w:rPr>
          <w:rFonts w:cstheme="minorHAnsi"/>
          <w:sz w:val="24"/>
          <w:szCs w:val="24"/>
          <w:lang w:val="en-US"/>
        </w:rPr>
        <w:t xml:space="preserve">. For the </w:t>
      </w:r>
      <w:proofErr w:type="spellStart"/>
      <w:r w:rsidR="00082609" w:rsidRPr="00605F3D">
        <w:rPr>
          <w:rFonts w:cstheme="minorHAnsi"/>
          <w:sz w:val="24"/>
          <w:szCs w:val="24"/>
          <w:lang w:val="en-US"/>
        </w:rPr>
        <w:t>glycemia</w:t>
      </w:r>
      <w:proofErr w:type="spellEnd"/>
      <w:r w:rsidR="00082609" w:rsidRPr="00605F3D">
        <w:rPr>
          <w:rFonts w:cstheme="minorHAnsi"/>
          <w:sz w:val="24"/>
          <w:szCs w:val="24"/>
          <w:lang w:val="en-US"/>
        </w:rPr>
        <w:t xml:space="preserve"> </w:t>
      </w:r>
      <w:r w:rsidRPr="00605F3D">
        <w:rPr>
          <w:sz w:val="24"/>
          <w:szCs w:val="24"/>
          <w:lang w:val="en-US"/>
        </w:rPr>
        <w:t xml:space="preserve">we found a direct correlation </w:t>
      </w:r>
      <w:r w:rsidR="00082609" w:rsidRPr="00605F3D">
        <w:rPr>
          <w:sz w:val="24"/>
          <w:szCs w:val="24"/>
          <w:lang w:val="en-US"/>
        </w:rPr>
        <w:t>with</w:t>
      </w:r>
      <w:r w:rsidRPr="00605F3D">
        <w:rPr>
          <w:sz w:val="24"/>
          <w:szCs w:val="24"/>
          <w:lang w:val="en-US"/>
        </w:rPr>
        <w:t xml:space="preserve"> delta </w:t>
      </w:r>
      <w:r w:rsidR="00082609" w:rsidRPr="00605F3D">
        <w:rPr>
          <w:sz w:val="24"/>
          <w:szCs w:val="24"/>
          <w:lang w:val="en-US"/>
        </w:rPr>
        <w:t xml:space="preserve">values of </w:t>
      </w:r>
      <w:r w:rsidRPr="00605F3D">
        <w:rPr>
          <w:sz w:val="24"/>
          <w:szCs w:val="24"/>
          <w:lang w:val="en-US"/>
        </w:rPr>
        <w:t>HR (R=</w:t>
      </w:r>
      <w:r w:rsidR="00082609" w:rsidRPr="00605F3D">
        <w:rPr>
          <w:sz w:val="24"/>
          <w:szCs w:val="24"/>
          <w:lang w:val="en-US"/>
        </w:rPr>
        <w:t xml:space="preserve"> </w:t>
      </w:r>
      <w:r w:rsidRPr="00605F3D">
        <w:rPr>
          <w:sz w:val="24"/>
          <w:szCs w:val="24"/>
          <w:lang w:val="en-US"/>
        </w:rPr>
        <w:t xml:space="preserve">0.150; p 0.001), </w:t>
      </w:r>
      <w:r w:rsidR="00082609" w:rsidRPr="00605F3D">
        <w:rPr>
          <w:sz w:val="24"/>
          <w:szCs w:val="24"/>
          <w:lang w:val="en-US"/>
        </w:rPr>
        <w:t>and a direct inverse correlation with delta values of LF/</w:t>
      </w:r>
      <w:proofErr w:type="spellStart"/>
      <w:r w:rsidR="00082609" w:rsidRPr="00605F3D">
        <w:rPr>
          <w:sz w:val="24"/>
          <w:szCs w:val="24"/>
          <w:lang w:val="en-US"/>
        </w:rPr>
        <w:t>HFr</w:t>
      </w:r>
      <w:proofErr w:type="spellEnd"/>
      <w:r w:rsidR="00082609" w:rsidRPr="00605F3D">
        <w:rPr>
          <w:sz w:val="24"/>
          <w:szCs w:val="24"/>
          <w:lang w:val="en-US"/>
        </w:rPr>
        <w:t xml:space="preserve"> (R= -0.111; p 0.006) and </w:t>
      </w:r>
      <w:r w:rsidR="00082609" w:rsidRPr="00605F3D">
        <w:rPr>
          <w:rFonts w:cstheme="minorHAnsi"/>
          <w:sz w:val="24"/>
          <w:szCs w:val="24"/>
          <w:lang w:val="en-US"/>
        </w:rPr>
        <w:t>H/</w:t>
      </w:r>
      <w:proofErr w:type="spellStart"/>
      <w:r w:rsidR="00082609" w:rsidRPr="00605F3D">
        <w:rPr>
          <w:rFonts w:cstheme="minorHAnsi"/>
          <w:sz w:val="24"/>
          <w:szCs w:val="24"/>
          <w:lang w:val="en-US"/>
        </w:rPr>
        <w:t>M</w:t>
      </w:r>
      <w:r w:rsidR="00082609" w:rsidRPr="00605F3D">
        <w:rPr>
          <w:rFonts w:cstheme="minorHAnsi"/>
          <w:sz w:val="24"/>
          <w:szCs w:val="24"/>
          <w:vertAlign w:val="subscript"/>
          <w:lang w:val="en-US"/>
        </w:rPr>
        <w:t>late</w:t>
      </w:r>
      <w:proofErr w:type="spellEnd"/>
      <w:r w:rsidR="00082609" w:rsidRPr="00605F3D">
        <w:rPr>
          <w:rFonts w:cstheme="minorHAnsi"/>
          <w:sz w:val="24"/>
          <w:szCs w:val="24"/>
          <w:vertAlign w:val="subscript"/>
          <w:lang w:val="en-US"/>
        </w:rPr>
        <w:t xml:space="preserve"> </w:t>
      </w:r>
      <w:r w:rsidR="00082609" w:rsidRPr="00605F3D">
        <w:rPr>
          <w:sz w:val="24"/>
          <w:szCs w:val="24"/>
          <w:lang w:val="en-US"/>
        </w:rPr>
        <w:t xml:space="preserve">(R= -0.409, p0.001). </w:t>
      </w:r>
      <w:r w:rsidR="00082609" w:rsidRPr="00605F3D">
        <w:rPr>
          <w:rFonts w:cstheme="minorHAnsi"/>
          <w:b/>
          <w:sz w:val="24"/>
          <w:szCs w:val="24"/>
          <w:lang w:val="en-US"/>
        </w:rPr>
        <w:t>Supplementary table 2</w:t>
      </w:r>
      <w:r w:rsidR="00082609" w:rsidRPr="00605F3D">
        <w:rPr>
          <w:rFonts w:cstheme="minorHAnsi"/>
          <w:sz w:val="24"/>
          <w:szCs w:val="24"/>
          <w:lang w:val="en-US"/>
        </w:rPr>
        <w:t xml:space="preserve">. </w:t>
      </w:r>
      <w:r w:rsidR="00082609" w:rsidRPr="00605F3D">
        <w:rPr>
          <w:sz w:val="24"/>
          <w:szCs w:val="24"/>
          <w:lang w:val="en-US"/>
        </w:rPr>
        <w:t>The CRP inversely correlated with delta values of LF/</w:t>
      </w:r>
      <w:proofErr w:type="spellStart"/>
      <w:r w:rsidR="00082609" w:rsidRPr="00605F3D">
        <w:rPr>
          <w:sz w:val="24"/>
          <w:szCs w:val="24"/>
          <w:lang w:val="en-US"/>
        </w:rPr>
        <w:t>HFr</w:t>
      </w:r>
      <w:proofErr w:type="spellEnd"/>
      <w:r w:rsidR="00082609" w:rsidRPr="00605F3D">
        <w:rPr>
          <w:sz w:val="24"/>
          <w:szCs w:val="24"/>
          <w:lang w:val="en-US"/>
        </w:rPr>
        <w:t xml:space="preserve"> (R=--0.119; p 0.004), H/</w:t>
      </w:r>
      <w:proofErr w:type="spellStart"/>
      <w:r w:rsidR="00082609" w:rsidRPr="00605F3D">
        <w:rPr>
          <w:sz w:val="24"/>
          <w:szCs w:val="24"/>
          <w:lang w:val="en-US"/>
        </w:rPr>
        <w:t>Mlate</w:t>
      </w:r>
      <w:proofErr w:type="spellEnd"/>
      <w:r w:rsidR="00082609" w:rsidRPr="00605F3D">
        <w:rPr>
          <w:sz w:val="24"/>
          <w:szCs w:val="24"/>
          <w:lang w:val="en-US"/>
        </w:rPr>
        <w:t xml:space="preserve"> (R= -0.129, p 0.001). </w:t>
      </w:r>
      <w:r w:rsidR="00082609" w:rsidRPr="00605F3D">
        <w:rPr>
          <w:rFonts w:cstheme="minorHAnsi"/>
          <w:b/>
          <w:sz w:val="24"/>
          <w:szCs w:val="24"/>
          <w:lang w:val="en-US"/>
        </w:rPr>
        <w:t>Supplementary table 2</w:t>
      </w:r>
      <w:r w:rsidR="00082609" w:rsidRPr="00605F3D">
        <w:rPr>
          <w:rFonts w:cstheme="minorHAnsi"/>
          <w:sz w:val="24"/>
          <w:szCs w:val="24"/>
          <w:lang w:val="en-US"/>
        </w:rPr>
        <w:t xml:space="preserve">. Finally, the noradrenaline blood values directly correlated with the delta values of HR (R= 0.948; p 0.003), and inversely with </w:t>
      </w:r>
      <w:r w:rsidR="00082609" w:rsidRPr="00605F3D">
        <w:rPr>
          <w:sz w:val="24"/>
          <w:szCs w:val="24"/>
          <w:lang w:val="en-US"/>
        </w:rPr>
        <w:t>delta values of LF/</w:t>
      </w:r>
      <w:proofErr w:type="spellStart"/>
      <w:r w:rsidR="00082609" w:rsidRPr="00605F3D">
        <w:rPr>
          <w:sz w:val="24"/>
          <w:szCs w:val="24"/>
          <w:lang w:val="en-US"/>
        </w:rPr>
        <w:t>HFr</w:t>
      </w:r>
      <w:proofErr w:type="spellEnd"/>
      <w:r w:rsidR="00082609" w:rsidRPr="00605F3D">
        <w:rPr>
          <w:sz w:val="24"/>
          <w:szCs w:val="24"/>
          <w:lang w:val="en-US"/>
        </w:rPr>
        <w:t xml:space="preserve"> (R= -0.105; p 0.009) and </w:t>
      </w:r>
      <w:r w:rsidR="00082609" w:rsidRPr="00605F3D">
        <w:rPr>
          <w:rFonts w:cstheme="minorHAnsi"/>
          <w:sz w:val="24"/>
          <w:szCs w:val="24"/>
          <w:lang w:val="en-US"/>
        </w:rPr>
        <w:t>H/</w:t>
      </w:r>
      <w:proofErr w:type="spellStart"/>
      <w:r w:rsidR="00082609" w:rsidRPr="00605F3D">
        <w:rPr>
          <w:rFonts w:cstheme="minorHAnsi"/>
          <w:sz w:val="24"/>
          <w:szCs w:val="24"/>
          <w:lang w:val="en-US"/>
        </w:rPr>
        <w:t>M</w:t>
      </w:r>
      <w:r w:rsidR="00082609" w:rsidRPr="00605F3D">
        <w:rPr>
          <w:rFonts w:cstheme="minorHAnsi"/>
          <w:sz w:val="24"/>
          <w:szCs w:val="24"/>
          <w:vertAlign w:val="subscript"/>
          <w:lang w:val="en-US"/>
        </w:rPr>
        <w:t>late</w:t>
      </w:r>
      <w:proofErr w:type="spellEnd"/>
      <w:r w:rsidR="00082609" w:rsidRPr="00605F3D">
        <w:rPr>
          <w:rFonts w:cstheme="minorHAnsi"/>
          <w:sz w:val="24"/>
          <w:szCs w:val="24"/>
          <w:vertAlign w:val="subscript"/>
          <w:lang w:val="en-US"/>
        </w:rPr>
        <w:t xml:space="preserve"> </w:t>
      </w:r>
      <w:r w:rsidR="00082609" w:rsidRPr="00605F3D">
        <w:rPr>
          <w:sz w:val="24"/>
          <w:szCs w:val="24"/>
          <w:lang w:val="en-US"/>
        </w:rPr>
        <w:t xml:space="preserve">(R= -0.185, p0.001). </w:t>
      </w:r>
      <w:r w:rsidR="00082609" w:rsidRPr="00605F3D">
        <w:rPr>
          <w:rFonts w:cstheme="minorHAnsi"/>
          <w:b/>
          <w:sz w:val="24"/>
          <w:szCs w:val="24"/>
          <w:lang w:val="en-US"/>
        </w:rPr>
        <w:t>Supplementary table 2</w:t>
      </w:r>
      <w:r w:rsidR="00082609" w:rsidRPr="00605F3D">
        <w:rPr>
          <w:rFonts w:cstheme="minorHAnsi"/>
          <w:sz w:val="24"/>
          <w:szCs w:val="24"/>
          <w:lang w:val="en-US"/>
        </w:rPr>
        <w:t>.</w:t>
      </w:r>
    </w:p>
    <w:p w:rsidR="00C17738" w:rsidRPr="00AE433E" w:rsidRDefault="008A17EC">
      <w:pPr>
        <w:rPr>
          <w:b/>
          <w:sz w:val="24"/>
          <w:szCs w:val="24"/>
          <w:lang w:val="en-US"/>
        </w:rPr>
      </w:pPr>
      <w:r w:rsidRPr="00AE433E">
        <w:rPr>
          <w:b/>
          <w:sz w:val="24"/>
          <w:szCs w:val="24"/>
          <w:lang w:val="en-US"/>
        </w:rPr>
        <w:lastRenderedPageBreak/>
        <w:t>Discussion</w:t>
      </w:r>
    </w:p>
    <w:p w:rsidR="00082609" w:rsidRPr="00487155" w:rsidRDefault="00BD609D" w:rsidP="000019D4">
      <w:pPr>
        <w:spacing w:line="480" w:lineRule="auto"/>
        <w:rPr>
          <w:rFonts w:cstheme="minorHAnsi"/>
          <w:sz w:val="24"/>
          <w:szCs w:val="24"/>
          <w:vertAlign w:val="subscript"/>
          <w:lang w:val="en-US"/>
        </w:rPr>
      </w:pPr>
      <w:r>
        <w:rPr>
          <w:sz w:val="24"/>
          <w:szCs w:val="24"/>
          <w:lang w:val="en-US"/>
        </w:rPr>
        <w:t>In our study, t</w:t>
      </w:r>
      <w:r w:rsidR="00CD28D3">
        <w:rPr>
          <w:sz w:val="24"/>
          <w:szCs w:val="24"/>
          <w:lang w:val="en-US"/>
        </w:rPr>
        <w:t>he SGLT2-I users vs. Non-SGLT2-I users with VVS recurrence</w:t>
      </w:r>
      <w:r>
        <w:rPr>
          <w:sz w:val="24"/>
          <w:szCs w:val="24"/>
          <w:lang w:val="en-US"/>
        </w:rPr>
        <w:t xml:space="preserve"> </w:t>
      </w:r>
      <w:r w:rsidR="00487155">
        <w:rPr>
          <w:sz w:val="24"/>
          <w:szCs w:val="24"/>
          <w:lang w:val="en-US"/>
        </w:rPr>
        <w:t xml:space="preserve">exhibited </w:t>
      </w:r>
      <w:r w:rsidR="00CD28D3">
        <w:rPr>
          <w:sz w:val="24"/>
          <w:szCs w:val="24"/>
          <w:lang w:val="en-US"/>
        </w:rPr>
        <w:t>a significant difference regards the</w:t>
      </w:r>
      <w:r w:rsidR="000019D4">
        <w:rPr>
          <w:sz w:val="24"/>
          <w:szCs w:val="24"/>
          <w:lang w:val="en-US"/>
        </w:rPr>
        <w:t xml:space="preserve"> </w:t>
      </w:r>
      <w:proofErr w:type="spellStart"/>
      <w:r w:rsidR="000019D4">
        <w:rPr>
          <w:sz w:val="24"/>
          <w:szCs w:val="24"/>
          <w:lang w:val="en-US"/>
        </w:rPr>
        <w:t>vaso</w:t>
      </w:r>
      <w:proofErr w:type="spellEnd"/>
      <w:r w:rsidR="000019D4">
        <w:rPr>
          <w:sz w:val="24"/>
          <w:szCs w:val="24"/>
          <w:lang w:val="en-US"/>
        </w:rPr>
        <w:t>-vagal</w:t>
      </w:r>
      <w:r w:rsidR="00A85F45">
        <w:rPr>
          <w:sz w:val="24"/>
          <w:szCs w:val="24"/>
          <w:lang w:val="en-US"/>
        </w:rPr>
        <w:t xml:space="preserve"> tone</w:t>
      </w:r>
      <w:r w:rsidR="00CD28D3">
        <w:rPr>
          <w:sz w:val="24"/>
          <w:szCs w:val="24"/>
          <w:lang w:val="en-US"/>
        </w:rPr>
        <w:t>,</w:t>
      </w:r>
      <w:r w:rsidR="000019D4">
        <w:rPr>
          <w:sz w:val="24"/>
          <w:szCs w:val="24"/>
          <w:lang w:val="en-US"/>
        </w:rPr>
        <w:t xml:space="preserve"> </w:t>
      </w:r>
      <w:r w:rsidR="00A85F45">
        <w:rPr>
          <w:sz w:val="24"/>
          <w:szCs w:val="24"/>
          <w:lang w:val="en-US"/>
        </w:rPr>
        <w:t xml:space="preserve">the </w:t>
      </w:r>
      <w:r w:rsidR="000019D4">
        <w:rPr>
          <w:sz w:val="24"/>
          <w:szCs w:val="24"/>
          <w:lang w:val="en-US"/>
        </w:rPr>
        <w:t>sympathetic axis</w:t>
      </w:r>
      <w:r w:rsidR="00487155">
        <w:rPr>
          <w:sz w:val="24"/>
          <w:szCs w:val="24"/>
          <w:lang w:val="en-US"/>
        </w:rPr>
        <w:t>,</w:t>
      </w:r>
      <w:r w:rsidR="000019D4">
        <w:rPr>
          <w:sz w:val="24"/>
          <w:szCs w:val="24"/>
          <w:lang w:val="en-US"/>
        </w:rPr>
        <w:t xml:space="preserve"> </w:t>
      </w:r>
      <w:r w:rsidR="00CD28D3">
        <w:rPr>
          <w:sz w:val="24"/>
          <w:szCs w:val="24"/>
          <w:lang w:val="en-US"/>
        </w:rPr>
        <w:t xml:space="preserve">and </w:t>
      </w:r>
      <w:r w:rsidR="00487155">
        <w:rPr>
          <w:sz w:val="24"/>
          <w:szCs w:val="24"/>
          <w:lang w:val="en-US"/>
        </w:rPr>
        <w:t xml:space="preserve">the parameters of </w:t>
      </w:r>
      <w:r w:rsidR="00CD28D3">
        <w:rPr>
          <w:sz w:val="24"/>
          <w:szCs w:val="24"/>
          <w:lang w:val="en-US"/>
        </w:rPr>
        <w:t>autonomic function</w:t>
      </w:r>
      <w:r w:rsidR="008A17EC">
        <w:rPr>
          <w:sz w:val="24"/>
          <w:szCs w:val="24"/>
          <w:lang w:val="en-US"/>
        </w:rPr>
        <w:t xml:space="preserve">. </w:t>
      </w:r>
      <w:r w:rsidR="00476B34">
        <w:rPr>
          <w:sz w:val="24"/>
          <w:szCs w:val="24"/>
          <w:lang w:val="en-US"/>
        </w:rPr>
        <w:t>Specifically</w:t>
      </w:r>
      <w:r w:rsidR="008A17EC">
        <w:rPr>
          <w:sz w:val="24"/>
          <w:szCs w:val="24"/>
          <w:lang w:val="en-US"/>
        </w:rPr>
        <w:t>,</w:t>
      </w:r>
      <w:r>
        <w:rPr>
          <w:sz w:val="24"/>
          <w:szCs w:val="24"/>
          <w:lang w:val="en-US"/>
        </w:rPr>
        <w:t xml:space="preserve"> i</w:t>
      </w:r>
      <w:r w:rsidR="00476B34">
        <w:rPr>
          <w:sz w:val="24"/>
          <w:szCs w:val="24"/>
          <w:lang w:val="en-US"/>
        </w:rPr>
        <w:t>n these cohorts we</w:t>
      </w:r>
      <w:r w:rsidR="008A17EC">
        <w:rPr>
          <w:sz w:val="24"/>
          <w:szCs w:val="24"/>
          <w:lang w:val="en-US"/>
        </w:rPr>
        <w:t xml:space="preserve"> </w:t>
      </w:r>
      <w:r w:rsidR="00476B34">
        <w:rPr>
          <w:sz w:val="24"/>
          <w:szCs w:val="24"/>
          <w:lang w:val="en-US"/>
        </w:rPr>
        <w:t xml:space="preserve">evaluated </w:t>
      </w:r>
      <w:r w:rsidR="008A17EC">
        <w:rPr>
          <w:sz w:val="24"/>
          <w:szCs w:val="24"/>
          <w:lang w:val="en-US"/>
        </w:rPr>
        <w:t xml:space="preserve">the autonomic dysfunction by the </w:t>
      </w:r>
      <w:r w:rsidR="00476B34">
        <w:rPr>
          <w:sz w:val="24"/>
          <w:szCs w:val="24"/>
          <w:lang w:val="en-US"/>
        </w:rPr>
        <w:t>HR</w:t>
      </w:r>
      <w:r w:rsidR="008A17EC" w:rsidRPr="009F7A69">
        <w:rPr>
          <w:sz w:val="24"/>
          <w:szCs w:val="24"/>
          <w:lang w:val="en-US"/>
        </w:rPr>
        <w:t xml:space="preserve">, </w:t>
      </w:r>
      <w:r w:rsidR="008A17EC">
        <w:rPr>
          <w:sz w:val="24"/>
          <w:szCs w:val="24"/>
          <w:lang w:val="en-US"/>
        </w:rPr>
        <w:t xml:space="preserve">the </w:t>
      </w:r>
      <w:r w:rsidR="008A17EC" w:rsidRPr="009F7A69">
        <w:rPr>
          <w:sz w:val="24"/>
          <w:szCs w:val="24"/>
          <w:lang w:val="en-US"/>
        </w:rPr>
        <w:t xml:space="preserve">ECG </w:t>
      </w:r>
      <w:proofErr w:type="spellStart"/>
      <w:r w:rsidR="008A17EC" w:rsidRPr="009F7A69">
        <w:rPr>
          <w:sz w:val="24"/>
          <w:szCs w:val="24"/>
          <w:lang w:val="en-US"/>
        </w:rPr>
        <w:t>Holter</w:t>
      </w:r>
      <w:proofErr w:type="spellEnd"/>
      <w:r w:rsidR="008A17EC" w:rsidRPr="009F7A69">
        <w:rPr>
          <w:sz w:val="24"/>
          <w:szCs w:val="24"/>
          <w:lang w:val="en-US"/>
        </w:rPr>
        <w:t xml:space="preserve"> parameters</w:t>
      </w:r>
      <w:r w:rsidR="008A17EC">
        <w:rPr>
          <w:sz w:val="24"/>
          <w:szCs w:val="24"/>
          <w:lang w:val="en-US"/>
        </w:rPr>
        <w:t xml:space="preserve"> </w:t>
      </w:r>
      <w:r w:rsidR="00487155">
        <w:rPr>
          <w:sz w:val="24"/>
          <w:szCs w:val="24"/>
          <w:lang w:val="en-US"/>
        </w:rPr>
        <w:t xml:space="preserve">of vasovagal tone </w:t>
      </w:r>
      <w:r w:rsidR="008A17EC">
        <w:rPr>
          <w:sz w:val="24"/>
          <w:szCs w:val="24"/>
          <w:lang w:val="en-US"/>
        </w:rPr>
        <w:t>(</w:t>
      </w:r>
      <w:r w:rsidR="008A17EC" w:rsidRPr="009F7A69">
        <w:rPr>
          <w:sz w:val="24"/>
          <w:szCs w:val="24"/>
          <w:lang w:val="en-US"/>
        </w:rPr>
        <w:t xml:space="preserve">LF, HF, </w:t>
      </w:r>
      <w:r w:rsidR="008A17EC">
        <w:rPr>
          <w:sz w:val="24"/>
          <w:szCs w:val="24"/>
          <w:lang w:val="en-US"/>
        </w:rPr>
        <w:t xml:space="preserve">and the </w:t>
      </w:r>
      <w:r w:rsidR="008A17EC" w:rsidRPr="009F7A69">
        <w:rPr>
          <w:sz w:val="24"/>
          <w:szCs w:val="24"/>
          <w:lang w:val="en-US"/>
        </w:rPr>
        <w:t>LF/HF ratio</w:t>
      </w:r>
      <w:r w:rsidR="008A17EC">
        <w:rPr>
          <w:sz w:val="24"/>
          <w:szCs w:val="24"/>
          <w:lang w:val="en-US"/>
        </w:rPr>
        <w:t xml:space="preserve">), and </w:t>
      </w:r>
      <w:r w:rsidR="00476B34">
        <w:rPr>
          <w:sz w:val="24"/>
          <w:szCs w:val="24"/>
          <w:lang w:val="en-US"/>
        </w:rPr>
        <w:t xml:space="preserve">the </w:t>
      </w:r>
      <w:r w:rsidR="00476B34" w:rsidRPr="00C35EF1">
        <w:rPr>
          <w:rFonts w:cstheme="minorHAnsi"/>
          <w:sz w:val="24"/>
          <w:szCs w:val="24"/>
          <w:lang w:val="en-US"/>
        </w:rPr>
        <w:t>123I-</w:t>
      </w:r>
      <w:r w:rsidR="00007269">
        <w:rPr>
          <w:rFonts w:cstheme="minorHAnsi"/>
          <w:sz w:val="24"/>
          <w:szCs w:val="24"/>
          <w:lang w:val="en-US"/>
        </w:rPr>
        <w:t>MIBG</w:t>
      </w:r>
      <w:r w:rsidR="00476B34">
        <w:rPr>
          <w:rFonts w:cstheme="minorHAnsi"/>
          <w:sz w:val="24"/>
          <w:szCs w:val="24"/>
          <w:lang w:val="en-US"/>
        </w:rPr>
        <w:t xml:space="preserve"> indexes</w:t>
      </w:r>
      <w:r w:rsidR="00476B34">
        <w:rPr>
          <w:sz w:val="24"/>
          <w:szCs w:val="24"/>
          <w:lang w:val="en-US"/>
        </w:rPr>
        <w:t xml:space="preserve"> </w:t>
      </w:r>
      <w:r w:rsidR="00487155">
        <w:rPr>
          <w:sz w:val="24"/>
          <w:szCs w:val="24"/>
          <w:lang w:val="en-US"/>
        </w:rPr>
        <w:t xml:space="preserve">of cardiac sympathetic function and innervation </w:t>
      </w:r>
      <w:r w:rsidR="00476B34">
        <w:rPr>
          <w:sz w:val="24"/>
          <w:szCs w:val="24"/>
          <w:lang w:val="en-US"/>
        </w:rPr>
        <w:t>(</w:t>
      </w:r>
      <w:r w:rsidR="008A17EC" w:rsidRPr="009F7A69">
        <w:rPr>
          <w:sz w:val="24"/>
          <w:szCs w:val="24"/>
          <w:lang w:val="en-US"/>
        </w:rPr>
        <w:t>Heart to Mediastinum ratio</w:t>
      </w:r>
      <w:r w:rsidR="008A17EC">
        <w:rPr>
          <w:sz w:val="24"/>
          <w:szCs w:val="24"/>
          <w:lang w:val="en-US"/>
        </w:rPr>
        <w:t xml:space="preserve">, and the Washout rate). </w:t>
      </w:r>
      <w:r w:rsidR="00476B34">
        <w:rPr>
          <w:sz w:val="24"/>
          <w:szCs w:val="24"/>
          <w:lang w:val="en-US"/>
        </w:rPr>
        <w:t>Notably, i</w:t>
      </w:r>
      <w:r w:rsidR="008A17EC">
        <w:rPr>
          <w:sz w:val="24"/>
          <w:szCs w:val="24"/>
          <w:lang w:val="en-US"/>
        </w:rPr>
        <w:t xml:space="preserve">n the </w:t>
      </w:r>
      <w:r w:rsidR="007B512D">
        <w:rPr>
          <w:sz w:val="24"/>
          <w:szCs w:val="24"/>
          <w:lang w:val="en-US"/>
        </w:rPr>
        <w:t xml:space="preserve">SGLT2-I users </w:t>
      </w:r>
      <w:r w:rsidR="007B512D" w:rsidRPr="009F7A69">
        <w:rPr>
          <w:sz w:val="24"/>
          <w:szCs w:val="24"/>
          <w:lang w:val="en-US"/>
        </w:rPr>
        <w:t xml:space="preserve">vs. </w:t>
      </w:r>
      <w:r w:rsidR="007B512D">
        <w:rPr>
          <w:sz w:val="24"/>
          <w:szCs w:val="24"/>
          <w:lang w:val="en-US"/>
        </w:rPr>
        <w:t xml:space="preserve">non-SLGT2-I users’ </w:t>
      </w:r>
      <w:r w:rsidR="00BC78B5">
        <w:rPr>
          <w:sz w:val="24"/>
          <w:szCs w:val="24"/>
          <w:lang w:val="en-US"/>
        </w:rPr>
        <w:t>patients with</w:t>
      </w:r>
      <w:r w:rsidR="008A17EC">
        <w:rPr>
          <w:sz w:val="24"/>
          <w:szCs w:val="24"/>
          <w:lang w:val="en-US"/>
        </w:rPr>
        <w:t xml:space="preserve"> all causes of VVS </w:t>
      </w:r>
      <w:r w:rsidR="008F320A">
        <w:rPr>
          <w:sz w:val="24"/>
          <w:szCs w:val="24"/>
          <w:lang w:val="en-US"/>
        </w:rPr>
        <w:t>recurrence</w:t>
      </w:r>
      <w:r w:rsidR="007B512D">
        <w:rPr>
          <w:sz w:val="24"/>
          <w:szCs w:val="24"/>
          <w:lang w:val="en-US"/>
        </w:rPr>
        <w:t xml:space="preserve"> </w:t>
      </w:r>
      <w:r w:rsidR="008A17EC">
        <w:rPr>
          <w:sz w:val="24"/>
          <w:szCs w:val="24"/>
          <w:lang w:val="en-US"/>
        </w:rPr>
        <w:t>we found a significant difference</w:t>
      </w:r>
      <w:r w:rsidR="00BC78B5">
        <w:rPr>
          <w:sz w:val="24"/>
          <w:szCs w:val="24"/>
          <w:lang w:val="en-US"/>
        </w:rPr>
        <w:t>,</w:t>
      </w:r>
      <w:r w:rsidR="008A17EC">
        <w:rPr>
          <w:sz w:val="24"/>
          <w:szCs w:val="24"/>
          <w:lang w:val="en-US"/>
        </w:rPr>
        <w:t xml:space="preserve"> at baseline and at follow-up end</w:t>
      </w:r>
      <w:r w:rsidR="00BC78B5">
        <w:rPr>
          <w:sz w:val="24"/>
          <w:szCs w:val="24"/>
          <w:lang w:val="en-US"/>
        </w:rPr>
        <w:t>, about</w:t>
      </w:r>
      <w:r w:rsidR="008A17EC">
        <w:rPr>
          <w:sz w:val="24"/>
          <w:szCs w:val="24"/>
          <w:lang w:val="en-US"/>
        </w:rPr>
        <w:t xml:space="preserve"> all investigated parameters of </w:t>
      </w:r>
      <w:r w:rsidR="002A3C8A">
        <w:rPr>
          <w:sz w:val="24"/>
          <w:szCs w:val="24"/>
          <w:lang w:val="en-US"/>
        </w:rPr>
        <w:t>cardiac autonomic dysfunction (</w:t>
      </w:r>
      <w:r w:rsidR="008A17EC">
        <w:rPr>
          <w:sz w:val="24"/>
          <w:szCs w:val="24"/>
          <w:lang w:val="en-US"/>
        </w:rPr>
        <w:t>CAN</w:t>
      </w:r>
      <w:r w:rsidR="002A3C8A">
        <w:rPr>
          <w:sz w:val="24"/>
          <w:szCs w:val="24"/>
          <w:lang w:val="en-US"/>
        </w:rPr>
        <w:t>)</w:t>
      </w:r>
      <w:r w:rsidR="008A17EC">
        <w:rPr>
          <w:sz w:val="24"/>
          <w:szCs w:val="24"/>
          <w:lang w:val="en-US"/>
        </w:rPr>
        <w:t>.  The same trend was</w:t>
      </w:r>
      <w:r w:rsidR="00487155">
        <w:rPr>
          <w:sz w:val="24"/>
          <w:szCs w:val="24"/>
          <w:lang w:val="en-US"/>
        </w:rPr>
        <w:t xml:space="preserve"> specifically</w:t>
      </w:r>
      <w:r w:rsidR="008A17EC">
        <w:rPr>
          <w:sz w:val="24"/>
          <w:szCs w:val="24"/>
          <w:lang w:val="en-US"/>
        </w:rPr>
        <w:t xml:space="preserve"> observed for the </w:t>
      </w:r>
      <w:r w:rsidR="00AE433E">
        <w:rPr>
          <w:rFonts w:cstheme="minorHAnsi"/>
          <w:sz w:val="24"/>
          <w:szCs w:val="24"/>
          <w:lang w:val="en-US"/>
        </w:rPr>
        <w:t>mixed, cardio-inhibitory, and vasodepressor syncope</w:t>
      </w:r>
      <w:r w:rsidR="00BC78B5">
        <w:rPr>
          <w:rFonts w:cstheme="minorHAnsi"/>
          <w:sz w:val="24"/>
          <w:szCs w:val="24"/>
          <w:lang w:val="en-US"/>
        </w:rPr>
        <w:t xml:space="preserve">. </w:t>
      </w:r>
      <w:r w:rsidR="00196FF5">
        <w:rPr>
          <w:rFonts w:cstheme="minorHAnsi"/>
          <w:sz w:val="24"/>
          <w:szCs w:val="24"/>
          <w:lang w:val="en-US"/>
        </w:rPr>
        <w:t xml:space="preserve">We did not find </w:t>
      </w:r>
      <w:r w:rsidR="008A17EC">
        <w:rPr>
          <w:rFonts w:cstheme="minorHAnsi"/>
          <w:sz w:val="24"/>
          <w:szCs w:val="24"/>
          <w:lang w:val="en-US"/>
        </w:rPr>
        <w:t>a significant difference regards the</w:t>
      </w:r>
      <w:r w:rsidR="00AE54CE">
        <w:rPr>
          <w:rFonts w:cstheme="minorHAnsi"/>
          <w:sz w:val="24"/>
          <w:szCs w:val="24"/>
          <w:lang w:val="en-US"/>
        </w:rPr>
        <w:t xml:space="preserve"> </w:t>
      </w:r>
      <w:r w:rsidR="00476B34">
        <w:rPr>
          <w:rFonts w:cstheme="minorHAnsi"/>
          <w:sz w:val="24"/>
          <w:szCs w:val="24"/>
          <w:lang w:val="en-US"/>
        </w:rPr>
        <w:t>HR</w:t>
      </w:r>
      <w:r w:rsidR="00AE54CE">
        <w:rPr>
          <w:rFonts w:cstheme="minorHAnsi"/>
          <w:sz w:val="24"/>
          <w:szCs w:val="24"/>
          <w:lang w:val="en-US"/>
        </w:rPr>
        <w:t xml:space="preserve"> at baseline and </w:t>
      </w:r>
      <w:r w:rsidR="00476B34">
        <w:rPr>
          <w:rFonts w:cstheme="minorHAnsi"/>
          <w:sz w:val="24"/>
          <w:szCs w:val="24"/>
          <w:lang w:val="en-US"/>
        </w:rPr>
        <w:t xml:space="preserve">at the follow-up end </w:t>
      </w:r>
      <w:r w:rsidR="00196FF5">
        <w:rPr>
          <w:rFonts w:cstheme="minorHAnsi"/>
          <w:sz w:val="24"/>
          <w:szCs w:val="24"/>
          <w:lang w:val="en-US"/>
        </w:rPr>
        <w:t>in the cohorts with</w:t>
      </w:r>
      <w:r w:rsidR="00AE54CE">
        <w:rPr>
          <w:rFonts w:cstheme="minorHAnsi"/>
          <w:sz w:val="24"/>
          <w:szCs w:val="24"/>
          <w:lang w:val="en-US"/>
        </w:rPr>
        <w:t xml:space="preserve"> cardio</w:t>
      </w:r>
      <w:r w:rsidR="00D548C0">
        <w:rPr>
          <w:rFonts w:cstheme="minorHAnsi"/>
          <w:sz w:val="24"/>
          <w:szCs w:val="24"/>
          <w:lang w:val="en-US"/>
        </w:rPr>
        <w:t>-</w:t>
      </w:r>
      <w:r w:rsidR="00AE54CE">
        <w:rPr>
          <w:rFonts w:cstheme="minorHAnsi"/>
          <w:sz w:val="24"/>
          <w:szCs w:val="24"/>
          <w:lang w:val="en-US"/>
        </w:rPr>
        <w:t>inhibitory VVS</w:t>
      </w:r>
      <w:r w:rsidR="005A181C">
        <w:rPr>
          <w:rFonts w:cstheme="minorHAnsi"/>
          <w:sz w:val="24"/>
          <w:szCs w:val="24"/>
          <w:lang w:val="en-US"/>
        </w:rPr>
        <w:t xml:space="preserve"> recurrence</w:t>
      </w:r>
      <w:r w:rsidR="00AE54CE">
        <w:rPr>
          <w:rFonts w:cstheme="minorHAnsi"/>
          <w:sz w:val="24"/>
          <w:szCs w:val="24"/>
          <w:lang w:val="en-US"/>
        </w:rPr>
        <w:t xml:space="preserve">. </w:t>
      </w:r>
      <w:r w:rsidR="00487155">
        <w:rPr>
          <w:rFonts w:cstheme="minorHAnsi"/>
          <w:sz w:val="24"/>
          <w:szCs w:val="24"/>
          <w:lang w:val="en-US"/>
        </w:rPr>
        <w:t>Notably,</w:t>
      </w:r>
      <w:r w:rsidR="000C7302">
        <w:rPr>
          <w:rFonts w:cstheme="minorHAnsi"/>
          <w:sz w:val="24"/>
          <w:szCs w:val="24"/>
          <w:lang w:val="en-US"/>
        </w:rPr>
        <w:t xml:space="preserve"> </w:t>
      </w:r>
      <w:r w:rsidR="00487155">
        <w:rPr>
          <w:rFonts w:cstheme="minorHAnsi"/>
          <w:sz w:val="24"/>
          <w:szCs w:val="24"/>
          <w:lang w:val="en-US"/>
        </w:rPr>
        <w:t xml:space="preserve">comparing the follow-up end vs. baseline condition parameters </w:t>
      </w:r>
      <w:r w:rsidR="000C7302">
        <w:rPr>
          <w:rFonts w:cstheme="minorHAnsi"/>
          <w:sz w:val="24"/>
          <w:szCs w:val="24"/>
          <w:lang w:val="en-US"/>
        </w:rPr>
        <w:t>in the cohorts of patients with VVS recurrence, we found in the SGLT2-I users</w:t>
      </w:r>
      <w:r w:rsidR="00BC78B5">
        <w:rPr>
          <w:rFonts w:cstheme="minorHAnsi"/>
          <w:sz w:val="24"/>
          <w:szCs w:val="24"/>
          <w:lang w:val="en-US"/>
        </w:rPr>
        <w:t xml:space="preserve"> a significant amelioration of </w:t>
      </w:r>
      <w:r>
        <w:rPr>
          <w:rFonts w:cstheme="minorHAnsi"/>
          <w:sz w:val="24"/>
          <w:szCs w:val="24"/>
          <w:lang w:val="en-US"/>
        </w:rPr>
        <w:t xml:space="preserve">the </w:t>
      </w:r>
      <w:r w:rsidR="00BC78B5">
        <w:rPr>
          <w:rFonts w:cstheme="minorHAnsi"/>
          <w:sz w:val="24"/>
          <w:szCs w:val="24"/>
          <w:lang w:val="en-US"/>
        </w:rPr>
        <w:t xml:space="preserve">HRV parameters, and of </w:t>
      </w:r>
      <w:r w:rsidR="00BC78B5" w:rsidRPr="00C35EF1">
        <w:rPr>
          <w:rFonts w:cstheme="minorHAnsi"/>
          <w:sz w:val="24"/>
          <w:szCs w:val="24"/>
          <w:lang w:val="en-US"/>
        </w:rPr>
        <w:t>123I-</w:t>
      </w:r>
      <w:r w:rsidR="00196FF5">
        <w:rPr>
          <w:rFonts w:cstheme="minorHAnsi"/>
          <w:sz w:val="24"/>
          <w:szCs w:val="24"/>
          <w:lang w:val="en-US"/>
        </w:rPr>
        <w:t>M</w:t>
      </w:r>
      <w:r w:rsidR="00BC78B5" w:rsidRPr="00C35EF1">
        <w:rPr>
          <w:rFonts w:cstheme="minorHAnsi"/>
          <w:sz w:val="24"/>
          <w:szCs w:val="24"/>
          <w:lang w:val="en-US"/>
        </w:rPr>
        <w:t>IBG</w:t>
      </w:r>
      <w:r w:rsidR="00BC78B5">
        <w:rPr>
          <w:rFonts w:cstheme="minorHAnsi"/>
          <w:sz w:val="24"/>
          <w:szCs w:val="24"/>
          <w:lang w:val="en-US"/>
        </w:rPr>
        <w:t xml:space="preserve"> indexes (p&lt;0.05). This was observed for all causes </w:t>
      </w:r>
      <w:r w:rsidR="00487155">
        <w:rPr>
          <w:rFonts w:cstheme="minorHAnsi"/>
          <w:sz w:val="24"/>
          <w:szCs w:val="24"/>
          <w:lang w:val="en-US"/>
        </w:rPr>
        <w:t xml:space="preserve">of </w:t>
      </w:r>
      <w:r w:rsidR="00BC78B5">
        <w:rPr>
          <w:rFonts w:cstheme="minorHAnsi"/>
          <w:sz w:val="24"/>
          <w:szCs w:val="24"/>
          <w:lang w:val="en-US"/>
        </w:rPr>
        <w:t>VVS, mixed VVS, cardio</w:t>
      </w:r>
      <w:r w:rsidR="00196FF5">
        <w:rPr>
          <w:rFonts w:cstheme="minorHAnsi"/>
          <w:sz w:val="24"/>
          <w:szCs w:val="24"/>
          <w:lang w:val="en-US"/>
        </w:rPr>
        <w:t>-</w:t>
      </w:r>
      <w:r w:rsidR="00BC78B5">
        <w:rPr>
          <w:rFonts w:cstheme="minorHAnsi"/>
          <w:sz w:val="24"/>
          <w:szCs w:val="24"/>
          <w:lang w:val="en-US"/>
        </w:rPr>
        <w:t xml:space="preserve">inhibitory VVS, and vasodepressor VVS recurrence (p&lt;0.05). On the contrary, we did </w:t>
      </w:r>
      <w:r w:rsidR="005A181C">
        <w:rPr>
          <w:rFonts w:cstheme="minorHAnsi"/>
          <w:sz w:val="24"/>
          <w:szCs w:val="24"/>
          <w:lang w:val="en-US"/>
        </w:rPr>
        <w:t xml:space="preserve">not </w:t>
      </w:r>
      <w:r w:rsidR="00BC78B5">
        <w:rPr>
          <w:rFonts w:cstheme="minorHAnsi"/>
          <w:sz w:val="24"/>
          <w:szCs w:val="24"/>
          <w:lang w:val="en-US"/>
        </w:rPr>
        <w:t xml:space="preserve">found a significant recover of sympathetic system dysfunction in the Non-SGLT2-I users </w:t>
      </w:r>
      <w:r w:rsidR="00413A6C">
        <w:rPr>
          <w:rFonts w:cstheme="minorHAnsi"/>
          <w:sz w:val="24"/>
          <w:szCs w:val="24"/>
          <w:lang w:val="en-US"/>
        </w:rPr>
        <w:t>regards</w:t>
      </w:r>
      <w:r w:rsidR="00BC78B5">
        <w:rPr>
          <w:rFonts w:cstheme="minorHAnsi"/>
          <w:sz w:val="24"/>
          <w:szCs w:val="24"/>
          <w:lang w:val="en-US"/>
        </w:rPr>
        <w:t xml:space="preserve"> all ca</w:t>
      </w:r>
      <w:r>
        <w:rPr>
          <w:rFonts w:cstheme="minorHAnsi"/>
          <w:sz w:val="24"/>
          <w:szCs w:val="24"/>
          <w:lang w:val="en-US"/>
        </w:rPr>
        <w:t>uses of VVS recurrence (p&gt;0.05)</w:t>
      </w:r>
      <w:r w:rsidR="00BC78B5">
        <w:rPr>
          <w:rFonts w:cstheme="minorHAnsi"/>
          <w:sz w:val="24"/>
          <w:szCs w:val="24"/>
          <w:lang w:val="en-US"/>
        </w:rPr>
        <w:t>.</w:t>
      </w:r>
      <w:r w:rsidR="00BC78B5" w:rsidRPr="00BC78B5">
        <w:rPr>
          <w:rFonts w:cstheme="minorHAnsi"/>
          <w:sz w:val="24"/>
          <w:szCs w:val="24"/>
          <w:lang w:val="en-US"/>
        </w:rPr>
        <w:t xml:space="preserve"> </w:t>
      </w:r>
      <w:r w:rsidR="00BC78B5">
        <w:rPr>
          <w:rFonts w:cstheme="minorHAnsi"/>
          <w:sz w:val="24"/>
          <w:szCs w:val="24"/>
          <w:lang w:val="en-US"/>
        </w:rPr>
        <w:t xml:space="preserve">The same trend was seen for the WR in the mixed VVS, and for both parameters of cardiac denervation in the cohort of Non-SGLT2-I users </w:t>
      </w:r>
      <w:r w:rsidR="00413A6C">
        <w:rPr>
          <w:rFonts w:cstheme="minorHAnsi"/>
          <w:sz w:val="24"/>
          <w:szCs w:val="24"/>
          <w:lang w:val="en-US"/>
        </w:rPr>
        <w:t xml:space="preserve">with vasodepressor VVS </w:t>
      </w:r>
      <w:r w:rsidR="00BC78B5">
        <w:rPr>
          <w:rFonts w:cstheme="minorHAnsi"/>
          <w:sz w:val="24"/>
          <w:szCs w:val="24"/>
          <w:lang w:val="en-US"/>
        </w:rPr>
        <w:t xml:space="preserve">(p&gt;0.05). </w:t>
      </w:r>
      <w:r w:rsidR="001A7495">
        <w:rPr>
          <w:rFonts w:cstheme="minorHAnsi"/>
          <w:sz w:val="24"/>
          <w:szCs w:val="24"/>
          <w:lang w:val="en-US"/>
        </w:rPr>
        <w:t xml:space="preserve">Finally, but not less relevant, </w:t>
      </w:r>
      <w:r w:rsidR="00082609" w:rsidRPr="00082609">
        <w:rPr>
          <w:rFonts w:cstheme="minorHAnsi"/>
          <w:sz w:val="24"/>
          <w:szCs w:val="24"/>
          <w:lang w:val="en-US"/>
        </w:rPr>
        <w:t xml:space="preserve">the </w:t>
      </w:r>
      <w:proofErr w:type="spellStart"/>
      <w:r w:rsidR="00082609" w:rsidRPr="00082609">
        <w:rPr>
          <w:rFonts w:cstheme="minorHAnsi"/>
          <w:sz w:val="24"/>
          <w:szCs w:val="24"/>
          <w:lang w:val="en-US"/>
        </w:rPr>
        <w:t>glycemia</w:t>
      </w:r>
      <w:proofErr w:type="spellEnd"/>
      <w:r w:rsidR="00082609" w:rsidRPr="00082609">
        <w:rPr>
          <w:rFonts w:cstheme="minorHAnsi"/>
          <w:sz w:val="24"/>
          <w:szCs w:val="24"/>
          <w:lang w:val="en-US"/>
        </w:rPr>
        <w:t xml:space="preserve"> </w:t>
      </w:r>
      <w:r w:rsidR="00082609" w:rsidRPr="00082609">
        <w:rPr>
          <w:sz w:val="24"/>
          <w:szCs w:val="24"/>
          <w:lang w:val="en-US"/>
        </w:rPr>
        <w:t>direct</w:t>
      </w:r>
      <w:r w:rsidR="001A7495">
        <w:rPr>
          <w:sz w:val="24"/>
          <w:szCs w:val="24"/>
          <w:lang w:val="en-US"/>
        </w:rPr>
        <w:t>ly</w:t>
      </w:r>
      <w:r w:rsidR="00082609" w:rsidRPr="00082609">
        <w:rPr>
          <w:sz w:val="24"/>
          <w:szCs w:val="24"/>
          <w:lang w:val="en-US"/>
        </w:rPr>
        <w:t xml:space="preserve"> correlat</w:t>
      </w:r>
      <w:r w:rsidR="001A7495">
        <w:rPr>
          <w:sz w:val="24"/>
          <w:szCs w:val="24"/>
          <w:lang w:val="en-US"/>
        </w:rPr>
        <w:t>ed</w:t>
      </w:r>
      <w:r w:rsidR="00082609">
        <w:rPr>
          <w:lang w:val="en-US"/>
        </w:rPr>
        <w:t xml:space="preserve"> </w:t>
      </w:r>
      <w:r w:rsidR="00082609" w:rsidRPr="00082609">
        <w:rPr>
          <w:sz w:val="24"/>
          <w:szCs w:val="24"/>
          <w:lang w:val="en-US"/>
        </w:rPr>
        <w:t>with</w:t>
      </w:r>
      <w:r w:rsidR="001A7495">
        <w:rPr>
          <w:sz w:val="24"/>
          <w:szCs w:val="24"/>
          <w:lang w:val="en-US"/>
        </w:rPr>
        <w:t xml:space="preserve"> the increase of HR</w:t>
      </w:r>
      <w:r w:rsidR="00082609" w:rsidRPr="00082609">
        <w:rPr>
          <w:sz w:val="24"/>
          <w:szCs w:val="24"/>
          <w:lang w:val="en-US"/>
        </w:rPr>
        <w:t>, and inverse</w:t>
      </w:r>
      <w:r w:rsidR="001A7495">
        <w:rPr>
          <w:sz w:val="24"/>
          <w:szCs w:val="24"/>
          <w:lang w:val="en-US"/>
        </w:rPr>
        <w:t>ly</w:t>
      </w:r>
      <w:r w:rsidR="00082609" w:rsidRPr="00082609">
        <w:rPr>
          <w:sz w:val="24"/>
          <w:szCs w:val="24"/>
          <w:lang w:val="en-US"/>
        </w:rPr>
        <w:t xml:space="preserve"> with </w:t>
      </w:r>
      <w:r w:rsidR="001A7495">
        <w:rPr>
          <w:sz w:val="24"/>
          <w:szCs w:val="24"/>
          <w:lang w:val="en-US"/>
        </w:rPr>
        <w:t xml:space="preserve">the </w:t>
      </w:r>
      <w:r w:rsidR="00E53E14">
        <w:rPr>
          <w:sz w:val="24"/>
          <w:szCs w:val="24"/>
          <w:lang w:val="en-US"/>
        </w:rPr>
        <w:t xml:space="preserve">delta values (amelioration) </w:t>
      </w:r>
      <w:r w:rsidR="001A7495">
        <w:rPr>
          <w:sz w:val="24"/>
          <w:szCs w:val="24"/>
          <w:lang w:val="en-US"/>
        </w:rPr>
        <w:t>of</w:t>
      </w:r>
      <w:r w:rsidR="00082609">
        <w:rPr>
          <w:sz w:val="24"/>
          <w:szCs w:val="24"/>
          <w:lang w:val="en-US"/>
        </w:rPr>
        <w:t xml:space="preserve"> </w:t>
      </w:r>
      <w:r w:rsidR="00E53E14">
        <w:rPr>
          <w:sz w:val="24"/>
          <w:szCs w:val="24"/>
          <w:lang w:val="en-US"/>
        </w:rPr>
        <w:t xml:space="preserve">the </w:t>
      </w:r>
      <w:r w:rsidR="00082609" w:rsidRPr="00082609">
        <w:rPr>
          <w:sz w:val="24"/>
          <w:szCs w:val="24"/>
          <w:lang w:val="en-US"/>
        </w:rPr>
        <w:t>LF/</w:t>
      </w:r>
      <w:proofErr w:type="spellStart"/>
      <w:r w:rsidR="00082609" w:rsidRPr="00082609">
        <w:rPr>
          <w:sz w:val="24"/>
          <w:szCs w:val="24"/>
          <w:lang w:val="en-US"/>
        </w:rPr>
        <w:t>HFr</w:t>
      </w:r>
      <w:proofErr w:type="spellEnd"/>
      <w:r w:rsidR="00082609" w:rsidRPr="00082609">
        <w:rPr>
          <w:sz w:val="24"/>
          <w:szCs w:val="24"/>
          <w:lang w:val="en-US"/>
        </w:rPr>
        <w:t xml:space="preserve"> and </w:t>
      </w:r>
      <w:r w:rsidR="00082609" w:rsidRPr="00082609">
        <w:rPr>
          <w:rFonts w:cstheme="minorHAnsi"/>
          <w:sz w:val="24"/>
          <w:szCs w:val="24"/>
          <w:lang w:val="en-US"/>
        </w:rPr>
        <w:t>H/</w:t>
      </w:r>
      <w:proofErr w:type="spellStart"/>
      <w:r w:rsidR="00082609" w:rsidRPr="00082609">
        <w:rPr>
          <w:rFonts w:cstheme="minorHAnsi"/>
          <w:sz w:val="24"/>
          <w:szCs w:val="24"/>
          <w:lang w:val="en-US"/>
        </w:rPr>
        <w:t>M</w:t>
      </w:r>
      <w:r w:rsidR="00082609" w:rsidRPr="00082609">
        <w:rPr>
          <w:rFonts w:cstheme="minorHAnsi"/>
          <w:sz w:val="24"/>
          <w:szCs w:val="24"/>
          <w:vertAlign w:val="subscript"/>
          <w:lang w:val="en-US"/>
        </w:rPr>
        <w:t>late</w:t>
      </w:r>
      <w:proofErr w:type="spellEnd"/>
      <w:r w:rsidR="00082609" w:rsidRPr="00082609">
        <w:rPr>
          <w:rFonts w:cstheme="minorHAnsi"/>
          <w:sz w:val="24"/>
          <w:szCs w:val="24"/>
          <w:vertAlign w:val="subscript"/>
          <w:lang w:val="en-US"/>
        </w:rPr>
        <w:t xml:space="preserve"> </w:t>
      </w:r>
      <w:r w:rsidR="00487155">
        <w:rPr>
          <w:sz w:val="24"/>
          <w:szCs w:val="24"/>
          <w:lang w:val="en-US"/>
        </w:rPr>
        <w:t xml:space="preserve">at follow-up end </w:t>
      </w:r>
      <w:r w:rsidR="00082609" w:rsidRPr="00082609">
        <w:rPr>
          <w:sz w:val="24"/>
          <w:szCs w:val="24"/>
          <w:lang w:val="en-US"/>
        </w:rPr>
        <w:t>(</w:t>
      </w:r>
      <w:r w:rsidR="001A7495">
        <w:rPr>
          <w:sz w:val="24"/>
          <w:szCs w:val="24"/>
          <w:lang w:val="en-US"/>
        </w:rPr>
        <w:t>p&lt;0.05</w:t>
      </w:r>
      <w:r w:rsidR="00082609" w:rsidRPr="00082609">
        <w:rPr>
          <w:sz w:val="24"/>
          <w:szCs w:val="24"/>
          <w:lang w:val="en-US"/>
        </w:rPr>
        <w:t>)</w:t>
      </w:r>
      <w:r w:rsidR="00082609">
        <w:rPr>
          <w:sz w:val="24"/>
          <w:szCs w:val="24"/>
          <w:lang w:val="en-US"/>
        </w:rPr>
        <w:t xml:space="preserve">. </w:t>
      </w:r>
      <w:r w:rsidR="001A7495">
        <w:rPr>
          <w:sz w:val="24"/>
          <w:szCs w:val="24"/>
          <w:lang w:val="en-US"/>
        </w:rPr>
        <w:t xml:space="preserve">Similarly, an inverse correlation was found for the CRP (inflammation) and </w:t>
      </w:r>
      <w:r w:rsidR="00E53E14">
        <w:rPr>
          <w:sz w:val="24"/>
          <w:szCs w:val="24"/>
          <w:lang w:val="en-US"/>
        </w:rPr>
        <w:t xml:space="preserve">serum </w:t>
      </w:r>
      <w:r w:rsidR="001A7495">
        <w:rPr>
          <w:sz w:val="24"/>
          <w:szCs w:val="24"/>
          <w:lang w:val="en-US"/>
        </w:rPr>
        <w:t xml:space="preserve">noradrenaline (over-sympathetic system drive) </w:t>
      </w:r>
      <w:r w:rsidR="001A7495">
        <w:rPr>
          <w:rFonts w:cstheme="minorHAnsi"/>
          <w:sz w:val="24"/>
          <w:szCs w:val="24"/>
          <w:lang w:val="en-US"/>
        </w:rPr>
        <w:t xml:space="preserve">with the </w:t>
      </w:r>
      <w:r w:rsidR="00E53E14">
        <w:rPr>
          <w:rFonts w:cstheme="minorHAnsi"/>
          <w:sz w:val="24"/>
          <w:szCs w:val="24"/>
          <w:lang w:val="en-US"/>
        </w:rPr>
        <w:t xml:space="preserve">delta </w:t>
      </w:r>
      <w:r w:rsidR="00E53E14">
        <w:rPr>
          <w:sz w:val="24"/>
          <w:szCs w:val="24"/>
          <w:lang w:val="en-US"/>
        </w:rPr>
        <w:t xml:space="preserve">values </w:t>
      </w:r>
      <w:r w:rsidR="00082609" w:rsidRPr="00082609">
        <w:rPr>
          <w:sz w:val="24"/>
          <w:szCs w:val="24"/>
          <w:lang w:val="en-US"/>
        </w:rPr>
        <w:t>of</w:t>
      </w:r>
      <w:r w:rsidR="00082609">
        <w:rPr>
          <w:sz w:val="24"/>
          <w:szCs w:val="24"/>
          <w:lang w:val="en-US"/>
        </w:rPr>
        <w:t xml:space="preserve"> </w:t>
      </w:r>
      <w:r w:rsidR="001A7495">
        <w:rPr>
          <w:sz w:val="24"/>
          <w:szCs w:val="24"/>
          <w:lang w:val="en-US"/>
        </w:rPr>
        <w:t xml:space="preserve">the </w:t>
      </w:r>
      <w:r w:rsidR="00082609" w:rsidRPr="00082609">
        <w:rPr>
          <w:sz w:val="24"/>
          <w:szCs w:val="24"/>
          <w:lang w:val="en-US"/>
        </w:rPr>
        <w:t>LF/</w:t>
      </w:r>
      <w:proofErr w:type="spellStart"/>
      <w:r w:rsidR="00082609" w:rsidRPr="00082609">
        <w:rPr>
          <w:sz w:val="24"/>
          <w:szCs w:val="24"/>
          <w:lang w:val="en-US"/>
        </w:rPr>
        <w:t>HFr</w:t>
      </w:r>
      <w:proofErr w:type="spellEnd"/>
      <w:r w:rsidR="00082609">
        <w:rPr>
          <w:sz w:val="24"/>
          <w:szCs w:val="24"/>
          <w:lang w:val="en-US"/>
        </w:rPr>
        <w:t xml:space="preserve">, </w:t>
      </w:r>
      <w:r w:rsidR="001A7495">
        <w:rPr>
          <w:sz w:val="24"/>
          <w:szCs w:val="24"/>
          <w:lang w:val="en-US"/>
        </w:rPr>
        <w:t>and the H/</w:t>
      </w:r>
      <w:proofErr w:type="spellStart"/>
      <w:r w:rsidR="001A7495">
        <w:rPr>
          <w:sz w:val="24"/>
          <w:szCs w:val="24"/>
          <w:lang w:val="en-US"/>
        </w:rPr>
        <w:t>Mlate</w:t>
      </w:r>
      <w:proofErr w:type="spellEnd"/>
      <w:r w:rsidR="001A7495">
        <w:rPr>
          <w:sz w:val="24"/>
          <w:szCs w:val="24"/>
          <w:lang w:val="en-US"/>
        </w:rPr>
        <w:t xml:space="preserve"> (p&lt;0.05</w:t>
      </w:r>
      <w:r w:rsidR="00082609">
        <w:rPr>
          <w:sz w:val="24"/>
          <w:szCs w:val="24"/>
          <w:lang w:val="en-US"/>
        </w:rPr>
        <w:t xml:space="preserve">). </w:t>
      </w:r>
    </w:p>
    <w:p w:rsidR="00082609" w:rsidRDefault="00082609" w:rsidP="000019D4">
      <w:pPr>
        <w:spacing w:line="480" w:lineRule="auto"/>
        <w:rPr>
          <w:rFonts w:cstheme="minorHAnsi"/>
          <w:sz w:val="24"/>
          <w:szCs w:val="24"/>
          <w:lang w:val="en-US"/>
        </w:rPr>
      </w:pPr>
    </w:p>
    <w:p w:rsidR="00C17738" w:rsidRPr="00825359" w:rsidRDefault="005A181C" w:rsidP="00545AAE">
      <w:pPr>
        <w:spacing w:line="480" w:lineRule="auto"/>
        <w:rPr>
          <w:rFonts w:cstheme="minorHAnsi"/>
          <w:sz w:val="24"/>
          <w:szCs w:val="24"/>
          <w:lang w:val="en-US"/>
        </w:rPr>
      </w:pPr>
      <w:r>
        <w:rPr>
          <w:rFonts w:cstheme="minorHAnsi"/>
          <w:sz w:val="24"/>
          <w:szCs w:val="24"/>
          <w:lang w:val="en-US"/>
        </w:rPr>
        <w:lastRenderedPageBreak/>
        <w:t xml:space="preserve">Taken together, </w:t>
      </w:r>
      <w:r w:rsidR="008A17EC">
        <w:rPr>
          <w:rFonts w:cstheme="minorHAnsi"/>
          <w:sz w:val="24"/>
          <w:szCs w:val="24"/>
          <w:lang w:val="en-US"/>
        </w:rPr>
        <w:t>th</w:t>
      </w:r>
      <w:r w:rsidR="00251A8B">
        <w:rPr>
          <w:rFonts w:cstheme="minorHAnsi"/>
          <w:sz w:val="24"/>
          <w:szCs w:val="24"/>
          <w:lang w:val="en-US"/>
        </w:rPr>
        <w:t xml:space="preserve">ese results </w:t>
      </w:r>
      <w:r>
        <w:rPr>
          <w:rFonts w:cstheme="minorHAnsi"/>
          <w:sz w:val="24"/>
          <w:szCs w:val="24"/>
          <w:lang w:val="en-US"/>
        </w:rPr>
        <w:t xml:space="preserve">might </w:t>
      </w:r>
      <w:r w:rsidR="00251A8B">
        <w:rPr>
          <w:rFonts w:cstheme="minorHAnsi"/>
          <w:sz w:val="24"/>
          <w:szCs w:val="24"/>
          <w:lang w:val="en-US"/>
        </w:rPr>
        <w:t>confirm a more severe</w:t>
      </w:r>
      <w:r w:rsidR="008A17EC">
        <w:rPr>
          <w:rFonts w:cstheme="minorHAnsi"/>
          <w:sz w:val="24"/>
          <w:szCs w:val="24"/>
          <w:lang w:val="en-US"/>
        </w:rPr>
        <w:t xml:space="preserve"> autonomic dysfunction </w:t>
      </w:r>
      <w:r>
        <w:rPr>
          <w:rFonts w:cstheme="minorHAnsi"/>
          <w:sz w:val="24"/>
          <w:szCs w:val="24"/>
          <w:lang w:val="en-US"/>
        </w:rPr>
        <w:t xml:space="preserve">and </w:t>
      </w:r>
      <w:r w:rsidR="00413A6C">
        <w:rPr>
          <w:rFonts w:cstheme="minorHAnsi"/>
          <w:sz w:val="24"/>
          <w:szCs w:val="24"/>
          <w:lang w:val="en-US"/>
        </w:rPr>
        <w:t>cardiac</w:t>
      </w:r>
      <w:r w:rsidR="000C7302">
        <w:rPr>
          <w:rFonts w:cstheme="minorHAnsi"/>
          <w:sz w:val="24"/>
          <w:szCs w:val="24"/>
          <w:lang w:val="en-US"/>
        </w:rPr>
        <w:t xml:space="preserve"> denervation </w:t>
      </w:r>
      <w:r w:rsidR="008A17EC">
        <w:rPr>
          <w:rFonts w:cstheme="minorHAnsi"/>
          <w:sz w:val="24"/>
          <w:szCs w:val="24"/>
          <w:lang w:val="en-US"/>
        </w:rPr>
        <w:t xml:space="preserve">in </w:t>
      </w:r>
      <w:r w:rsidR="00D548C0">
        <w:rPr>
          <w:rFonts w:cstheme="minorHAnsi"/>
          <w:sz w:val="24"/>
          <w:szCs w:val="24"/>
          <w:lang w:val="en-US"/>
        </w:rPr>
        <w:t xml:space="preserve">non-SLGT2-I users </w:t>
      </w:r>
      <w:r w:rsidR="008A17EC">
        <w:rPr>
          <w:rFonts w:cstheme="minorHAnsi"/>
          <w:sz w:val="24"/>
          <w:szCs w:val="24"/>
          <w:lang w:val="en-US"/>
        </w:rPr>
        <w:t>vs. SLGT2i-users</w:t>
      </w:r>
      <w:r w:rsidR="000C7302">
        <w:rPr>
          <w:rFonts w:cstheme="minorHAnsi"/>
          <w:sz w:val="24"/>
          <w:szCs w:val="24"/>
          <w:lang w:val="en-US"/>
        </w:rPr>
        <w:t xml:space="preserve"> with VVS recurrence</w:t>
      </w:r>
      <w:r w:rsidR="00476B34">
        <w:rPr>
          <w:rFonts w:cstheme="minorHAnsi"/>
          <w:sz w:val="24"/>
          <w:szCs w:val="24"/>
          <w:lang w:val="en-US"/>
        </w:rPr>
        <w:t xml:space="preserve">. </w:t>
      </w:r>
      <w:r>
        <w:rPr>
          <w:rFonts w:cstheme="minorHAnsi"/>
          <w:sz w:val="24"/>
          <w:szCs w:val="24"/>
          <w:lang w:val="en-US"/>
        </w:rPr>
        <w:t xml:space="preserve">These abnormalities were evidenced at </w:t>
      </w:r>
      <w:r w:rsidR="00BD609D">
        <w:rPr>
          <w:rFonts w:cstheme="minorHAnsi"/>
          <w:sz w:val="24"/>
          <w:szCs w:val="24"/>
          <w:lang w:val="en-US"/>
        </w:rPr>
        <w:t>baseline</w:t>
      </w:r>
      <w:r>
        <w:rPr>
          <w:rFonts w:cstheme="minorHAnsi"/>
          <w:sz w:val="24"/>
          <w:szCs w:val="24"/>
          <w:lang w:val="en-US"/>
        </w:rPr>
        <w:t>, and persisted in the non-SGLT2-I users at follow-up end. In detail, t</w:t>
      </w:r>
      <w:r w:rsidR="000C7302">
        <w:rPr>
          <w:rFonts w:cstheme="minorHAnsi"/>
          <w:sz w:val="24"/>
          <w:szCs w:val="24"/>
          <w:lang w:val="en-US"/>
        </w:rPr>
        <w:t xml:space="preserve">his trend was confirmed for all causes of VVS recurrence, and for any form of VVS recurrence at 1 year of follow-up. Notably, only the HR </w:t>
      </w:r>
      <w:r w:rsidR="00413A6C">
        <w:rPr>
          <w:rFonts w:cstheme="minorHAnsi"/>
          <w:sz w:val="24"/>
          <w:szCs w:val="24"/>
          <w:lang w:val="en-US"/>
        </w:rPr>
        <w:t xml:space="preserve">did not reach the </w:t>
      </w:r>
      <w:r w:rsidR="000C7302">
        <w:rPr>
          <w:rFonts w:cstheme="minorHAnsi"/>
          <w:sz w:val="24"/>
          <w:szCs w:val="24"/>
          <w:lang w:val="en-US"/>
        </w:rPr>
        <w:t xml:space="preserve">statistical </w:t>
      </w:r>
      <w:r w:rsidR="00413A6C">
        <w:rPr>
          <w:rFonts w:cstheme="minorHAnsi"/>
          <w:sz w:val="24"/>
          <w:szCs w:val="24"/>
          <w:lang w:val="en-US"/>
        </w:rPr>
        <w:t xml:space="preserve">significant </w:t>
      </w:r>
      <w:r w:rsidR="000C7302">
        <w:rPr>
          <w:rFonts w:cstheme="minorHAnsi"/>
          <w:sz w:val="24"/>
          <w:szCs w:val="24"/>
          <w:lang w:val="en-US"/>
        </w:rPr>
        <w:t>differen</w:t>
      </w:r>
      <w:r w:rsidR="00413A6C">
        <w:rPr>
          <w:rFonts w:cstheme="minorHAnsi"/>
          <w:sz w:val="24"/>
          <w:szCs w:val="24"/>
          <w:lang w:val="en-US"/>
        </w:rPr>
        <w:t>ce</w:t>
      </w:r>
      <w:r w:rsidR="000C7302">
        <w:rPr>
          <w:rFonts w:cstheme="minorHAnsi"/>
          <w:sz w:val="24"/>
          <w:szCs w:val="24"/>
          <w:lang w:val="en-US"/>
        </w:rPr>
        <w:t xml:space="preserve"> comparing the study cohorts with cardio-inhibitory VVS recurrence at 1 year of follow-up (p&gt;0.05). </w:t>
      </w:r>
      <w:r w:rsidR="001A7495">
        <w:rPr>
          <w:rFonts w:cstheme="minorHAnsi"/>
          <w:sz w:val="24"/>
          <w:szCs w:val="24"/>
          <w:lang w:val="en-US"/>
        </w:rPr>
        <w:t xml:space="preserve">In addition, the worse glycemic control, the over-inflammation and the over-sympathetic stimulation (as seen in Non-SGLT2-I users vs. SGLT2-I users), linked to highest values of HR, and more severe dysfunction of vasovagal and sympathetic system at follow-up end. </w:t>
      </w:r>
      <w:r w:rsidR="00B6482E">
        <w:rPr>
          <w:rFonts w:cstheme="minorHAnsi"/>
          <w:sz w:val="24"/>
          <w:szCs w:val="24"/>
          <w:lang w:val="en-US"/>
        </w:rPr>
        <w:t xml:space="preserve">However, </w:t>
      </w:r>
      <w:r w:rsidR="00413A6C">
        <w:rPr>
          <w:rFonts w:cstheme="minorHAnsi"/>
          <w:sz w:val="24"/>
          <w:szCs w:val="24"/>
          <w:lang w:val="en-US"/>
        </w:rPr>
        <w:t xml:space="preserve">comparing the follow-up end vs. </w:t>
      </w:r>
      <w:r w:rsidR="00825359">
        <w:rPr>
          <w:rFonts w:cstheme="minorHAnsi"/>
          <w:sz w:val="24"/>
          <w:szCs w:val="24"/>
          <w:lang w:val="en-US"/>
        </w:rPr>
        <w:t>baseline</w:t>
      </w:r>
      <w:r w:rsidR="00413A6C">
        <w:rPr>
          <w:rFonts w:cstheme="minorHAnsi"/>
          <w:sz w:val="24"/>
          <w:szCs w:val="24"/>
          <w:lang w:val="en-US"/>
        </w:rPr>
        <w:t xml:space="preserve"> </w:t>
      </w:r>
      <w:r w:rsidR="00E53E14">
        <w:rPr>
          <w:rFonts w:cstheme="minorHAnsi"/>
          <w:sz w:val="24"/>
          <w:szCs w:val="24"/>
          <w:lang w:val="en-US"/>
        </w:rPr>
        <w:t>parameters</w:t>
      </w:r>
      <w:r w:rsidR="00413A6C">
        <w:rPr>
          <w:rFonts w:cstheme="minorHAnsi"/>
          <w:sz w:val="24"/>
          <w:szCs w:val="24"/>
          <w:lang w:val="en-US"/>
        </w:rPr>
        <w:t xml:space="preserve"> in any cohort of patients with VVS, </w:t>
      </w:r>
      <w:r w:rsidR="00476B34">
        <w:rPr>
          <w:rFonts w:cstheme="minorHAnsi"/>
          <w:sz w:val="24"/>
          <w:szCs w:val="24"/>
          <w:lang w:val="en-US"/>
        </w:rPr>
        <w:t xml:space="preserve">we might suggest that </w:t>
      </w:r>
      <w:r w:rsidR="00251A8B">
        <w:rPr>
          <w:rFonts w:cstheme="minorHAnsi"/>
          <w:sz w:val="24"/>
          <w:szCs w:val="24"/>
          <w:lang w:val="en-US"/>
        </w:rPr>
        <w:t>the</w:t>
      </w:r>
      <w:r w:rsidR="00E53E14">
        <w:rPr>
          <w:rFonts w:cstheme="minorHAnsi"/>
          <w:sz w:val="24"/>
          <w:szCs w:val="24"/>
          <w:lang w:val="en-US"/>
        </w:rPr>
        <w:t xml:space="preserve"> S</w:t>
      </w:r>
      <w:r w:rsidR="008A17EC">
        <w:rPr>
          <w:rFonts w:cstheme="minorHAnsi"/>
          <w:sz w:val="24"/>
          <w:szCs w:val="24"/>
          <w:lang w:val="en-US"/>
        </w:rPr>
        <w:t>G</w:t>
      </w:r>
      <w:r w:rsidR="00E53E14">
        <w:rPr>
          <w:rFonts w:cstheme="minorHAnsi"/>
          <w:sz w:val="24"/>
          <w:szCs w:val="24"/>
          <w:lang w:val="en-US"/>
        </w:rPr>
        <w:t>L</w:t>
      </w:r>
      <w:r w:rsidR="008A17EC">
        <w:rPr>
          <w:rFonts w:cstheme="minorHAnsi"/>
          <w:sz w:val="24"/>
          <w:szCs w:val="24"/>
          <w:lang w:val="en-US"/>
        </w:rPr>
        <w:t>T</w:t>
      </w:r>
      <w:r w:rsidR="00E53E14">
        <w:rPr>
          <w:rFonts w:cstheme="minorHAnsi"/>
          <w:sz w:val="24"/>
          <w:szCs w:val="24"/>
          <w:lang w:val="en-US"/>
        </w:rPr>
        <w:t>2</w:t>
      </w:r>
      <w:r w:rsidR="00476B34">
        <w:rPr>
          <w:rFonts w:cstheme="minorHAnsi"/>
          <w:sz w:val="24"/>
          <w:szCs w:val="24"/>
          <w:lang w:val="en-US"/>
        </w:rPr>
        <w:t>-I</w:t>
      </w:r>
      <w:r w:rsidR="00251A8B">
        <w:rPr>
          <w:rFonts w:cstheme="minorHAnsi"/>
          <w:sz w:val="24"/>
          <w:szCs w:val="24"/>
          <w:lang w:val="en-US"/>
        </w:rPr>
        <w:t xml:space="preserve"> </w:t>
      </w:r>
      <w:r w:rsidR="00825359">
        <w:rPr>
          <w:rFonts w:cstheme="minorHAnsi"/>
          <w:sz w:val="24"/>
          <w:szCs w:val="24"/>
          <w:lang w:val="en-US"/>
        </w:rPr>
        <w:t xml:space="preserve">could </w:t>
      </w:r>
      <w:r w:rsidR="008A17EC">
        <w:rPr>
          <w:rFonts w:cstheme="minorHAnsi"/>
          <w:sz w:val="24"/>
          <w:szCs w:val="24"/>
          <w:lang w:val="en-US"/>
        </w:rPr>
        <w:t>reduc</w:t>
      </w:r>
      <w:r w:rsidR="00825359">
        <w:rPr>
          <w:rFonts w:cstheme="minorHAnsi"/>
          <w:sz w:val="24"/>
          <w:szCs w:val="24"/>
          <w:lang w:val="en-US"/>
        </w:rPr>
        <w:t>e</w:t>
      </w:r>
      <w:r w:rsidR="008A17EC">
        <w:rPr>
          <w:rFonts w:cstheme="minorHAnsi"/>
          <w:sz w:val="24"/>
          <w:szCs w:val="24"/>
          <w:lang w:val="en-US"/>
        </w:rPr>
        <w:t xml:space="preserve"> </w:t>
      </w:r>
      <w:r w:rsidR="00251A8B">
        <w:rPr>
          <w:rFonts w:cstheme="minorHAnsi"/>
          <w:sz w:val="24"/>
          <w:szCs w:val="24"/>
          <w:lang w:val="en-US"/>
        </w:rPr>
        <w:t xml:space="preserve">the </w:t>
      </w:r>
      <w:r w:rsidR="00825359">
        <w:rPr>
          <w:rFonts w:cstheme="minorHAnsi"/>
          <w:sz w:val="24"/>
          <w:szCs w:val="24"/>
          <w:lang w:val="en-US"/>
        </w:rPr>
        <w:t>vaso</w:t>
      </w:r>
      <w:r w:rsidR="008F320A">
        <w:rPr>
          <w:rFonts w:cstheme="minorHAnsi"/>
          <w:sz w:val="24"/>
          <w:szCs w:val="24"/>
          <w:lang w:val="en-US"/>
        </w:rPr>
        <w:t>vagal tone</w:t>
      </w:r>
      <w:r w:rsidR="00251A8B">
        <w:rPr>
          <w:rFonts w:cstheme="minorHAnsi"/>
          <w:sz w:val="24"/>
          <w:szCs w:val="24"/>
          <w:lang w:val="en-US"/>
        </w:rPr>
        <w:t xml:space="preserve"> </w:t>
      </w:r>
      <w:r w:rsidR="008A17EC">
        <w:rPr>
          <w:rFonts w:cstheme="minorHAnsi"/>
          <w:sz w:val="24"/>
          <w:szCs w:val="24"/>
          <w:lang w:val="en-US"/>
        </w:rPr>
        <w:t>and</w:t>
      </w:r>
      <w:r w:rsidR="00251A8B">
        <w:rPr>
          <w:rFonts w:cstheme="minorHAnsi"/>
          <w:sz w:val="24"/>
          <w:szCs w:val="24"/>
          <w:lang w:val="en-US"/>
        </w:rPr>
        <w:t xml:space="preserve"> the </w:t>
      </w:r>
      <w:r w:rsidR="001D196E">
        <w:rPr>
          <w:rFonts w:cstheme="minorHAnsi"/>
          <w:sz w:val="24"/>
          <w:szCs w:val="24"/>
          <w:lang w:val="en-US"/>
        </w:rPr>
        <w:t xml:space="preserve">over-sympathetic drive </w:t>
      </w:r>
      <w:r w:rsidR="00825359">
        <w:rPr>
          <w:rFonts w:cstheme="minorHAnsi"/>
          <w:sz w:val="24"/>
          <w:szCs w:val="24"/>
          <w:lang w:val="en-US"/>
        </w:rPr>
        <w:t xml:space="preserve">in patients with type 2 diabetes mellitus (T2DM), </w:t>
      </w:r>
      <w:r w:rsidR="001D196E">
        <w:rPr>
          <w:rFonts w:cstheme="minorHAnsi"/>
          <w:sz w:val="24"/>
          <w:szCs w:val="24"/>
          <w:lang w:val="en-US"/>
        </w:rPr>
        <w:t>(</w:t>
      </w:r>
      <w:r w:rsidR="001D196E" w:rsidRPr="001D196E">
        <w:rPr>
          <w:rFonts w:cstheme="minorHAnsi"/>
          <w:b/>
          <w:sz w:val="24"/>
          <w:szCs w:val="24"/>
          <w:lang w:val="en-US"/>
        </w:rPr>
        <w:t>1</w:t>
      </w:r>
      <w:r w:rsidR="008A17EC">
        <w:rPr>
          <w:rFonts w:cstheme="minorHAnsi"/>
          <w:sz w:val="24"/>
          <w:szCs w:val="24"/>
          <w:lang w:val="en-US"/>
        </w:rPr>
        <w:t xml:space="preserve">). </w:t>
      </w:r>
      <w:proofErr w:type="spellStart"/>
      <w:r w:rsidR="001A7495">
        <w:rPr>
          <w:rFonts w:cstheme="minorHAnsi"/>
          <w:sz w:val="24"/>
          <w:szCs w:val="24"/>
          <w:lang w:val="en-US"/>
        </w:rPr>
        <w:t>Parallely</w:t>
      </w:r>
      <w:proofErr w:type="spellEnd"/>
      <w:r w:rsidR="001A7495">
        <w:rPr>
          <w:rFonts w:cstheme="minorHAnsi"/>
          <w:sz w:val="24"/>
          <w:szCs w:val="24"/>
          <w:lang w:val="en-US"/>
        </w:rPr>
        <w:t xml:space="preserve">, this linked to worse glycemic control, with over-inflammation and over-sympathetic stimulation in Non-SGLT2-I users vs. SGLT2-I users. </w:t>
      </w:r>
      <w:r w:rsidR="00251A8B" w:rsidRPr="00251A8B">
        <w:rPr>
          <w:sz w:val="24"/>
          <w:szCs w:val="24"/>
          <w:lang w:val="en-US"/>
        </w:rPr>
        <w:t xml:space="preserve">In this setting, </w:t>
      </w:r>
      <w:r w:rsidR="00487155">
        <w:rPr>
          <w:sz w:val="24"/>
          <w:szCs w:val="24"/>
          <w:lang w:val="en-US"/>
        </w:rPr>
        <w:t xml:space="preserve">we evaluated </w:t>
      </w:r>
      <w:r w:rsidR="00251A8B" w:rsidRPr="00251A8B">
        <w:rPr>
          <w:sz w:val="24"/>
          <w:szCs w:val="24"/>
          <w:lang w:val="en-US"/>
        </w:rPr>
        <w:t xml:space="preserve">the </w:t>
      </w:r>
      <w:proofErr w:type="spellStart"/>
      <w:r w:rsidR="00251A8B" w:rsidRPr="00251A8B">
        <w:rPr>
          <w:sz w:val="24"/>
          <w:szCs w:val="24"/>
          <w:lang w:val="en-US"/>
        </w:rPr>
        <w:t>vaso</w:t>
      </w:r>
      <w:proofErr w:type="spellEnd"/>
      <w:r w:rsidR="00251A8B" w:rsidRPr="00251A8B">
        <w:rPr>
          <w:sz w:val="24"/>
          <w:szCs w:val="24"/>
          <w:lang w:val="en-US"/>
        </w:rPr>
        <w:t xml:space="preserve">-vagal tone in VVS patients with T2DM by </w:t>
      </w:r>
      <w:r w:rsidR="00487155">
        <w:rPr>
          <w:sz w:val="24"/>
          <w:szCs w:val="24"/>
          <w:lang w:val="en-US"/>
        </w:rPr>
        <w:t xml:space="preserve">the </w:t>
      </w:r>
      <w:r w:rsidR="00251A8B" w:rsidRPr="00251A8B">
        <w:rPr>
          <w:sz w:val="24"/>
          <w:szCs w:val="24"/>
          <w:lang w:val="en-US"/>
        </w:rPr>
        <w:t>HRV parameters, as the LF, HF, and LF/HF</w:t>
      </w:r>
      <w:r w:rsidR="008F320A">
        <w:rPr>
          <w:sz w:val="24"/>
          <w:szCs w:val="24"/>
          <w:lang w:val="en-US"/>
        </w:rPr>
        <w:t>r</w:t>
      </w:r>
      <w:r w:rsidR="00251A8B" w:rsidRPr="00251A8B">
        <w:rPr>
          <w:sz w:val="24"/>
          <w:szCs w:val="24"/>
          <w:lang w:val="en-US"/>
        </w:rPr>
        <w:t xml:space="preserve"> (</w:t>
      </w:r>
      <w:r w:rsidR="001D196E" w:rsidRPr="001D196E">
        <w:rPr>
          <w:b/>
          <w:sz w:val="24"/>
          <w:szCs w:val="24"/>
          <w:lang w:val="en-US"/>
        </w:rPr>
        <w:t>2</w:t>
      </w:r>
      <w:r w:rsidR="00251A8B" w:rsidRPr="00251A8B">
        <w:rPr>
          <w:sz w:val="24"/>
          <w:szCs w:val="24"/>
          <w:lang w:val="en-US"/>
        </w:rPr>
        <w:t xml:space="preserve">). </w:t>
      </w:r>
      <w:r w:rsidR="001D196E">
        <w:rPr>
          <w:sz w:val="24"/>
          <w:szCs w:val="24"/>
          <w:lang w:val="en-US"/>
        </w:rPr>
        <w:t>In</w:t>
      </w:r>
      <w:r w:rsidR="00E53E14">
        <w:rPr>
          <w:sz w:val="24"/>
          <w:szCs w:val="24"/>
          <w:lang w:val="en-US"/>
        </w:rPr>
        <w:t>deed</w:t>
      </w:r>
      <w:r w:rsidR="001D196E">
        <w:rPr>
          <w:sz w:val="24"/>
          <w:szCs w:val="24"/>
          <w:lang w:val="en-US"/>
        </w:rPr>
        <w:t xml:space="preserve">, </w:t>
      </w:r>
      <w:r w:rsidR="00050D05">
        <w:rPr>
          <w:sz w:val="24"/>
          <w:szCs w:val="24"/>
          <w:lang w:val="en-US"/>
        </w:rPr>
        <w:t xml:space="preserve">the LF is a marker of </w:t>
      </w:r>
      <w:r w:rsidR="001D196E">
        <w:rPr>
          <w:sz w:val="24"/>
          <w:szCs w:val="24"/>
          <w:lang w:val="en-US"/>
        </w:rPr>
        <w:t xml:space="preserve">baroreceptor activity, </w:t>
      </w:r>
      <w:r w:rsidR="00050D05">
        <w:rPr>
          <w:sz w:val="24"/>
          <w:szCs w:val="24"/>
          <w:lang w:val="en-US"/>
        </w:rPr>
        <w:t>while the</w:t>
      </w:r>
      <w:r w:rsidR="00050D05" w:rsidRPr="00865AB9">
        <w:rPr>
          <w:sz w:val="24"/>
          <w:szCs w:val="24"/>
          <w:lang w:val="en-US"/>
        </w:rPr>
        <w:t xml:space="preserve"> HF is </w:t>
      </w:r>
      <w:r w:rsidR="001D196E">
        <w:rPr>
          <w:sz w:val="24"/>
          <w:szCs w:val="24"/>
          <w:lang w:val="en-US"/>
        </w:rPr>
        <w:t xml:space="preserve">a parameter </w:t>
      </w:r>
      <w:r w:rsidR="00050D05" w:rsidRPr="00865AB9">
        <w:rPr>
          <w:sz w:val="24"/>
          <w:szCs w:val="24"/>
          <w:lang w:val="en-US"/>
        </w:rPr>
        <w:t xml:space="preserve">modulated by the parasympathetic nervous system and </w:t>
      </w:r>
      <w:r w:rsidR="00050D05">
        <w:rPr>
          <w:sz w:val="24"/>
          <w:szCs w:val="24"/>
          <w:lang w:val="en-US"/>
        </w:rPr>
        <w:t xml:space="preserve">by the changes of </w:t>
      </w:r>
      <w:r w:rsidR="00050D05" w:rsidRPr="00865AB9">
        <w:rPr>
          <w:sz w:val="24"/>
          <w:szCs w:val="24"/>
          <w:lang w:val="en-US"/>
        </w:rPr>
        <w:t>respiration</w:t>
      </w:r>
      <w:r w:rsidR="00050D05">
        <w:rPr>
          <w:sz w:val="24"/>
          <w:szCs w:val="24"/>
          <w:lang w:val="en-US"/>
        </w:rPr>
        <w:t xml:space="preserve"> phases </w:t>
      </w:r>
      <w:r w:rsidR="00050D05" w:rsidRPr="00865AB9">
        <w:rPr>
          <w:sz w:val="24"/>
          <w:szCs w:val="24"/>
          <w:lang w:val="en-US"/>
        </w:rPr>
        <w:t xml:space="preserve">and blood pressure </w:t>
      </w:r>
      <w:r w:rsidR="001D196E" w:rsidRPr="00865AB9">
        <w:rPr>
          <w:sz w:val="24"/>
          <w:szCs w:val="24"/>
          <w:lang w:val="en-US"/>
        </w:rPr>
        <w:t>(</w:t>
      </w:r>
      <w:r w:rsidR="001D196E" w:rsidRPr="001D196E">
        <w:rPr>
          <w:b/>
          <w:sz w:val="24"/>
          <w:szCs w:val="24"/>
          <w:lang w:val="en-US"/>
        </w:rPr>
        <w:t>2, 3</w:t>
      </w:r>
      <w:r w:rsidR="001D196E" w:rsidRPr="00865AB9">
        <w:rPr>
          <w:sz w:val="24"/>
          <w:szCs w:val="24"/>
          <w:lang w:val="en-US"/>
        </w:rPr>
        <w:t>)</w:t>
      </w:r>
      <w:r w:rsidR="00050D05" w:rsidRPr="00865AB9">
        <w:rPr>
          <w:sz w:val="24"/>
          <w:szCs w:val="24"/>
          <w:lang w:val="en-US"/>
        </w:rPr>
        <w:t xml:space="preserve">. </w:t>
      </w:r>
      <w:r>
        <w:rPr>
          <w:sz w:val="24"/>
          <w:szCs w:val="24"/>
          <w:lang w:val="en-US"/>
        </w:rPr>
        <w:t>Moreove</w:t>
      </w:r>
      <w:r w:rsidR="001D196E">
        <w:rPr>
          <w:sz w:val="24"/>
          <w:szCs w:val="24"/>
          <w:lang w:val="en-US"/>
        </w:rPr>
        <w:t xml:space="preserve">r, </w:t>
      </w:r>
      <w:r w:rsidR="00050D05">
        <w:rPr>
          <w:sz w:val="24"/>
          <w:szCs w:val="24"/>
          <w:lang w:val="en-US"/>
        </w:rPr>
        <w:t xml:space="preserve">the LF/HF ratio </w:t>
      </w:r>
      <w:r w:rsidR="001D196E">
        <w:rPr>
          <w:sz w:val="24"/>
          <w:szCs w:val="24"/>
          <w:lang w:val="en-US"/>
        </w:rPr>
        <w:t>i</w:t>
      </w:r>
      <w:r w:rsidR="00050D05">
        <w:rPr>
          <w:sz w:val="24"/>
          <w:szCs w:val="24"/>
          <w:lang w:val="en-US"/>
        </w:rPr>
        <w:t>s an index of the complex interaction between vag</w:t>
      </w:r>
      <w:r w:rsidR="001D196E">
        <w:rPr>
          <w:sz w:val="24"/>
          <w:szCs w:val="24"/>
          <w:lang w:val="en-US"/>
        </w:rPr>
        <w:t xml:space="preserve">al and sympathetic tone, and </w:t>
      </w:r>
      <w:r w:rsidR="00050D05">
        <w:rPr>
          <w:sz w:val="24"/>
          <w:szCs w:val="24"/>
          <w:lang w:val="en-US"/>
        </w:rPr>
        <w:t>a</w:t>
      </w:r>
      <w:r w:rsidR="001D196E">
        <w:rPr>
          <w:sz w:val="24"/>
          <w:szCs w:val="24"/>
          <w:lang w:val="en-US"/>
        </w:rPr>
        <w:t xml:space="preserve"> valuable</w:t>
      </w:r>
      <w:r w:rsidR="00050D05">
        <w:rPr>
          <w:sz w:val="24"/>
          <w:szCs w:val="24"/>
          <w:lang w:val="en-US"/>
        </w:rPr>
        <w:t xml:space="preserve"> marker </w:t>
      </w:r>
      <w:r w:rsidR="001D196E">
        <w:rPr>
          <w:sz w:val="24"/>
          <w:szCs w:val="24"/>
          <w:lang w:val="en-US"/>
        </w:rPr>
        <w:t>to</w:t>
      </w:r>
      <w:r w:rsidR="00050D05">
        <w:rPr>
          <w:sz w:val="24"/>
          <w:szCs w:val="24"/>
          <w:lang w:val="en-US"/>
        </w:rPr>
        <w:t xml:space="preserve"> stage </w:t>
      </w:r>
      <w:r w:rsidR="001D196E">
        <w:rPr>
          <w:sz w:val="24"/>
          <w:szCs w:val="24"/>
          <w:lang w:val="en-US"/>
        </w:rPr>
        <w:t>the degree and</w:t>
      </w:r>
      <w:r w:rsidR="00050D05">
        <w:rPr>
          <w:sz w:val="24"/>
          <w:szCs w:val="24"/>
          <w:lang w:val="en-US"/>
        </w:rPr>
        <w:t xml:space="preserve"> severity of the CAN</w:t>
      </w:r>
      <w:r w:rsidR="00E53E14">
        <w:rPr>
          <w:sz w:val="24"/>
          <w:szCs w:val="24"/>
          <w:lang w:val="en-US"/>
        </w:rPr>
        <w:t>,</w:t>
      </w:r>
      <w:r w:rsidR="00050D05">
        <w:rPr>
          <w:sz w:val="24"/>
          <w:szCs w:val="24"/>
          <w:lang w:val="en-US"/>
        </w:rPr>
        <w:t xml:space="preserve"> and </w:t>
      </w:r>
      <w:r w:rsidR="00825359">
        <w:rPr>
          <w:sz w:val="24"/>
          <w:szCs w:val="24"/>
          <w:lang w:val="en-US"/>
        </w:rPr>
        <w:t xml:space="preserve">to </w:t>
      </w:r>
      <w:r w:rsidR="001D196E">
        <w:rPr>
          <w:sz w:val="24"/>
          <w:szCs w:val="24"/>
          <w:lang w:val="en-US"/>
        </w:rPr>
        <w:t>predict</w:t>
      </w:r>
      <w:r w:rsidR="00050D05">
        <w:rPr>
          <w:sz w:val="24"/>
          <w:szCs w:val="24"/>
          <w:lang w:val="en-US"/>
        </w:rPr>
        <w:t xml:space="preserve"> </w:t>
      </w:r>
      <w:r w:rsidR="001D196E">
        <w:rPr>
          <w:sz w:val="24"/>
          <w:szCs w:val="24"/>
          <w:lang w:val="en-US"/>
        </w:rPr>
        <w:t xml:space="preserve">the </w:t>
      </w:r>
      <w:r w:rsidR="00050D05" w:rsidRPr="00865AB9">
        <w:rPr>
          <w:sz w:val="24"/>
          <w:szCs w:val="24"/>
          <w:lang w:val="en-US"/>
        </w:rPr>
        <w:t>VVS recurrence in T2DM patients (</w:t>
      </w:r>
      <w:r w:rsidR="001D196E" w:rsidRPr="001D196E">
        <w:rPr>
          <w:b/>
          <w:sz w:val="24"/>
          <w:szCs w:val="24"/>
          <w:lang w:val="en-US"/>
        </w:rPr>
        <w:t>2</w:t>
      </w:r>
      <w:r w:rsidR="001D196E">
        <w:rPr>
          <w:sz w:val="24"/>
          <w:szCs w:val="24"/>
          <w:lang w:val="en-US"/>
        </w:rPr>
        <w:t xml:space="preserve">, </w:t>
      </w:r>
      <w:r w:rsidR="00050D05" w:rsidRPr="001D196E">
        <w:rPr>
          <w:b/>
          <w:sz w:val="24"/>
          <w:szCs w:val="24"/>
          <w:lang w:val="en-US"/>
        </w:rPr>
        <w:t>3</w:t>
      </w:r>
      <w:r w:rsidR="00050D05" w:rsidRPr="00865AB9">
        <w:rPr>
          <w:sz w:val="24"/>
          <w:szCs w:val="24"/>
          <w:lang w:val="en-US"/>
        </w:rPr>
        <w:t>).</w:t>
      </w:r>
      <w:r w:rsidR="001D196E">
        <w:rPr>
          <w:sz w:val="24"/>
          <w:szCs w:val="24"/>
          <w:lang w:val="en-US"/>
        </w:rPr>
        <w:t xml:space="preserve"> Notably, para</w:t>
      </w:r>
      <w:r w:rsidR="00825359">
        <w:rPr>
          <w:sz w:val="24"/>
          <w:szCs w:val="24"/>
          <w:lang w:val="en-US"/>
        </w:rPr>
        <w:t>llel to the dysfunction of vaso</w:t>
      </w:r>
      <w:r w:rsidR="001D196E">
        <w:rPr>
          <w:sz w:val="24"/>
          <w:szCs w:val="24"/>
          <w:lang w:val="en-US"/>
        </w:rPr>
        <w:t xml:space="preserve">vagal tone, the </w:t>
      </w:r>
      <w:r w:rsidR="00E53E14">
        <w:rPr>
          <w:sz w:val="24"/>
          <w:szCs w:val="24"/>
          <w:lang w:val="en-US"/>
        </w:rPr>
        <w:t xml:space="preserve">Non-SGLT2-I users vs. </w:t>
      </w:r>
      <w:r w:rsidR="001D196E">
        <w:rPr>
          <w:sz w:val="24"/>
          <w:szCs w:val="24"/>
          <w:lang w:val="en-US"/>
        </w:rPr>
        <w:t xml:space="preserve">SGLT2-I users showed a more significant </w:t>
      </w:r>
      <w:r w:rsidR="00825359">
        <w:rPr>
          <w:sz w:val="24"/>
          <w:szCs w:val="24"/>
          <w:lang w:val="en-US"/>
        </w:rPr>
        <w:t>stage of CAN</w:t>
      </w:r>
      <w:r w:rsidR="001D196E">
        <w:rPr>
          <w:sz w:val="24"/>
          <w:szCs w:val="24"/>
          <w:lang w:val="en-US"/>
        </w:rPr>
        <w:t xml:space="preserve">. </w:t>
      </w:r>
      <w:r w:rsidR="00E53E14">
        <w:rPr>
          <w:sz w:val="24"/>
          <w:szCs w:val="24"/>
          <w:lang w:val="en-US"/>
        </w:rPr>
        <w:t>Notably</w:t>
      </w:r>
      <w:r w:rsidR="001D196E">
        <w:rPr>
          <w:sz w:val="24"/>
          <w:szCs w:val="24"/>
          <w:lang w:val="en-US"/>
        </w:rPr>
        <w:t xml:space="preserve">, </w:t>
      </w:r>
      <w:r w:rsidR="00413A6C">
        <w:rPr>
          <w:sz w:val="24"/>
          <w:szCs w:val="24"/>
          <w:lang w:val="en-US"/>
        </w:rPr>
        <w:t xml:space="preserve">both the cohorts of patients </w:t>
      </w:r>
      <w:r w:rsidR="00E53E14">
        <w:rPr>
          <w:sz w:val="24"/>
          <w:szCs w:val="24"/>
          <w:lang w:val="en-US"/>
        </w:rPr>
        <w:t>ha</w:t>
      </w:r>
      <w:r w:rsidR="00413A6C">
        <w:rPr>
          <w:sz w:val="24"/>
          <w:szCs w:val="24"/>
          <w:lang w:val="en-US"/>
        </w:rPr>
        <w:t>d</w:t>
      </w:r>
      <w:r w:rsidR="00F665C0">
        <w:rPr>
          <w:sz w:val="24"/>
          <w:szCs w:val="24"/>
          <w:lang w:val="en-US"/>
        </w:rPr>
        <w:t xml:space="preserve"> the tendency to increase the </w:t>
      </w:r>
      <w:r w:rsidR="00F665C0">
        <w:rPr>
          <w:rFonts w:cstheme="minorHAnsi"/>
          <w:sz w:val="24"/>
          <w:szCs w:val="24"/>
          <w:lang w:val="en-US"/>
        </w:rPr>
        <w:t>Heart to Mediastinum ratio (</w:t>
      </w:r>
      <w:r w:rsidR="00F665C0" w:rsidRPr="00EA20C3">
        <w:rPr>
          <w:rFonts w:cstheme="minorHAnsi"/>
          <w:sz w:val="24"/>
          <w:szCs w:val="24"/>
          <w:lang w:val="en-US"/>
        </w:rPr>
        <w:t>H/M</w:t>
      </w:r>
      <w:r w:rsidR="00F665C0" w:rsidRPr="00EA20C3">
        <w:rPr>
          <w:rFonts w:cstheme="minorHAnsi"/>
          <w:sz w:val="24"/>
          <w:szCs w:val="24"/>
          <w:vertAlign w:val="subscript"/>
          <w:lang w:val="en-US"/>
        </w:rPr>
        <w:t>late</w:t>
      </w:r>
      <w:r w:rsidR="00F665C0">
        <w:rPr>
          <w:rFonts w:cstheme="minorHAnsi"/>
          <w:sz w:val="24"/>
          <w:szCs w:val="24"/>
          <w:lang w:val="en-US"/>
        </w:rPr>
        <w:t xml:space="preserve">) values, and to reduce the </w:t>
      </w:r>
      <w:r w:rsidR="00F665C0" w:rsidRPr="00F665C0">
        <w:rPr>
          <w:rFonts w:cstheme="minorHAnsi"/>
          <w:sz w:val="24"/>
          <w:szCs w:val="24"/>
          <w:lang w:val="en-US"/>
        </w:rPr>
        <w:t>Washout rate (WR)</w:t>
      </w:r>
      <w:r w:rsidR="003F01FE">
        <w:rPr>
          <w:rFonts w:cstheme="minorHAnsi"/>
          <w:sz w:val="24"/>
          <w:szCs w:val="24"/>
          <w:lang w:val="en-US"/>
        </w:rPr>
        <w:t>, which are</w:t>
      </w:r>
      <w:r w:rsidR="00413A6C">
        <w:rPr>
          <w:rFonts w:cstheme="minorHAnsi"/>
          <w:sz w:val="24"/>
          <w:szCs w:val="24"/>
          <w:lang w:val="en-US"/>
        </w:rPr>
        <w:t xml:space="preserve"> </w:t>
      </w:r>
      <w:r w:rsidR="00A716C1">
        <w:rPr>
          <w:rFonts w:cstheme="minorHAnsi"/>
          <w:sz w:val="24"/>
          <w:szCs w:val="24"/>
          <w:lang w:val="en-US"/>
        </w:rPr>
        <w:t xml:space="preserve">both </w:t>
      </w:r>
      <w:r w:rsidR="00413A6C">
        <w:rPr>
          <w:rFonts w:cstheme="minorHAnsi"/>
          <w:sz w:val="24"/>
          <w:szCs w:val="24"/>
          <w:lang w:val="en-US"/>
        </w:rPr>
        <w:t>indexes of cardiac innervation (</w:t>
      </w:r>
      <w:r w:rsidR="00413A6C" w:rsidRPr="00413A6C">
        <w:rPr>
          <w:rFonts w:cstheme="minorHAnsi"/>
          <w:b/>
          <w:sz w:val="24"/>
          <w:szCs w:val="24"/>
          <w:lang w:val="en-US"/>
        </w:rPr>
        <w:t>4</w:t>
      </w:r>
      <w:r w:rsidR="00413A6C">
        <w:rPr>
          <w:rFonts w:cstheme="minorHAnsi"/>
          <w:sz w:val="24"/>
          <w:szCs w:val="24"/>
          <w:lang w:val="en-US"/>
        </w:rPr>
        <w:t xml:space="preserve">). Despite this, </w:t>
      </w:r>
      <w:r w:rsidR="00E53E14">
        <w:rPr>
          <w:rFonts w:cstheme="minorHAnsi"/>
          <w:sz w:val="24"/>
          <w:szCs w:val="24"/>
          <w:lang w:val="en-US"/>
        </w:rPr>
        <w:t xml:space="preserve">the SGLT2-I users vs. Non-SGLT2-I users evidenced a significant difference about the </w:t>
      </w:r>
      <w:r w:rsidR="00F665C0" w:rsidRPr="00F665C0">
        <w:rPr>
          <w:rFonts w:cstheme="minorHAnsi"/>
          <w:sz w:val="24"/>
          <w:szCs w:val="24"/>
          <w:lang w:val="en-US"/>
        </w:rPr>
        <w:t>H/</w:t>
      </w:r>
      <w:proofErr w:type="spellStart"/>
      <w:r w:rsidR="00F665C0" w:rsidRPr="00F665C0">
        <w:rPr>
          <w:rFonts w:cstheme="minorHAnsi"/>
          <w:sz w:val="24"/>
          <w:szCs w:val="24"/>
          <w:lang w:val="en-US"/>
        </w:rPr>
        <w:t>M</w:t>
      </w:r>
      <w:r w:rsidR="00F665C0" w:rsidRPr="00F665C0">
        <w:rPr>
          <w:rFonts w:cstheme="minorHAnsi"/>
          <w:sz w:val="24"/>
          <w:szCs w:val="24"/>
          <w:vertAlign w:val="subscript"/>
          <w:lang w:val="en-US"/>
        </w:rPr>
        <w:t>late</w:t>
      </w:r>
      <w:proofErr w:type="spellEnd"/>
      <w:r w:rsidR="00F665C0">
        <w:rPr>
          <w:rFonts w:cstheme="minorHAnsi"/>
          <w:sz w:val="24"/>
          <w:szCs w:val="24"/>
          <w:lang w:val="en-US"/>
        </w:rPr>
        <w:t xml:space="preserve"> and WR values at follow-up end (p&lt;0.05). </w:t>
      </w:r>
      <w:r w:rsidR="00F665C0" w:rsidRPr="00413A6C">
        <w:rPr>
          <w:rFonts w:cstheme="minorHAnsi"/>
          <w:sz w:val="24"/>
          <w:szCs w:val="24"/>
          <w:lang w:val="en-US"/>
        </w:rPr>
        <w:t xml:space="preserve">However, this </w:t>
      </w:r>
      <w:r w:rsidR="00F665C0" w:rsidRPr="00413A6C">
        <w:rPr>
          <w:rFonts w:cstheme="minorHAnsi"/>
          <w:sz w:val="24"/>
          <w:szCs w:val="24"/>
          <w:lang w:val="en-US"/>
        </w:rPr>
        <w:lastRenderedPageBreak/>
        <w:t xml:space="preserve">could confirm in the </w:t>
      </w:r>
      <w:r w:rsidR="00BC4ED9" w:rsidRPr="00413A6C">
        <w:rPr>
          <w:sz w:val="24"/>
          <w:szCs w:val="24"/>
          <w:lang w:val="en-US"/>
        </w:rPr>
        <w:t>T2DM patients a significant and chronic myocardial denervation that</w:t>
      </w:r>
      <w:r w:rsidR="00F665C0" w:rsidRPr="00413A6C">
        <w:rPr>
          <w:sz w:val="24"/>
          <w:szCs w:val="24"/>
          <w:lang w:val="en-US"/>
        </w:rPr>
        <w:t>, lin</w:t>
      </w:r>
      <w:r w:rsidR="00C56D1D">
        <w:rPr>
          <w:sz w:val="24"/>
          <w:szCs w:val="24"/>
          <w:lang w:val="en-US"/>
        </w:rPr>
        <w:t>k</w:t>
      </w:r>
      <w:r w:rsidR="00F665C0" w:rsidRPr="00413A6C">
        <w:rPr>
          <w:sz w:val="24"/>
          <w:szCs w:val="24"/>
          <w:lang w:val="en-US"/>
        </w:rPr>
        <w:t xml:space="preserve">ed to </w:t>
      </w:r>
      <w:r w:rsidR="00C56D1D">
        <w:rPr>
          <w:sz w:val="24"/>
          <w:szCs w:val="24"/>
          <w:lang w:val="en-US"/>
        </w:rPr>
        <w:t xml:space="preserve">the </w:t>
      </w:r>
      <w:r w:rsidR="00F665C0" w:rsidRPr="00413A6C">
        <w:rPr>
          <w:sz w:val="24"/>
          <w:szCs w:val="24"/>
          <w:lang w:val="en-US"/>
        </w:rPr>
        <w:t>over-sympathetic system activation</w:t>
      </w:r>
      <w:r w:rsidR="00BC4ED9" w:rsidRPr="00413A6C">
        <w:rPr>
          <w:sz w:val="24"/>
          <w:szCs w:val="24"/>
          <w:lang w:val="en-US"/>
        </w:rPr>
        <w:t xml:space="preserve">, could be </w:t>
      </w:r>
      <w:r w:rsidR="00F665C0" w:rsidRPr="00413A6C">
        <w:rPr>
          <w:sz w:val="24"/>
          <w:szCs w:val="24"/>
          <w:lang w:val="en-US"/>
        </w:rPr>
        <w:t xml:space="preserve">a </w:t>
      </w:r>
      <w:r w:rsidR="00C56D1D">
        <w:rPr>
          <w:sz w:val="24"/>
          <w:szCs w:val="24"/>
          <w:lang w:val="en-US"/>
        </w:rPr>
        <w:t xml:space="preserve">main </w:t>
      </w:r>
      <w:r w:rsidR="00F665C0" w:rsidRPr="00413A6C">
        <w:rPr>
          <w:sz w:val="24"/>
          <w:szCs w:val="24"/>
          <w:lang w:val="en-US"/>
        </w:rPr>
        <w:t>determinant</w:t>
      </w:r>
      <w:r w:rsidR="00BC4ED9" w:rsidRPr="00413A6C">
        <w:rPr>
          <w:sz w:val="24"/>
          <w:szCs w:val="24"/>
          <w:lang w:val="en-US"/>
        </w:rPr>
        <w:t xml:space="preserve"> cause of </w:t>
      </w:r>
      <w:r w:rsidR="00C56D1D">
        <w:rPr>
          <w:sz w:val="24"/>
          <w:szCs w:val="24"/>
          <w:lang w:val="en-US"/>
        </w:rPr>
        <w:t xml:space="preserve">the </w:t>
      </w:r>
      <w:r w:rsidR="00BC4ED9" w:rsidRPr="00413A6C">
        <w:rPr>
          <w:sz w:val="24"/>
          <w:szCs w:val="24"/>
          <w:lang w:val="en-US"/>
        </w:rPr>
        <w:t xml:space="preserve">VVS recurrence </w:t>
      </w:r>
      <w:r w:rsidR="00E53E14">
        <w:rPr>
          <w:sz w:val="24"/>
          <w:szCs w:val="24"/>
          <w:lang w:val="en-US"/>
        </w:rPr>
        <w:t xml:space="preserve">at follow-up end </w:t>
      </w:r>
      <w:r w:rsidR="00BC4ED9" w:rsidRPr="00413A6C">
        <w:rPr>
          <w:sz w:val="24"/>
          <w:szCs w:val="24"/>
          <w:lang w:val="en-US"/>
        </w:rPr>
        <w:t>(</w:t>
      </w:r>
      <w:r w:rsidR="00F665C0" w:rsidRPr="00413A6C">
        <w:rPr>
          <w:b/>
          <w:sz w:val="24"/>
          <w:szCs w:val="24"/>
          <w:lang w:val="en-US"/>
        </w:rPr>
        <w:t>4</w:t>
      </w:r>
      <w:r w:rsidR="00BC4ED9" w:rsidRPr="00413A6C">
        <w:rPr>
          <w:sz w:val="24"/>
          <w:szCs w:val="24"/>
          <w:lang w:val="en-US"/>
        </w:rPr>
        <w:t xml:space="preserve">). </w:t>
      </w:r>
      <w:r w:rsidR="002A3C8A">
        <w:rPr>
          <w:sz w:val="24"/>
          <w:szCs w:val="24"/>
          <w:lang w:val="en-US"/>
        </w:rPr>
        <w:t>Therefore</w:t>
      </w:r>
      <w:r w:rsidR="00BC4ED9" w:rsidRPr="00413A6C">
        <w:rPr>
          <w:sz w:val="24"/>
          <w:szCs w:val="24"/>
          <w:lang w:val="en-US"/>
        </w:rPr>
        <w:t xml:space="preserve">, we might conclude that </w:t>
      </w:r>
      <w:r w:rsidR="00EF1E64" w:rsidRPr="00413A6C">
        <w:rPr>
          <w:sz w:val="24"/>
          <w:szCs w:val="24"/>
          <w:lang w:val="en-US"/>
        </w:rPr>
        <w:t xml:space="preserve">in </w:t>
      </w:r>
      <w:r w:rsidRPr="00413A6C">
        <w:rPr>
          <w:sz w:val="24"/>
          <w:szCs w:val="24"/>
          <w:lang w:val="en-US"/>
        </w:rPr>
        <w:t xml:space="preserve">the </w:t>
      </w:r>
      <w:r w:rsidR="00F665C0" w:rsidRPr="00413A6C">
        <w:rPr>
          <w:sz w:val="24"/>
          <w:szCs w:val="24"/>
          <w:lang w:val="en-US"/>
        </w:rPr>
        <w:t xml:space="preserve">T2DM </w:t>
      </w:r>
      <w:r w:rsidR="00EF1E64" w:rsidRPr="00413A6C">
        <w:rPr>
          <w:sz w:val="24"/>
          <w:szCs w:val="24"/>
          <w:lang w:val="en-US"/>
        </w:rPr>
        <w:t>patient</w:t>
      </w:r>
      <w:r w:rsidR="003F01FE">
        <w:rPr>
          <w:sz w:val="24"/>
          <w:szCs w:val="24"/>
          <w:lang w:val="en-US"/>
        </w:rPr>
        <w:t xml:space="preserve">s with VVS recurrence, the over stimulation of the </w:t>
      </w:r>
      <w:r w:rsidR="00EF1E64" w:rsidRPr="00413A6C">
        <w:rPr>
          <w:sz w:val="24"/>
          <w:szCs w:val="24"/>
          <w:lang w:val="en-US"/>
        </w:rPr>
        <w:t>vagal tone</w:t>
      </w:r>
      <w:r w:rsidR="00BC4ED9" w:rsidRPr="00413A6C">
        <w:rPr>
          <w:sz w:val="24"/>
          <w:szCs w:val="24"/>
          <w:lang w:val="en-US"/>
        </w:rPr>
        <w:t xml:space="preserve"> is </w:t>
      </w:r>
      <w:r w:rsidR="00F665C0" w:rsidRPr="00413A6C">
        <w:rPr>
          <w:sz w:val="24"/>
          <w:szCs w:val="24"/>
          <w:lang w:val="en-US"/>
        </w:rPr>
        <w:t>a negative</w:t>
      </w:r>
      <w:r w:rsidR="00BC4ED9" w:rsidRPr="00413A6C">
        <w:rPr>
          <w:sz w:val="24"/>
          <w:szCs w:val="24"/>
          <w:lang w:val="en-US"/>
        </w:rPr>
        <w:t xml:space="preserve"> player together with chronic and impaired cardiac innervation</w:t>
      </w:r>
      <w:r w:rsidR="00E53E14">
        <w:rPr>
          <w:sz w:val="24"/>
          <w:szCs w:val="24"/>
          <w:lang w:val="en-US"/>
        </w:rPr>
        <w:t>,</w:t>
      </w:r>
      <w:r w:rsidR="003F01FE">
        <w:rPr>
          <w:sz w:val="24"/>
          <w:szCs w:val="24"/>
          <w:lang w:val="en-US"/>
        </w:rPr>
        <w:t xml:space="preserve"> and sympathetic system over </w:t>
      </w:r>
      <w:r w:rsidRPr="00413A6C">
        <w:rPr>
          <w:sz w:val="24"/>
          <w:szCs w:val="24"/>
          <w:lang w:val="en-US"/>
        </w:rPr>
        <w:t>activation</w:t>
      </w:r>
      <w:r w:rsidR="00BC4ED9" w:rsidRPr="00413A6C">
        <w:rPr>
          <w:sz w:val="24"/>
          <w:szCs w:val="24"/>
          <w:lang w:val="en-US"/>
        </w:rPr>
        <w:t>.</w:t>
      </w:r>
      <w:r w:rsidR="00F665C0" w:rsidRPr="00413A6C">
        <w:rPr>
          <w:sz w:val="24"/>
          <w:szCs w:val="24"/>
          <w:lang w:val="en-US"/>
        </w:rPr>
        <w:t xml:space="preserve"> To date, this complex vagal</w:t>
      </w:r>
      <w:r w:rsidR="00F665C0">
        <w:rPr>
          <w:sz w:val="24"/>
          <w:szCs w:val="24"/>
          <w:lang w:val="en-US"/>
        </w:rPr>
        <w:t>/sympathetic axis could be investigated</w:t>
      </w:r>
      <w:r w:rsidR="00A961AF">
        <w:rPr>
          <w:sz w:val="24"/>
          <w:szCs w:val="24"/>
          <w:lang w:val="en-US"/>
        </w:rPr>
        <w:t xml:space="preserve"> by </w:t>
      </w:r>
      <w:r w:rsidR="00C56D1D">
        <w:rPr>
          <w:sz w:val="24"/>
          <w:szCs w:val="24"/>
          <w:lang w:val="en-US"/>
        </w:rPr>
        <w:t xml:space="preserve">the </w:t>
      </w:r>
      <w:r w:rsidR="00A961AF">
        <w:rPr>
          <w:sz w:val="24"/>
          <w:szCs w:val="24"/>
          <w:lang w:val="en-US"/>
        </w:rPr>
        <w:t xml:space="preserve">HRV and MIBG parameters in T2DM with VVS recurrence at follow-up. </w:t>
      </w:r>
      <w:r w:rsidR="00E53E14">
        <w:rPr>
          <w:sz w:val="24"/>
          <w:szCs w:val="24"/>
          <w:lang w:val="en-US"/>
        </w:rPr>
        <w:t xml:space="preserve">In this setting, </w:t>
      </w:r>
      <w:r w:rsidR="00BC4ED9">
        <w:rPr>
          <w:sz w:val="24"/>
          <w:szCs w:val="24"/>
          <w:lang w:val="en-US"/>
        </w:rPr>
        <w:t xml:space="preserve">the </w:t>
      </w:r>
      <w:r w:rsidR="00D548C0">
        <w:rPr>
          <w:sz w:val="24"/>
          <w:szCs w:val="24"/>
          <w:lang w:val="en-US"/>
        </w:rPr>
        <w:t>SGLT2-I</w:t>
      </w:r>
      <w:r w:rsidR="00E53E14">
        <w:rPr>
          <w:sz w:val="24"/>
          <w:szCs w:val="24"/>
          <w:lang w:val="en-US"/>
        </w:rPr>
        <w:t xml:space="preserve"> are drugs that could modulate the</w:t>
      </w:r>
      <w:r>
        <w:rPr>
          <w:sz w:val="24"/>
          <w:szCs w:val="24"/>
          <w:lang w:val="en-US"/>
        </w:rPr>
        <w:t xml:space="preserve"> sympathetic system</w:t>
      </w:r>
      <w:r w:rsidR="003F01FE">
        <w:rPr>
          <w:sz w:val="24"/>
          <w:szCs w:val="24"/>
          <w:lang w:val="en-US"/>
        </w:rPr>
        <w:t xml:space="preserve"> </w:t>
      </w:r>
      <w:r w:rsidR="00A961AF">
        <w:rPr>
          <w:sz w:val="24"/>
          <w:szCs w:val="24"/>
          <w:lang w:val="en-US"/>
        </w:rPr>
        <w:t>(</w:t>
      </w:r>
      <w:r w:rsidR="00A961AF" w:rsidRPr="00A961AF">
        <w:rPr>
          <w:b/>
          <w:sz w:val="24"/>
          <w:szCs w:val="24"/>
          <w:lang w:val="en-US"/>
        </w:rPr>
        <w:t>5</w:t>
      </w:r>
      <w:r w:rsidR="00A961AF">
        <w:rPr>
          <w:sz w:val="24"/>
          <w:szCs w:val="24"/>
          <w:lang w:val="en-US"/>
        </w:rPr>
        <w:t xml:space="preserve">, </w:t>
      </w:r>
      <w:r w:rsidR="00A961AF" w:rsidRPr="00A961AF">
        <w:rPr>
          <w:b/>
          <w:sz w:val="24"/>
          <w:szCs w:val="24"/>
          <w:lang w:val="en-US"/>
        </w:rPr>
        <w:t>6</w:t>
      </w:r>
      <w:r w:rsidR="00A961AF">
        <w:rPr>
          <w:sz w:val="24"/>
          <w:szCs w:val="24"/>
          <w:lang w:val="en-US"/>
        </w:rPr>
        <w:t>)</w:t>
      </w:r>
      <w:r w:rsidR="00BC4ED9">
        <w:rPr>
          <w:sz w:val="24"/>
          <w:szCs w:val="24"/>
          <w:lang w:val="en-US"/>
        </w:rPr>
        <w:t>,</w:t>
      </w:r>
      <w:r>
        <w:rPr>
          <w:sz w:val="24"/>
          <w:szCs w:val="24"/>
          <w:lang w:val="en-US"/>
        </w:rPr>
        <w:t xml:space="preserve"> </w:t>
      </w:r>
      <w:r w:rsidR="00E53E14">
        <w:rPr>
          <w:sz w:val="24"/>
          <w:szCs w:val="24"/>
          <w:lang w:val="en-US"/>
        </w:rPr>
        <w:t xml:space="preserve">via the </w:t>
      </w:r>
      <w:r w:rsidR="00BC4ED9">
        <w:rPr>
          <w:sz w:val="24"/>
          <w:szCs w:val="24"/>
          <w:lang w:val="en-US"/>
        </w:rPr>
        <w:t>control/</w:t>
      </w:r>
      <w:r w:rsidR="00E53E14">
        <w:rPr>
          <w:sz w:val="24"/>
          <w:szCs w:val="24"/>
          <w:lang w:val="en-US"/>
        </w:rPr>
        <w:t>regulation of</w:t>
      </w:r>
      <w:r w:rsidR="00BC4ED9">
        <w:rPr>
          <w:sz w:val="24"/>
          <w:szCs w:val="24"/>
          <w:lang w:val="en-US"/>
        </w:rPr>
        <w:t xml:space="preserve"> the </w:t>
      </w:r>
      <w:r w:rsidR="003F01FE">
        <w:rPr>
          <w:sz w:val="24"/>
          <w:szCs w:val="24"/>
          <w:lang w:val="en-US"/>
        </w:rPr>
        <w:t>CAN</w:t>
      </w:r>
      <w:r w:rsidR="00BC4ED9">
        <w:rPr>
          <w:sz w:val="24"/>
          <w:szCs w:val="24"/>
          <w:lang w:val="en-US"/>
        </w:rPr>
        <w:t>.</w:t>
      </w:r>
      <w:r w:rsidR="00A961AF">
        <w:rPr>
          <w:sz w:val="24"/>
          <w:szCs w:val="24"/>
          <w:lang w:val="en-US"/>
        </w:rPr>
        <w:t xml:space="preserve"> Thus, </w:t>
      </w:r>
      <w:r w:rsidR="002544CC">
        <w:rPr>
          <w:sz w:val="24"/>
          <w:szCs w:val="24"/>
          <w:lang w:val="en-US"/>
        </w:rPr>
        <w:t xml:space="preserve">SGLT2-I could </w:t>
      </w:r>
      <w:bookmarkStart w:id="0" w:name="_GoBack"/>
      <w:bookmarkEnd w:id="0"/>
      <w:r w:rsidR="002544CC">
        <w:rPr>
          <w:sz w:val="24"/>
          <w:szCs w:val="24"/>
          <w:lang w:val="en-US"/>
        </w:rPr>
        <w:t>modulate</w:t>
      </w:r>
      <w:r w:rsidR="00A961AF">
        <w:rPr>
          <w:sz w:val="24"/>
          <w:szCs w:val="24"/>
          <w:lang w:val="en-US"/>
        </w:rPr>
        <w:t xml:space="preserve"> the </w:t>
      </w:r>
      <w:r w:rsidR="00EF1E64">
        <w:rPr>
          <w:sz w:val="24"/>
          <w:szCs w:val="24"/>
          <w:lang w:val="en-US"/>
        </w:rPr>
        <w:t xml:space="preserve">significant cardiac denervation </w:t>
      </w:r>
      <w:r w:rsidR="00A961AF">
        <w:rPr>
          <w:sz w:val="24"/>
          <w:szCs w:val="24"/>
          <w:lang w:val="en-US"/>
        </w:rPr>
        <w:t>in the T2DM with VVS</w:t>
      </w:r>
      <w:r w:rsidR="00EF1E64">
        <w:rPr>
          <w:sz w:val="24"/>
          <w:szCs w:val="24"/>
          <w:lang w:val="en-US"/>
        </w:rPr>
        <w:t>.</w:t>
      </w:r>
      <w:r w:rsidR="00A961AF">
        <w:rPr>
          <w:sz w:val="24"/>
          <w:szCs w:val="24"/>
          <w:lang w:val="en-US"/>
        </w:rPr>
        <w:t xml:space="preserve"> Moreover, </w:t>
      </w:r>
      <w:r>
        <w:rPr>
          <w:sz w:val="24"/>
          <w:szCs w:val="24"/>
          <w:lang w:val="en-US"/>
        </w:rPr>
        <w:t xml:space="preserve">we might speculate that </w:t>
      </w:r>
      <w:r w:rsidR="00A961AF">
        <w:rPr>
          <w:sz w:val="24"/>
          <w:szCs w:val="24"/>
          <w:lang w:val="en-US"/>
        </w:rPr>
        <w:t xml:space="preserve">these effects </w:t>
      </w:r>
      <w:r w:rsidR="002544CC">
        <w:rPr>
          <w:sz w:val="24"/>
          <w:szCs w:val="24"/>
          <w:lang w:val="en-US"/>
        </w:rPr>
        <w:t>might</w:t>
      </w:r>
      <w:r w:rsidR="00A961AF">
        <w:rPr>
          <w:sz w:val="24"/>
          <w:szCs w:val="24"/>
          <w:lang w:val="en-US"/>
        </w:rPr>
        <w:t xml:space="preserve"> lead to </w:t>
      </w:r>
      <w:r w:rsidR="002544CC">
        <w:rPr>
          <w:sz w:val="24"/>
          <w:szCs w:val="24"/>
          <w:lang w:val="en-US"/>
        </w:rPr>
        <w:t xml:space="preserve">the reduction of VVS recurrence </w:t>
      </w:r>
      <w:r w:rsidR="00A961AF">
        <w:rPr>
          <w:sz w:val="24"/>
          <w:szCs w:val="24"/>
          <w:lang w:val="en-US"/>
        </w:rPr>
        <w:t>at 1 year of follow-up</w:t>
      </w:r>
      <w:r w:rsidR="00A716C1">
        <w:rPr>
          <w:sz w:val="24"/>
          <w:szCs w:val="24"/>
          <w:lang w:val="en-US"/>
        </w:rPr>
        <w:t xml:space="preserve"> in the</w:t>
      </w:r>
      <w:r w:rsidR="00A961AF">
        <w:rPr>
          <w:sz w:val="24"/>
          <w:szCs w:val="24"/>
          <w:lang w:val="en-US"/>
        </w:rPr>
        <w:t xml:space="preserve"> SGLT2-I users vs. </w:t>
      </w:r>
      <w:r w:rsidR="000019D4">
        <w:rPr>
          <w:sz w:val="24"/>
          <w:szCs w:val="24"/>
          <w:lang w:val="en-US"/>
        </w:rPr>
        <w:t>Non-SGLT2-I</w:t>
      </w:r>
      <w:r w:rsidR="00A961AF">
        <w:rPr>
          <w:sz w:val="24"/>
          <w:szCs w:val="24"/>
          <w:lang w:val="en-US"/>
        </w:rPr>
        <w:t xml:space="preserve"> </w:t>
      </w:r>
      <w:r>
        <w:rPr>
          <w:sz w:val="24"/>
          <w:szCs w:val="24"/>
          <w:lang w:val="en-US"/>
        </w:rPr>
        <w:t>users’</w:t>
      </w:r>
      <w:r w:rsidR="00A961AF">
        <w:rPr>
          <w:sz w:val="24"/>
          <w:szCs w:val="24"/>
          <w:lang w:val="en-US"/>
        </w:rPr>
        <w:t xml:space="preserve"> </w:t>
      </w:r>
      <w:r w:rsidR="002544CC">
        <w:rPr>
          <w:sz w:val="24"/>
          <w:szCs w:val="24"/>
          <w:lang w:val="en-US"/>
        </w:rPr>
        <w:t>patien</w:t>
      </w:r>
      <w:r w:rsidR="00545AAE">
        <w:rPr>
          <w:sz w:val="24"/>
          <w:szCs w:val="24"/>
          <w:lang w:val="en-US"/>
        </w:rPr>
        <w:t xml:space="preserve">ts. Future studies will </w:t>
      </w:r>
      <w:r w:rsidR="00A961AF">
        <w:rPr>
          <w:sz w:val="24"/>
          <w:szCs w:val="24"/>
          <w:lang w:val="en-US"/>
        </w:rPr>
        <w:t>be designed to fully evaluate the CAN and VVS recurrence in T2DM</w:t>
      </w:r>
      <w:r w:rsidR="002544CC">
        <w:rPr>
          <w:sz w:val="24"/>
          <w:szCs w:val="24"/>
          <w:lang w:val="en-US"/>
        </w:rPr>
        <w:t>,</w:t>
      </w:r>
      <w:r w:rsidR="00A961AF">
        <w:rPr>
          <w:sz w:val="24"/>
          <w:szCs w:val="24"/>
          <w:lang w:val="en-US"/>
        </w:rPr>
        <w:t xml:space="preserve"> and th</w:t>
      </w:r>
      <w:r w:rsidR="002544CC">
        <w:rPr>
          <w:sz w:val="24"/>
          <w:szCs w:val="24"/>
          <w:lang w:val="en-US"/>
        </w:rPr>
        <w:t>e regulative/ameliorative effects played by the SGLT2-I</w:t>
      </w:r>
      <w:r w:rsidR="00545AAE">
        <w:rPr>
          <w:sz w:val="24"/>
          <w:szCs w:val="24"/>
          <w:lang w:val="en-US"/>
        </w:rPr>
        <w:t xml:space="preserve"> at long-term follow-up and in a larger sample of patients.</w:t>
      </w:r>
    </w:p>
    <w:p w:rsidR="00A961AF" w:rsidRDefault="00A961AF" w:rsidP="00BC4ED9">
      <w:pPr>
        <w:spacing w:line="480" w:lineRule="auto"/>
        <w:rPr>
          <w:sz w:val="24"/>
          <w:szCs w:val="24"/>
          <w:lang w:val="en-US"/>
        </w:rPr>
      </w:pPr>
    </w:p>
    <w:p w:rsidR="001A7495" w:rsidRDefault="001A7495" w:rsidP="00BC4ED9">
      <w:pPr>
        <w:spacing w:line="480" w:lineRule="auto"/>
        <w:rPr>
          <w:sz w:val="24"/>
          <w:szCs w:val="24"/>
          <w:lang w:val="en-US"/>
        </w:rPr>
      </w:pPr>
    </w:p>
    <w:p w:rsidR="001A7495" w:rsidRDefault="001A7495" w:rsidP="00BC4ED9">
      <w:pPr>
        <w:spacing w:line="480" w:lineRule="auto"/>
        <w:rPr>
          <w:sz w:val="24"/>
          <w:szCs w:val="24"/>
          <w:lang w:val="en-US"/>
        </w:rPr>
      </w:pPr>
    </w:p>
    <w:p w:rsidR="001A7495" w:rsidRDefault="001A7495" w:rsidP="00BC4ED9">
      <w:pPr>
        <w:spacing w:line="480" w:lineRule="auto"/>
        <w:rPr>
          <w:sz w:val="24"/>
          <w:szCs w:val="24"/>
          <w:lang w:val="en-US"/>
        </w:rPr>
      </w:pPr>
    </w:p>
    <w:p w:rsidR="001A7495" w:rsidRDefault="001A7495" w:rsidP="00BC4ED9">
      <w:pPr>
        <w:spacing w:line="480" w:lineRule="auto"/>
        <w:rPr>
          <w:sz w:val="24"/>
          <w:szCs w:val="24"/>
          <w:lang w:val="en-US"/>
        </w:rPr>
      </w:pPr>
    </w:p>
    <w:p w:rsidR="001A7495" w:rsidRDefault="001A7495" w:rsidP="00BC4ED9">
      <w:pPr>
        <w:spacing w:line="480" w:lineRule="auto"/>
        <w:rPr>
          <w:sz w:val="24"/>
          <w:szCs w:val="24"/>
          <w:lang w:val="en-US"/>
        </w:rPr>
      </w:pPr>
    </w:p>
    <w:p w:rsidR="00A716C1" w:rsidRDefault="00A716C1" w:rsidP="00BC4ED9">
      <w:pPr>
        <w:spacing w:line="480" w:lineRule="auto"/>
        <w:rPr>
          <w:sz w:val="24"/>
          <w:szCs w:val="24"/>
          <w:lang w:val="en-US"/>
        </w:rPr>
      </w:pPr>
    </w:p>
    <w:p w:rsidR="001A7495" w:rsidRDefault="001A7495" w:rsidP="00BC4ED9">
      <w:pPr>
        <w:spacing w:line="480" w:lineRule="auto"/>
        <w:rPr>
          <w:sz w:val="24"/>
          <w:szCs w:val="24"/>
          <w:lang w:val="en-US"/>
        </w:rPr>
      </w:pPr>
    </w:p>
    <w:p w:rsidR="001A7495" w:rsidRPr="001A7495" w:rsidRDefault="001A7495" w:rsidP="001A7495">
      <w:pPr>
        <w:spacing w:line="480" w:lineRule="auto"/>
        <w:rPr>
          <w:b/>
          <w:sz w:val="24"/>
          <w:szCs w:val="24"/>
          <w:lang w:val="en-US"/>
        </w:rPr>
      </w:pPr>
      <w:r w:rsidRPr="001A7495">
        <w:rPr>
          <w:b/>
          <w:sz w:val="24"/>
          <w:szCs w:val="24"/>
          <w:lang w:val="en-US"/>
        </w:rPr>
        <w:lastRenderedPageBreak/>
        <w:t xml:space="preserve">Tables’ legend. </w:t>
      </w:r>
    </w:p>
    <w:p w:rsidR="00A961AF" w:rsidRDefault="001A7495" w:rsidP="000F21C6">
      <w:pPr>
        <w:spacing w:line="480" w:lineRule="auto"/>
        <w:rPr>
          <w:sz w:val="24"/>
          <w:szCs w:val="24"/>
          <w:lang w:val="en-US"/>
        </w:rPr>
      </w:pPr>
      <w:r w:rsidRPr="001A7495">
        <w:rPr>
          <w:b/>
          <w:sz w:val="24"/>
          <w:szCs w:val="24"/>
          <w:lang w:val="en-US"/>
        </w:rPr>
        <w:t>Supplementary table 1</w:t>
      </w:r>
      <w:r w:rsidRPr="001A7495">
        <w:rPr>
          <w:sz w:val="24"/>
          <w:szCs w:val="24"/>
          <w:lang w:val="en-US"/>
        </w:rPr>
        <w:t xml:space="preserve">. </w:t>
      </w:r>
      <w:r>
        <w:rPr>
          <w:sz w:val="24"/>
          <w:szCs w:val="24"/>
          <w:lang w:val="en-US"/>
        </w:rPr>
        <w:t>In this table the p</w:t>
      </w:r>
      <w:r w:rsidRPr="001A7495">
        <w:rPr>
          <w:sz w:val="24"/>
          <w:szCs w:val="24"/>
          <w:lang w:val="en-US"/>
        </w:rPr>
        <w:t xml:space="preserve">arameters of </w:t>
      </w:r>
      <w:proofErr w:type="spellStart"/>
      <w:r w:rsidRPr="001A7495">
        <w:rPr>
          <w:sz w:val="24"/>
          <w:szCs w:val="24"/>
          <w:lang w:val="en-US"/>
        </w:rPr>
        <w:t>vaso</w:t>
      </w:r>
      <w:proofErr w:type="spellEnd"/>
      <w:r w:rsidRPr="001A7495">
        <w:rPr>
          <w:sz w:val="24"/>
          <w:szCs w:val="24"/>
          <w:lang w:val="en-US"/>
        </w:rPr>
        <w:t xml:space="preserve">-vagal and sympathetic tone dysfunction at baseline and at 1 year of follow-up in patients that evidenced all causes of syncope recurrence (A), </w:t>
      </w:r>
      <w:proofErr w:type="spellStart"/>
      <w:r w:rsidRPr="001A7495">
        <w:rPr>
          <w:sz w:val="24"/>
          <w:szCs w:val="24"/>
          <w:lang w:val="en-US"/>
        </w:rPr>
        <w:t>vaso</w:t>
      </w:r>
      <w:proofErr w:type="spellEnd"/>
      <w:r w:rsidRPr="001A7495">
        <w:rPr>
          <w:sz w:val="24"/>
          <w:szCs w:val="24"/>
          <w:lang w:val="en-US"/>
        </w:rPr>
        <w:t>-depressor syncope (B), cardio-inhibitory syncope (C), and mixed syncope (D).</w:t>
      </w:r>
      <w:r w:rsidR="000F21C6">
        <w:rPr>
          <w:sz w:val="24"/>
          <w:szCs w:val="24"/>
          <w:lang w:val="en-US"/>
        </w:rPr>
        <w:t xml:space="preserve"> </w:t>
      </w:r>
      <w:r w:rsidRPr="001A7495">
        <w:rPr>
          <w:sz w:val="24"/>
          <w:szCs w:val="24"/>
          <w:lang w:val="en-US"/>
        </w:rPr>
        <w:t>LF</w:t>
      </w:r>
      <w:r>
        <w:rPr>
          <w:sz w:val="24"/>
          <w:szCs w:val="24"/>
          <w:lang w:val="en-US"/>
        </w:rPr>
        <w:t xml:space="preserve">: low frequency; </w:t>
      </w:r>
      <w:r w:rsidRPr="001A7495">
        <w:rPr>
          <w:sz w:val="24"/>
          <w:szCs w:val="24"/>
          <w:lang w:val="en-US"/>
        </w:rPr>
        <w:t>HF</w:t>
      </w:r>
      <w:r>
        <w:rPr>
          <w:sz w:val="24"/>
          <w:szCs w:val="24"/>
          <w:lang w:val="en-US"/>
        </w:rPr>
        <w:t xml:space="preserve">: high frequency; </w:t>
      </w:r>
      <w:r w:rsidR="002544CC">
        <w:rPr>
          <w:sz w:val="24"/>
          <w:szCs w:val="24"/>
          <w:lang w:val="en-US"/>
        </w:rPr>
        <w:t>123I-M</w:t>
      </w:r>
      <w:r w:rsidR="000F21C6" w:rsidRPr="000F21C6">
        <w:rPr>
          <w:sz w:val="24"/>
          <w:szCs w:val="24"/>
          <w:lang w:val="en-US"/>
        </w:rPr>
        <w:t>IBG</w:t>
      </w:r>
      <w:r w:rsidR="000F21C6">
        <w:rPr>
          <w:sz w:val="24"/>
          <w:szCs w:val="24"/>
          <w:lang w:val="en-US"/>
        </w:rPr>
        <w:t xml:space="preserve">: </w:t>
      </w:r>
      <w:r w:rsidR="000F21C6" w:rsidRPr="000F21C6">
        <w:rPr>
          <w:sz w:val="24"/>
          <w:szCs w:val="24"/>
          <w:lang w:val="en-US"/>
        </w:rPr>
        <w:t>123I-metaiodobenzylguanidine</w:t>
      </w:r>
      <w:r w:rsidR="000F21C6">
        <w:rPr>
          <w:sz w:val="24"/>
          <w:szCs w:val="24"/>
          <w:lang w:val="en-US"/>
        </w:rPr>
        <w:t xml:space="preserve">. * is for statistical significant (p&lt;0.05). </w:t>
      </w:r>
    </w:p>
    <w:p w:rsidR="005A181C" w:rsidRDefault="000F21C6" w:rsidP="000F21C6">
      <w:pPr>
        <w:spacing w:line="480" w:lineRule="auto"/>
        <w:rPr>
          <w:sz w:val="24"/>
          <w:szCs w:val="24"/>
          <w:lang w:val="en-US"/>
        </w:rPr>
      </w:pPr>
      <w:r>
        <w:rPr>
          <w:b/>
          <w:sz w:val="24"/>
          <w:szCs w:val="24"/>
          <w:lang w:val="en-US"/>
        </w:rPr>
        <w:t>Supplementary table 2</w:t>
      </w:r>
      <w:r w:rsidRPr="001A7495">
        <w:rPr>
          <w:sz w:val="24"/>
          <w:szCs w:val="24"/>
          <w:lang w:val="en-US"/>
        </w:rPr>
        <w:t xml:space="preserve">. </w:t>
      </w:r>
      <w:r w:rsidRPr="000F21C6">
        <w:rPr>
          <w:sz w:val="24"/>
          <w:szCs w:val="24"/>
          <w:lang w:val="en-US"/>
        </w:rPr>
        <w:t xml:space="preserve">In this table the </w:t>
      </w:r>
      <w:r w:rsidRPr="000F21C6">
        <w:rPr>
          <w:rFonts w:cstheme="minorHAnsi"/>
          <w:sz w:val="24"/>
          <w:szCs w:val="24"/>
          <w:lang w:val="en-US"/>
        </w:rPr>
        <w:t xml:space="preserve">Correlation analysis for study variables and delta </w:t>
      </w:r>
      <w:r w:rsidR="002A3C8A" w:rsidRPr="002A3C8A">
        <w:rPr>
          <w:rFonts w:cstheme="minorHAnsi"/>
          <w:sz w:val="24"/>
          <w:szCs w:val="24"/>
          <w:lang w:val="en-US"/>
        </w:rPr>
        <w:t>(</w:t>
      </w:r>
      <w:r w:rsidR="002A3C8A" w:rsidRPr="002A3C8A">
        <w:rPr>
          <w:rFonts w:cstheme="minorHAnsi"/>
          <w:sz w:val="24"/>
          <w:szCs w:val="24"/>
        </w:rPr>
        <w:t>Δ</w:t>
      </w:r>
      <w:r w:rsidR="002A3C8A" w:rsidRPr="002A3C8A">
        <w:rPr>
          <w:rFonts w:cstheme="minorHAnsi"/>
          <w:sz w:val="24"/>
          <w:szCs w:val="24"/>
          <w:lang w:val="en-US"/>
        </w:rPr>
        <w:t>)</w:t>
      </w:r>
      <w:r w:rsidR="002A3C8A" w:rsidRPr="002A3C8A">
        <w:rPr>
          <w:rFonts w:cstheme="minorHAnsi"/>
          <w:b/>
          <w:sz w:val="24"/>
          <w:szCs w:val="24"/>
          <w:lang w:val="en-US"/>
        </w:rPr>
        <w:t xml:space="preserve"> </w:t>
      </w:r>
      <w:r w:rsidRPr="000F21C6">
        <w:rPr>
          <w:rFonts w:cstheme="minorHAnsi"/>
          <w:sz w:val="24"/>
          <w:szCs w:val="24"/>
          <w:lang w:val="en-US"/>
        </w:rPr>
        <w:t>values of heart rate, LF/</w:t>
      </w:r>
      <w:proofErr w:type="spellStart"/>
      <w:r w:rsidRPr="000F21C6">
        <w:rPr>
          <w:rFonts w:cstheme="minorHAnsi"/>
          <w:sz w:val="24"/>
          <w:szCs w:val="24"/>
          <w:lang w:val="en-US"/>
        </w:rPr>
        <w:t>HFr</w:t>
      </w:r>
      <w:proofErr w:type="spellEnd"/>
      <w:r w:rsidRPr="000F21C6">
        <w:rPr>
          <w:rFonts w:cstheme="minorHAnsi"/>
          <w:sz w:val="24"/>
          <w:szCs w:val="24"/>
          <w:lang w:val="en-US"/>
        </w:rPr>
        <w:t>, Heart to Mediastinum ratio, and Washout rate.</w:t>
      </w:r>
      <w:r>
        <w:rPr>
          <w:rFonts w:cstheme="minorHAnsi"/>
          <w:sz w:val="24"/>
          <w:szCs w:val="24"/>
          <w:lang w:val="en-US"/>
        </w:rPr>
        <w:t xml:space="preserve"> </w:t>
      </w:r>
      <w:r>
        <w:rPr>
          <w:sz w:val="24"/>
          <w:szCs w:val="24"/>
          <w:lang w:val="en-US"/>
        </w:rPr>
        <w:t xml:space="preserve">CRP: C reactive protein; </w:t>
      </w:r>
      <w:r w:rsidRPr="000F21C6">
        <w:rPr>
          <w:sz w:val="24"/>
          <w:szCs w:val="24"/>
          <w:lang w:val="en-US"/>
        </w:rPr>
        <w:t>LF/</w:t>
      </w:r>
      <w:proofErr w:type="spellStart"/>
      <w:r w:rsidRPr="000F21C6">
        <w:rPr>
          <w:sz w:val="24"/>
          <w:szCs w:val="24"/>
          <w:lang w:val="en-US"/>
        </w:rPr>
        <w:t>HFr</w:t>
      </w:r>
      <w:proofErr w:type="spellEnd"/>
      <w:r>
        <w:rPr>
          <w:sz w:val="24"/>
          <w:szCs w:val="24"/>
          <w:lang w:val="en-US"/>
        </w:rPr>
        <w:t xml:space="preserve">: low frequency to high frequency ratio; LVEF: left ventricle ejection fraction; * is for statistical significant (p&lt;0.05). </w:t>
      </w:r>
    </w:p>
    <w:p w:rsidR="005A181C" w:rsidRDefault="005A181C" w:rsidP="00BC4ED9">
      <w:pPr>
        <w:spacing w:line="480" w:lineRule="auto"/>
        <w:rPr>
          <w:sz w:val="24"/>
          <w:szCs w:val="24"/>
          <w:lang w:val="en-US"/>
        </w:rPr>
      </w:pPr>
    </w:p>
    <w:p w:rsidR="000F21C6" w:rsidRDefault="000F21C6" w:rsidP="00BC4ED9">
      <w:pPr>
        <w:spacing w:line="480" w:lineRule="auto"/>
        <w:rPr>
          <w:sz w:val="24"/>
          <w:szCs w:val="24"/>
          <w:lang w:val="en-US"/>
        </w:rPr>
      </w:pPr>
    </w:p>
    <w:p w:rsidR="000F21C6" w:rsidRDefault="000F21C6" w:rsidP="00BC4ED9">
      <w:pPr>
        <w:spacing w:line="480" w:lineRule="auto"/>
        <w:rPr>
          <w:sz w:val="24"/>
          <w:szCs w:val="24"/>
          <w:lang w:val="en-US"/>
        </w:rPr>
      </w:pPr>
    </w:p>
    <w:p w:rsidR="000F21C6" w:rsidRDefault="000F21C6" w:rsidP="00BC4ED9">
      <w:pPr>
        <w:spacing w:line="480" w:lineRule="auto"/>
        <w:rPr>
          <w:sz w:val="24"/>
          <w:szCs w:val="24"/>
          <w:lang w:val="en-US"/>
        </w:rPr>
      </w:pPr>
    </w:p>
    <w:p w:rsidR="000F21C6" w:rsidRDefault="000F21C6" w:rsidP="00BC4ED9">
      <w:pPr>
        <w:spacing w:line="480" w:lineRule="auto"/>
        <w:rPr>
          <w:sz w:val="24"/>
          <w:szCs w:val="24"/>
          <w:lang w:val="en-US"/>
        </w:rPr>
      </w:pPr>
    </w:p>
    <w:p w:rsidR="000F21C6" w:rsidRDefault="000F21C6" w:rsidP="00BC4ED9">
      <w:pPr>
        <w:spacing w:line="480" w:lineRule="auto"/>
        <w:rPr>
          <w:sz w:val="24"/>
          <w:szCs w:val="24"/>
          <w:lang w:val="en-US"/>
        </w:rPr>
      </w:pPr>
    </w:p>
    <w:p w:rsidR="000F21C6" w:rsidRDefault="000F21C6" w:rsidP="00BC4ED9">
      <w:pPr>
        <w:spacing w:line="480" w:lineRule="auto"/>
        <w:rPr>
          <w:sz w:val="24"/>
          <w:szCs w:val="24"/>
          <w:lang w:val="en-US"/>
        </w:rPr>
      </w:pPr>
    </w:p>
    <w:p w:rsidR="000F21C6" w:rsidRDefault="000F21C6" w:rsidP="00BC4ED9">
      <w:pPr>
        <w:spacing w:line="480" w:lineRule="auto"/>
        <w:rPr>
          <w:sz w:val="24"/>
          <w:szCs w:val="24"/>
          <w:lang w:val="en-US"/>
        </w:rPr>
      </w:pPr>
    </w:p>
    <w:p w:rsidR="005A181C" w:rsidRDefault="005A181C" w:rsidP="00BC4ED9">
      <w:pPr>
        <w:spacing w:line="480" w:lineRule="auto"/>
        <w:rPr>
          <w:sz w:val="24"/>
          <w:szCs w:val="24"/>
          <w:lang w:val="en-US"/>
        </w:rPr>
      </w:pPr>
    </w:p>
    <w:p w:rsidR="005A181C" w:rsidRDefault="005A181C" w:rsidP="00BC4ED9">
      <w:pPr>
        <w:spacing w:line="480" w:lineRule="auto"/>
        <w:rPr>
          <w:sz w:val="24"/>
          <w:szCs w:val="24"/>
          <w:lang w:val="en-US"/>
        </w:rPr>
      </w:pPr>
    </w:p>
    <w:p w:rsidR="00A03009" w:rsidRPr="00B66BA6" w:rsidRDefault="008A17EC" w:rsidP="00A03009">
      <w:pPr>
        <w:spacing w:line="480" w:lineRule="auto"/>
        <w:rPr>
          <w:b/>
          <w:sz w:val="24"/>
          <w:szCs w:val="24"/>
          <w:lang w:val="en-US"/>
        </w:rPr>
      </w:pPr>
      <w:r w:rsidRPr="00B66BA6">
        <w:rPr>
          <w:b/>
          <w:sz w:val="24"/>
          <w:szCs w:val="24"/>
          <w:lang w:val="en-US"/>
        </w:rPr>
        <w:lastRenderedPageBreak/>
        <w:t>References</w:t>
      </w:r>
    </w:p>
    <w:p w:rsidR="001D196E" w:rsidRDefault="008A17EC" w:rsidP="001D196E">
      <w:pPr>
        <w:pStyle w:val="Paragrafoelenco"/>
        <w:numPr>
          <w:ilvl w:val="0"/>
          <w:numId w:val="1"/>
        </w:numPr>
        <w:spacing w:line="240" w:lineRule="auto"/>
        <w:rPr>
          <w:rFonts w:cstheme="minorHAnsi"/>
          <w:sz w:val="24"/>
          <w:szCs w:val="24"/>
          <w:lang w:val="en-US"/>
        </w:rPr>
      </w:pPr>
      <w:r w:rsidRPr="009E0DA4">
        <w:rPr>
          <w:sz w:val="24"/>
          <w:szCs w:val="24"/>
          <w:lang w:val="en-US"/>
        </w:rPr>
        <w:t>Shimizu W, Kubota Y, Hoshika Y, Mozawa K, Tara S, Tokita Y, et al. EMBODY trial investigators. Effects of empagliflozin versus placebo on cardiac sympathetic activity in acute myocardial.</w:t>
      </w:r>
      <w:r w:rsidRPr="001D196E">
        <w:rPr>
          <w:rFonts w:cstheme="minorHAnsi"/>
          <w:sz w:val="24"/>
          <w:szCs w:val="24"/>
          <w:lang w:val="en-US"/>
        </w:rPr>
        <w:t xml:space="preserve"> </w:t>
      </w:r>
    </w:p>
    <w:p w:rsidR="001D196E" w:rsidRDefault="001D196E" w:rsidP="001D196E">
      <w:pPr>
        <w:pStyle w:val="Paragrafoelenco"/>
        <w:spacing w:line="240" w:lineRule="auto"/>
        <w:rPr>
          <w:rFonts w:cstheme="minorHAnsi"/>
          <w:sz w:val="24"/>
          <w:szCs w:val="24"/>
          <w:lang w:val="en-US"/>
        </w:rPr>
      </w:pPr>
    </w:p>
    <w:p w:rsidR="001D196E" w:rsidRDefault="008A17EC" w:rsidP="001D196E">
      <w:pPr>
        <w:pStyle w:val="Paragrafoelenco"/>
        <w:numPr>
          <w:ilvl w:val="0"/>
          <w:numId w:val="1"/>
        </w:numPr>
        <w:spacing w:line="240" w:lineRule="auto"/>
        <w:rPr>
          <w:rFonts w:cstheme="minorHAnsi"/>
          <w:sz w:val="24"/>
          <w:szCs w:val="24"/>
          <w:lang w:val="en-US"/>
        </w:rPr>
      </w:pPr>
      <w:r w:rsidRPr="006D71FC">
        <w:rPr>
          <w:rFonts w:cstheme="minorHAnsi"/>
          <w:sz w:val="24"/>
          <w:szCs w:val="24"/>
          <w:lang w:val="en-US"/>
        </w:rPr>
        <w:t>Sardu C, Paolisso P, Santamaria M, Sacra C, Pieretti G, Rizzo MR, Barbieri M, Scisciola L, Nicoletti G, Paolisso G, Marfella R. Cardiac syncope recurrence in type 2 diabetes mellitus patients vs. normoglycemics patients: The CARVAS study. Diabetes Res Clin Pract. 2019 May;151:152-162. doi: 10.1016/j.diabres.2019.04.015.</w:t>
      </w:r>
    </w:p>
    <w:p w:rsidR="001D196E" w:rsidRDefault="001D196E" w:rsidP="001D196E">
      <w:pPr>
        <w:pStyle w:val="Paragrafoelenco"/>
        <w:spacing w:after="160" w:line="240" w:lineRule="auto"/>
        <w:rPr>
          <w:sz w:val="24"/>
          <w:szCs w:val="24"/>
          <w:lang w:val="en-US"/>
        </w:rPr>
      </w:pPr>
    </w:p>
    <w:p w:rsidR="00A03009" w:rsidRDefault="008A17EC" w:rsidP="00A03009">
      <w:pPr>
        <w:pStyle w:val="Paragrafoelenco"/>
        <w:numPr>
          <w:ilvl w:val="0"/>
          <w:numId w:val="1"/>
        </w:numPr>
        <w:spacing w:line="240" w:lineRule="auto"/>
        <w:rPr>
          <w:rFonts w:cstheme="minorHAnsi"/>
          <w:sz w:val="24"/>
          <w:szCs w:val="24"/>
          <w:lang w:val="en-US"/>
        </w:rPr>
      </w:pPr>
      <w:r w:rsidRPr="00B66BA6">
        <w:rPr>
          <w:rFonts w:cstheme="minorHAnsi"/>
          <w:sz w:val="24"/>
          <w:szCs w:val="24"/>
          <w:lang w:val="en-US"/>
        </w:rPr>
        <w:t xml:space="preserve">Brignole M, Moya A, de Lange FJ, et al. 2018 ESC Guidelines for the diagnosis and management of syncope The Task Force for the diagnosis and management of syncope of the European Society of Cardiology (ESC) Developed with the special contribution of the European Heart Rhythm Association (EHRA). European Heart Journal 2018; 00:1–69. </w:t>
      </w:r>
    </w:p>
    <w:p w:rsidR="00A03009" w:rsidRDefault="00A03009" w:rsidP="00A03009">
      <w:pPr>
        <w:pStyle w:val="Paragrafoelenco"/>
        <w:spacing w:line="240" w:lineRule="auto"/>
        <w:rPr>
          <w:rFonts w:cstheme="minorHAnsi"/>
          <w:sz w:val="24"/>
          <w:szCs w:val="24"/>
          <w:lang w:val="en-US"/>
        </w:rPr>
      </w:pPr>
    </w:p>
    <w:p w:rsidR="00A03009" w:rsidRDefault="008A17EC" w:rsidP="00A03009">
      <w:pPr>
        <w:pStyle w:val="Paragrafoelenco"/>
        <w:numPr>
          <w:ilvl w:val="0"/>
          <w:numId w:val="1"/>
        </w:numPr>
        <w:spacing w:line="240" w:lineRule="auto"/>
        <w:rPr>
          <w:rFonts w:cstheme="minorHAnsi"/>
          <w:sz w:val="24"/>
          <w:szCs w:val="24"/>
          <w:lang w:val="en-US"/>
        </w:rPr>
      </w:pPr>
      <w:r w:rsidRPr="00CF39F2">
        <w:rPr>
          <w:rFonts w:cstheme="minorHAnsi"/>
          <w:sz w:val="24"/>
          <w:szCs w:val="24"/>
          <w:lang w:val="en-US"/>
        </w:rPr>
        <w:t>Kochiadakis G, Marketou M, Koukouraki S, Parthenakis F, Chlouverakis G, Karkavitsas N, Vardas P. Cardiac autonomic disturbances in patients with vasovagal syndrome: comparison between iodine-123-metaiodobenzylguanidine myocardial scintigraphy and heart rate variability. Europace. 2012 Sep;14(9):1352-8. doi: 10.1093/europace/eus063.</w:t>
      </w:r>
    </w:p>
    <w:p w:rsidR="00A03009" w:rsidRPr="00CF39F2" w:rsidRDefault="00A03009" w:rsidP="00A03009">
      <w:pPr>
        <w:pStyle w:val="Paragrafoelenco"/>
        <w:spacing w:line="240" w:lineRule="auto"/>
        <w:rPr>
          <w:rFonts w:cstheme="minorHAnsi"/>
          <w:sz w:val="24"/>
          <w:szCs w:val="24"/>
          <w:lang w:val="en-US"/>
        </w:rPr>
      </w:pPr>
    </w:p>
    <w:p w:rsidR="00A03009" w:rsidRPr="009E0DA4" w:rsidRDefault="008A17EC" w:rsidP="00A03009">
      <w:pPr>
        <w:pStyle w:val="Paragrafoelenco"/>
        <w:numPr>
          <w:ilvl w:val="0"/>
          <w:numId w:val="1"/>
        </w:numPr>
        <w:spacing w:line="240" w:lineRule="auto"/>
        <w:rPr>
          <w:rFonts w:cstheme="minorHAnsi"/>
          <w:sz w:val="24"/>
          <w:szCs w:val="24"/>
          <w:lang w:val="en-US"/>
        </w:rPr>
      </w:pPr>
      <w:r w:rsidRPr="002A459A">
        <w:rPr>
          <w:sz w:val="24"/>
          <w:szCs w:val="24"/>
          <w:lang w:val="en-US"/>
        </w:rPr>
        <w:t>Zinman B, Wanner C, Lachin JM, Fitchett D, Bluhmki E, Hantel S, Mattheus M. et al. Empagliflozin, Cardiovascular Outcomes, and Mortality in Type 2 Diabetes. N Engl J Med. 2015;373(22):2117–2128. doi: 10.1056/NEJMoa1504720</w:t>
      </w:r>
      <w:r>
        <w:rPr>
          <w:sz w:val="24"/>
          <w:szCs w:val="24"/>
          <w:lang w:val="en-US"/>
        </w:rPr>
        <w:t>.</w:t>
      </w:r>
    </w:p>
    <w:p w:rsidR="00A03009" w:rsidRPr="00A31909" w:rsidRDefault="00A03009" w:rsidP="00A03009">
      <w:pPr>
        <w:pStyle w:val="Paragrafoelenco"/>
        <w:spacing w:line="240" w:lineRule="auto"/>
        <w:rPr>
          <w:rFonts w:cstheme="minorHAnsi"/>
          <w:sz w:val="24"/>
          <w:szCs w:val="24"/>
          <w:lang w:val="en-US"/>
        </w:rPr>
      </w:pPr>
    </w:p>
    <w:p w:rsidR="00A03009" w:rsidRDefault="008A17EC" w:rsidP="00A03009">
      <w:pPr>
        <w:pStyle w:val="Paragrafoelenco"/>
        <w:numPr>
          <w:ilvl w:val="0"/>
          <w:numId w:val="1"/>
        </w:numPr>
        <w:spacing w:line="240" w:lineRule="auto"/>
        <w:rPr>
          <w:rFonts w:cstheme="minorHAnsi"/>
          <w:sz w:val="24"/>
          <w:szCs w:val="24"/>
          <w:lang w:val="en-US"/>
        </w:rPr>
      </w:pPr>
      <w:r w:rsidRPr="00E70DAC">
        <w:rPr>
          <w:rFonts w:cstheme="minorHAnsi"/>
          <w:sz w:val="24"/>
          <w:szCs w:val="24"/>
          <w:lang w:val="en-US"/>
        </w:rPr>
        <w:t xml:space="preserve">Motoaki Sano, </w:t>
      </w:r>
      <w:proofErr w:type="gramStart"/>
      <w:r w:rsidRPr="00E70DAC">
        <w:rPr>
          <w:rFonts w:cstheme="minorHAnsi"/>
          <w:sz w:val="24"/>
          <w:szCs w:val="24"/>
          <w:lang w:val="en-US"/>
        </w:rPr>
        <w:t>A</w:t>
      </w:r>
      <w:proofErr w:type="gramEnd"/>
      <w:r w:rsidRPr="00E70DAC">
        <w:rPr>
          <w:rFonts w:cstheme="minorHAnsi"/>
          <w:sz w:val="24"/>
          <w:szCs w:val="24"/>
          <w:lang w:val="en-US"/>
        </w:rPr>
        <w:t xml:space="preserve"> new class of drugs for heart failure: SGLT2 inhibitors reduce sympathetic overactivity, Journal of Cardiology, Volume 71, Issue 5, 2018, Pages 471-476,</w:t>
      </w:r>
      <w:r>
        <w:rPr>
          <w:rFonts w:cstheme="minorHAnsi"/>
          <w:sz w:val="24"/>
          <w:szCs w:val="24"/>
          <w:lang w:val="en-US"/>
        </w:rPr>
        <w:t xml:space="preserve"> ISSN 0914-5087.</w:t>
      </w:r>
    </w:p>
    <w:p w:rsidR="00545AAE" w:rsidRDefault="00545AAE" w:rsidP="00545AAE">
      <w:pPr>
        <w:pStyle w:val="Paragrafoelenco"/>
        <w:spacing w:line="240" w:lineRule="auto"/>
        <w:rPr>
          <w:rFonts w:cstheme="minorHAnsi"/>
          <w:sz w:val="24"/>
          <w:szCs w:val="24"/>
          <w:lang w:val="en-US"/>
        </w:rPr>
      </w:pPr>
    </w:p>
    <w:p w:rsidR="00A03009" w:rsidRDefault="00A03009"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Default="005C56BA" w:rsidP="00A03009">
      <w:pPr>
        <w:pStyle w:val="Paragrafoelenco"/>
        <w:spacing w:after="160" w:line="240" w:lineRule="auto"/>
        <w:rPr>
          <w:sz w:val="24"/>
          <w:szCs w:val="24"/>
          <w:lang w:val="en-US"/>
        </w:rPr>
      </w:pPr>
    </w:p>
    <w:p w:rsidR="005C56BA" w:rsidRPr="009E0DA4" w:rsidRDefault="005C56BA" w:rsidP="00A03009">
      <w:pPr>
        <w:pStyle w:val="Paragrafoelenco"/>
        <w:spacing w:after="160" w:line="240" w:lineRule="auto"/>
        <w:rPr>
          <w:sz w:val="24"/>
          <w:szCs w:val="24"/>
          <w:lang w:val="en-US"/>
        </w:rPr>
      </w:pPr>
    </w:p>
    <w:p w:rsidR="00C17738" w:rsidRDefault="00C17738">
      <w:pPr>
        <w:rPr>
          <w:lang w:val="en-US"/>
        </w:rPr>
      </w:pPr>
    </w:p>
    <w:p w:rsidR="00C17738" w:rsidRDefault="00C17738">
      <w:pPr>
        <w:rPr>
          <w:lang w:val="en-US"/>
        </w:rPr>
      </w:pPr>
    </w:p>
    <w:p w:rsidR="00C17738" w:rsidRDefault="00C17738">
      <w:pPr>
        <w:rPr>
          <w:lang w:val="en-US"/>
        </w:rPr>
      </w:pPr>
    </w:p>
    <w:p w:rsidR="00C17738" w:rsidRPr="00BA3B01" w:rsidRDefault="008A17EC" w:rsidP="00C17738">
      <w:pPr>
        <w:autoSpaceDE w:val="0"/>
        <w:autoSpaceDN w:val="0"/>
        <w:adjustRightInd w:val="0"/>
        <w:spacing w:after="0" w:line="240" w:lineRule="auto"/>
        <w:rPr>
          <w:rFonts w:cstheme="minorHAnsi"/>
          <w:sz w:val="24"/>
          <w:szCs w:val="24"/>
          <w:lang w:val="en-US"/>
        </w:rPr>
      </w:pPr>
      <w:r>
        <w:rPr>
          <w:rFonts w:cstheme="minorHAnsi"/>
          <w:b/>
          <w:sz w:val="24"/>
          <w:szCs w:val="24"/>
          <w:lang w:val="en-US"/>
        </w:rPr>
        <w:lastRenderedPageBreak/>
        <w:t>Supplementary t</w:t>
      </w:r>
      <w:r w:rsidRPr="00BA3B01">
        <w:rPr>
          <w:rFonts w:cstheme="minorHAnsi"/>
          <w:b/>
          <w:sz w:val="24"/>
          <w:szCs w:val="24"/>
          <w:lang w:val="en-US"/>
        </w:rPr>
        <w:t>able</w:t>
      </w:r>
      <w:r w:rsidR="002C7F1C">
        <w:rPr>
          <w:rFonts w:cstheme="minorHAnsi"/>
          <w:b/>
          <w:sz w:val="24"/>
          <w:szCs w:val="24"/>
          <w:lang w:val="en-US"/>
        </w:rPr>
        <w:t xml:space="preserve"> 1</w:t>
      </w:r>
      <w:r w:rsidRPr="00BA3B01">
        <w:rPr>
          <w:rFonts w:cstheme="minorHAnsi"/>
          <w:b/>
          <w:sz w:val="24"/>
          <w:szCs w:val="24"/>
          <w:lang w:val="en-US"/>
        </w:rPr>
        <w:t>.</w:t>
      </w:r>
      <w:r>
        <w:rPr>
          <w:rFonts w:cstheme="minorHAnsi"/>
          <w:b/>
          <w:sz w:val="24"/>
          <w:szCs w:val="24"/>
          <w:lang w:val="en-US"/>
        </w:rPr>
        <w:t xml:space="preserve"> </w:t>
      </w:r>
      <w:r w:rsidRPr="00BA3B01">
        <w:rPr>
          <w:rFonts w:cstheme="minorHAnsi"/>
          <w:sz w:val="24"/>
          <w:szCs w:val="24"/>
          <w:lang w:val="en-US"/>
        </w:rPr>
        <w:t>P</w:t>
      </w:r>
      <w:r>
        <w:rPr>
          <w:rFonts w:cstheme="minorHAnsi"/>
          <w:sz w:val="24"/>
          <w:szCs w:val="24"/>
          <w:lang w:val="en-US"/>
        </w:rPr>
        <w:t xml:space="preserve">arameters of vaso-vagal and sympathetic tone dysfunction at baseline and at 1 year of follow-up in patients that evidenced all causes of syncope recurrence (A), </w:t>
      </w:r>
      <w:r w:rsidRPr="00BA3B01">
        <w:rPr>
          <w:rFonts w:cstheme="minorHAnsi"/>
          <w:sz w:val="24"/>
          <w:szCs w:val="24"/>
          <w:lang w:val="en-US"/>
        </w:rPr>
        <w:t>vaso-depressor syncope (B), cardio-inhibitory syncope (C), and mixed syncope (D).</w:t>
      </w:r>
      <w:r>
        <w:rPr>
          <w:rFonts w:cstheme="minorHAnsi"/>
          <w:sz w:val="24"/>
          <w:szCs w:val="24"/>
          <w:lang w:val="en-US"/>
        </w:rPr>
        <w:t xml:space="preserve"> </w:t>
      </w:r>
    </w:p>
    <w:p w:rsidR="00C17738" w:rsidRPr="00BA3B01" w:rsidRDefault="00C17738" w:rsidP="00C17738">
      <w:pPr>
        <w:autoSpaceDE w:val="0"/>
        <w:autoSpaceDN w:val="0"/>
        <w:adjustRightInd w:val="0"/>
        <w:spacing w:after="0" w:line="400" w:lineRule="atLeast"/>
        <w:rPr>
          <w:rFonts w:cstheme="minorHAnsi"/>
          <w:sz w:val="24"/>
          <w:szCs w:val="24"/>
          <w:lang w:val="en-US"/>
        </w:rPr>
      </w:pPr>
    </w:p>
    <w:tbl>
      <w:tblPr>
        <w:tblStyle w:val="Grigliatabella"/>
        <w:tblW w:w="4930" w:type="pct"/>
        <w:tblLook w:val="04A0" w:firstRow="1" w:lastRow="0" w:firstColumn="1" w:lastColumn="0" w:noHBand="0" w:noVBand="1"/>
      </w:tblPr>
      <w:tblGrid>
        <w:gridCol w:w="2607"/>
        <w:gridCol w:w="1433"/>
        <w:gridCol w:w="1420"/>
        <w:gridCol w:w="1127"/>
        <w:gridCol w:w="1425"/>
        <w:gridCol w:w="1481"/>
      </w:tblGrid>
      <w:tr w:rsidR="00984F77" w:rsidTr="00C17738">
        <w:tc>
          <w:tcPr>
            <w:tcW w:w="1385" w:type="pct"/>
            <w:tcBorders>
              <w:bottom w:val="nil"/>
            </w:tcBorders>
          </w:tcPr>
          <w:p w:rsidR="00C17738" w:rsidRPr="00BA3B01" w:rsidRDefault="00C17738" w:rsidP="008F7BB0">
            <w:pPr>
              <w:autoSpaceDE w:val="0"/>
              <w:autoSpaceDN w:val="0"/>
              <w:adjustRightInd w:val="0"/>
              <w:rPr>
                <w:rFonts w:cstheme="minorHAnsi"/>
                <w:b/>
                <w:sz w:val="20"/>
                <w:szCs w:val="20"/>
                <w:lang w:val="en-US"/>
              </w:rPr>
            </w:pPr>
          </w:p>
        </w:tc>
        <w:tc>
          <w:tcPr>
            <w:tcW w:w="767"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BASELINE</w:t>
            </w:r>
          </w:p>
        </w:tc>
        <w:tc>
          <w:tcPr>
            <w:tcW w:w="760" w:type="pct"/>
          </w:tcPr>
          <w:p w:rsidR="00C17738" w:rsidRPr="00E14F7A" w:rsidRDefault="00C17738" w:rsidP="008F7BB0">
            <w:pPr>
              <w:autoSpaceDE w:val="0"/>
              <w:autoSpaceDN w:val="0"/>
              <w:adjustRightInd w:val="0"/>
              <w:rPr>
                <w:rFonts w:cstheme="minorHAnsi"/>
                <w:b/>
                <w:sz w:val="20"/>
                <w:szCs w:val="20"/>
              </w:rPr>
            </w:pPr>
          </w:p>
        </w:tc>
        <w:tc>
          <w:tcPr>
            <w:tcW w:w="603"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At 1 year</w:t>
            </w:r>
          </w:p>
        </w:tc>
        <w:tc>
          <w:tcPr>
            <w:tcW w:w="765" w:type="pct"/>
          </w:tcPr>
          <w:p w:rsidR="00C17738" w:rsidRPr="00E14F7A" w:rsidRDefault="00C17738" w:rsidP="008F7BB0">
            <w:pPr>
              <w:autoSpaceDE w:val="0"/>
              <w:autoSpaceDN w:val="0"/>
              <w:adjustRightInd w:val="0"/>
              <w:rPr>
                <w:rFonts w:cstheme="minorHAnsi"/>
                <w:b/>
                <w:sz w:val="20"/>
                <w:szCs w:val="20"/>
              </w:rPr>
            </w:pPr>
          </w:p>
        </w:tc>
        <w:tc>
          <w:tcPr>
            <w:tcW w:w="719" w:type="pct"/>
          </w:tcPr>
          <w:p w:rsidR="00C17738" w:rsidRPr="00E14F7A" w:rsidRDefault="00C17738" w:rsidP="008F7BB0">
            <w:pPr>
              <w:autoSpaceDE w:val="0"/>
              <w:autoSpaceDN w:val="0"/>
              <w:adjustRightInd w:val="0"/>
              <w:rPr>
                <w:rFonts w:cstheme="minorHAnsi"/>
                <w:b/>
                <w:sz w:val="20"/>
                <w:szCs w:val="20"/>
              </w:rPr>
            </w:pPr>
          </w:p>
        </w:tc>
      </w:tr>
      <w:tr w:rsidR="00984F77" w:rsidTr="00C17738">
        <w:tc>
          <w:tcPr>
            <w:tcW w:w="1385" w:type="pct"/>
            <w:tcBorders>
              <w:top w:val="nil"/>
            </w:tcBorders>
          </w:tcPr>
          <w:p w:rsidR="00C17738" w:rsidRPr="00E14F7A" w:rsidRDefault="00C17738" w:rsidP="008F7BB0">
            <w:pPr>
              <w:autoSpaceDE w:val="0"/>
              <w:autoSpaceDN w:val="0"/>
              <w:adjustRightInd w:val="0"/>
              <w:rPr>
                <w:rFonts w:cstheme="minorHAnsi"/>
                <w:b/>
                <w:sz w:val="20"/>
                <w:szCs w:val="20"/>
              </w:rPr>
            </w:pPr>
          </w:p>
        </w:tc>
        <w:tc>
          <w:tcPr>
            <w:tcW w:w="767"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SLGT2i-users</w:t>
            </w:r>
          </w:p>
        </w:tc>
        <w:tc>
          <w:tcPr>
            <w:tcW w:w="760"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Non-SLGT2i users</w:t>
            </w:r>
          </w:p>
        </w:tc>
        <w:tc>
          <w:tcPr>
            <w:tcW w:w="603"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SLGT2i-users</w:t>
            </w:r>
          </w:p>
        </w:tc>
        <w:tc>
          <w:tcPr>
            <w:tcW w:w="765"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Non-SLGT2i users</w:t>
            </w:r>
          </w:p>
        </w:tc>
        <w:tc>
          <w:tcPr>
            <w:tcW w:w="719"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P value</w:t>
            </w:r>
          </w:p>
        </w:tc>
      </w:tr>
      <w:tr w:rsidR="00984F77" w:rsidRPr="00C577C6" w:rsidTr="00C17738">
        <w:tc>
          <w:tcPr>
            <w:tcW w:w="1385" w:type="pct"/>
          </w:tcPr>
          <w:p w:rsidR="00C17738" w:rsidRPr="00BA3B01" w:rsidRDefault="008A17EC" w:rsidP="008F7BB0">
            <w:pPr>
              <w:autoSpaceDE w:val="0"/>
              <w:autoSpaceDN w:val="0"/>
              <w:adjustRightInd w:val="0"/>
              <w:rPr>
                <w:rFonts w:cstheme="minorHAnsi"/>
                <w:b/>
                <w:sz w:val="20"/>
                <w:szCs w:val="20"/>
                <w:lang w:val="en-US"/>
              </w:rPr>
            </w:pPr>
            <w:r w:rsidRPr="00BA3B01">
              <w:rPr>
                <w:rFonts w:cstheme="minorHAnsi"/>
                <w:b/>
                <w:sz w:val="20"/>
                <w:szCs w:val="20"/>
                <w:lang w:val="en-US"/>
              </w:rPr>
              <w:t>A) ALL CAUSES OF SYNCOPE</w:t>
            </w:r>
          </w:p>
        </w:tc>
        <w:tc>
          <w:tcPr>
            <w:tcW w:w="767" w:type="pct"/>
          </w:tcPr>
          <w:p w:rsidR="00C17738" w:rsidRPr="00BA3B01" w:rsidRDefault="00C17738" w:rsidP="008F7BB0">
            <w:pPr>
              <w:autoSpaceDE w:val="0"/>
              <w:autoSpaceDN w:val="0"/>
              <w:adjustRightInd w:val="0"/>
              <w:rPr>
                <w:rFonts w:cstheme="minorHAnsi"/>
                <w:b/>
                <w:sz w:val="20"/>
                <w:szCs w:val="20"/>
                <w:lang w:val="en-US"/>
              </w:rPr>
            </w:pPr>
          </w:p>
        </w:tc>
        <w:tc>
          <w:tcPr>
            <w:tcW w:w="760" w:type="pct"/>
          </w:tcPr>
          <w:p w:rsidR="00C17738" w:rsidRPr="00BA3B01" w:rsidRDefault="00C17738" w:rsidP="008F7BB0">
            <w:pPr>
              <w:autoSpaceDE w:val="0"/>
              <w:autoSpaceDN w:val="0"/>
              <w:adjustRightInd w:val="0"/>
              <w:rPr>
                <w:rFonts w:cstheme="minorHAnsi"/>
                <w:b/>
                <w:sz w:val="20"/>
                <w:szCs w:val="20"/>
                <w:lang w:val="en-US"/>
              </w:rPr>
            </w:pPr>
          </w:p>
        </w:tc>
        <w:tc>
          <w:tcPr>
            <w:tcW w:w="603" w:type="pct"/>
          </w:tcPr>
          <w:p w:rsidR="00C17738" w:rsidRPr="00BA3B01" w:rsidRDefault="00C17738" w:rsidP="008F7BB0">
            <w:pPr>
              <w:autoSpaceDE w:val="0"/>
              <w:autoSpaceDN w:val="0"/>
              <w:adjustRightInd w:val="0"/>
              <w:rPr>
                <w:rFonts w:cstheme="minorHAnsi"/>
                <w:b/>
                <w:sz w:val="20"/>
                <w:szCs w:val="20"/>
                <w:lang w:val="en-US"/>
              </w:rPr>
            </w:pPr>
          </w:p>
        </w:tc>
        <w:tc>
          <w:tcPr>
            <w:tcW w:w="765" w:type="pct"/>
          </w:tcPr>
          <w:p w:rsidR="00C17738" w:rsidRPr="00BA3B01" w:rsidRDefault="00C17738" w:rsidP="008F7BB0">
            <w:pPr>
              <w:autoSpaceDE w:val="0"/>
              <w:autoSpaceDN w:val="0"/>
              <w:adjustRightInd w:val="0"/>
              <w:rPr>
                <w:rFonts w:cstheme="minorHAnsi"/>
                <w:b/>
                <w:sz w:val="20"/>
                <w:szCs w:val="20"/>
                <w:lang w:val="en-US"/>
              </w:rPr>
            </w:pPr>
          </w:p>
        </w:tc>
        <w:tc>
          <w:tcPr>
            <w:tcW w:w="719" w:type="pct"/>
          </w:tcPr>
          <w:p w:rsidR="00C17738" w:rsidRPr="00BA3B01" w:rsidRDefault="00C17738" w:rsidP="008F7BB0">
            <w:pPr>
              <w:autoSpaceDE w:val="0"/>
              <w:autoSpaceDN w:val="0"/>
              <w:adjustRightInd w:val="0"/>
              <w:rPr>
                <w:rFonts w:cstheme="minorHAnsi"/>
                <w:b/>
                <w:sz w:val="20"/>
                <w:szCs w:val="20"/>
                <w:lang w:val="en-US"/>
              </w:rPr>
            </w:pPr>
          </w:p>
        </w:tc>
      </w:tr>
      <w:tr w:rsidR="00984F77" w:rsidTr="00C17738">
        <w:tc>
          <w:tcPr>
            <w:tcW w:w="1385" w:type="pct"/>
          </w:tcPr>
          <w:p w:rsidR="00C17738" w:rsidRPr="00E14F7A" w:rsidRDefault="008A17EC" w:rsidP="008F7BB0">
            <w:pPr>
              <w:autoSpaceDE w:val="0"/>
              <w:autoSpaceDN w:val="0"/>
              <w:adjustRightInd w:val="0"/>
              <w:rPr>
                <w:rFonts w:cstheme="minorHAnsi"/>
                <w:b/>
                <w:sz w:val="20"/>
                <w:szCs w:val="20"/>
              </w:rPr>
            </w:pPr>
            <w:proofErr w:type="spellStart"/>
            <w:r w:rsidRPr="00E14F7A">
              <w:rPr>
                <w:rFonts w:cstheme="minorHAnsi"/>
                <w:b/>
                <w:sz w:val="20"/>
                <w:szCs w:val="20"/>
              </w:rPr>
              <w:t>Autonomic</w:t>
            </w:r>
            <w:proofErr w:type="spellEnd"/>
            <w:r w:rsidRPr="00E14F7A">
              <w:rPr>
                <w:rFonts w:cstheme="minorHAnsi"/>
                <w:b/>
                <w:sz w:val="20"/>
                <w:szCs w:val="20"/>
              </w:rPr>
              <w:t xml:space="preserve"> </w:t>
            </w:r>
            <w:proofErr w:type="spellStart"/>
            <w:r w:rsidRPr="00E14F7A">
              <w:rPr>
                <w:rFonts w:cstheme="minorHAnsi"/>
                <w:b/>
                <w:sz w:val="20"/>
                <w:szCs w:val="20"/>
              </w:rPr>
              <w:t>system</w:t>
            </w:r>
            <w:proofErr w:type="spellEnd"/>
            <w:r w:rsidRPr="00E14F7A">
              <w:rPr>
                <w:rFonts w:cstheme="minorHAnsi"/>
                <w:b/>
                <w:sz w:val="20"/>
                <w:szCs w:val="20"/>
              </w:rPr>
              <w:t xml:space="preserve"> </w:t>
            </w:r>
            <w:proofErr w:type="spellStart"/>
            <w:r w:rsidRPr="00E14F7A">
              <w:rPr>
                <w:rFonts w:cstheme="minorHAnsi"/>
                <w:b/>
                <w:sz w:val="20"/>
                <w:szCs w:val="20"/>
              </w:rPr>
              <w:t>parameters</w:t>
            </w:r>
            <w:proofErr w:type="spellEnd"/>
          </w:p>
        </w:tc>
        <w:tc>
          <w:tcPr>
            <w:tcW w:w="767" w:type="pct"/>
          </w:tcPr>
          <w:p w:rsidR="00C17738" w:rsidRPr="00E14F7A" w:rsidRDefault="00C17738" w:rsidP="008F7BB0">
            <w:pPr>
              <w:autoSpaceDE w:val="0"/>
              <w:autoSpaceDN w:val="0"/>
              <w:adjustRightInd w:val="0"/>
              <w:rPr>
                <w:rFonts w:cstheme="minorHAnsi"/>
                <w:b/>
                <w:sz w:val="20"/>
                <w:szCs w:val="20"/>
              </w:rPr>
            </w:pPr>
          </w:p>
        </w:tc>
        <w:tc>
          <w:tcPr>
            <w:tcW w:w="760" w:type="pct"/>
          </w:tcPr>
          <w:p w:rsidR="00C17738" w:rsidRPr="00E14F7A" w:rsidRDefault="00C17738" w:rsidP="008F7BB0">
            <w:pPr>
              <w:autoSpaceDE w:val="0"/>
              <w:autoSpaceDN w:val="0"/>
              <w:adjustRightInd w:val="0"/>
              <w:rPr>
                <w:rFonts w:cstheme="minorHAnsi"/>
                <w:b/>
                <w:sz w:val="20"/>
                <w:szCs w:val="20"/>
              </w:rPr>
            </w:pPr>
          </w:p>
        </w:tc>
        <w:tc>
          <w:tcPr>
            <w:tcW w:w="603" w:type="pct"/>
          </w:tcPr>
          <w:p w:rsidR="00C17738" w:rsidRPr="00E14F7A" w:rsidRDefault="00C17738" w:rsidP="008F7BB0">
            <w:pPr>
              <w:autoSpaceDE w:val="0"/>
              <w:autoSpaceDN w:val="0"/>
              <w:adjustRightInd w:val="0"/>
              <w:rPr>
                <w:rFonts w:cstheme="minorHAnsi"/>
                <w:b/>
                <w:sz w:val="20"/>
                <w:szCs w:val="20"/>
              </w:rPr>
            </w:pPr>
          </w:p>
        </w:tc>
        <w:tc>
          <w:tcPr>
            <w:tcW w:w="765" w:type="pct"/>
          </w:tcPr>
          <w:p w:rsidR="00C17738" w:rsidRPr="00E14F7A" w:rsidRDefault="00C17738" w:rsidP="008F7BB0">
            <w:pPr>
              <w:autoSpaceDE w:val="0"/>
              <w:autoSpaceDN w:val="0"/>
              <w:adjustRightInd w:val="0"/>
              <w:rPr>
                <w:rFonts w:cstheme="minorHAnsi"/>
                <w:b/>
                <w:sz w:val="20"/>
                <w:szCs w:val="20"/>
              </w:rPr>
            </w:pPr>
          </w:p>
        </w:tc>
        <w:tc>
          <w:tcPr>
            <w:tcW w:w="719" w:type="pct"/>
          </w:tcPr>
          <w:p w:rsidR="00C17738" w:rsidRPr="00E14F7A" w:rsidRDefault="00C17738" w:rsidP="008F7BB0">
            <w:pPr>
              <w:autoSpaceDE w:val="0"/>
              <w:autoSpaceDN w:val="0"/>
              <w:adjustRightInd w:val="0"/>
              <w:rPr>
                <w:rFonts w:cstheme="minorHAnsi"/>
                <w:b/>
                <w:sz w:val="20"/>
                <w:szCs w:val="20"/>
              </w:rPr>
            </w:pPr>
          </w:p>
        </w:tc>
      </w:tr>
      <w:tr w:rsidR="00984F77" w:rsidTr="00C17738">
        <w:tc>
          <w:tcPr>
            <w:tcW w:w="1385" w:type="pct"/>
          </w:tcPr>
          <w:p w:rsidR="00C17738" w:rsidRPr="00BA3B01" w:rsidRDefault="008A17EC" w:rsidP="008F7BB0">
            <w:pPr>
              <w:autoSpaceDE w:val="0"/>
              <w:autoSpaceDN w:val="0"/>
              <w:adjustRightInd w:val="0"/>
              <w:rPr>
                <w:rFonts w:cstheme="minorHAnsi"/>
                <w:sz w:val="20"/>
                <w:szCs w:val="20"/>
                <w:lang w:val="en-US"/>
              </w:rPr>
            </w:pPr>
            <w:r w:rsidRPr="00BA3B01">
              <w:rPr>
                <w:rFonts w:cstheme="minorHAnsi"/>
                <w:sz w:val="20"/>
                <w:szCs w:val="20"/>
                <w:lang w:val="en-US"/>
              </w:rPr>
              <w:t>Heart rate, bpm</w:t>
            </w:r>
          </w:p>
        </w:tc>
        <w:tc>
          <w:tcPr>
            <w:tcW w:w="767" w:type="pct"/>
          </w:tcPr>
          <w:p w:rsidR="00C17738" w:rsidRPr="00E14F7A" w:rsidRDefault="008A17EC" w:rsidP="008F7BB0">
            <w:pPr>
              <w:autoSpaceDE w:val="0"/>
              <w:autoSpaceDN w:val="0"/>
              <w:adjustRightInd w:val="0"/>
              <w:rPr>
                <w:rFonts w:cstheme="minorHAnsi"/>
                <w:sz w:val="20"/>
                <w:szCs w:val="20"/>
              </w:rPr>
            </w:pPr>
            <w:r w:rsidRPr="00E14F7A">
              <w:rPr>
                <w:rFonts w:cstheme="minorHAnsi"/>
                <w:sz w:val="20"/>
                <w:szCs w:val="20"/>
              </w:rPr>
              <w:t>75</w:t>
            </w:r>
            <w:r>
              <w:rPr>
                <w:rFonts w:cstheme="minorHAnsi"/>
                <w:sz w:val="20"/>
                <w:szCs w:val="20"/>
              </w:rPr>
              <w:t>.2</w:t>
            </w:r>
            <w:r w:rsidRPr="00E14F7A">
              <w:rPr>
                <w:rFonts w:cstheme="minorHAnsi"/>
                <w:sz w:val="20"/>
                <w:szCs w:val="20"/>
              </w:rPr>
              <w:t>±11</w:t>
            </w:r>
            <w:r>
              <w:rPr>
                <w:rFonts w:cstheme="minorHAnsi"/>
                <w:sz w:val="20"/>
                <w:szCs w:val="20"/>
              </w:rPr>
              <w:t>.3</w:t>
            </w:r>
          </w:p>
        </w:tc>
        <w:tc>
          <w:tcPr>
            <w:tcW w:w="760" w:type="pct"/>
          </w:tcPr>
          <w:p w:rsidR="00C17738" w:rsidRPr="00E14F7A" w:rsidRDefault="008A17EC" w:rsidP="008F7BB0">
            <w:pPr>
              <w:autoSpaceDE w:val="0"/>
              <w:autoSpaceDN w:val="0"/>
              <w:adjustRightInd w:val="0"/>
              <w:rPr>
                <w:rFonts w:cstheme="minorHAnsi"/>
                <w:sz w:val="20"/>
                <w:szCs w:val="20"/>
              </w:rPr>
            </w:pPr>
            <w:r w:rsidRPr="00E14F7A">
              <w:rPr>
                <w:rFonts w:cstheme="minorHAnsi"/>
                <w:sz w:val="20"/>
                <w:szCs w:val="20"/>
              </w:rPr>
              <w:t>79</w:t>
            </w:r>
            <w:r>
              <w:rPr>
                <w:rFonts w:cstheme="minorHAnsi"/>
                <w:sz w:val="20"/>
                <w:szCs w:val="20"/>
              </w:rPr>
              <w:t>.1</w:t>
            </w:r>
            <w:r w:rsidRPr="00E14F7A">
              <w:rPr>
                <w:rFonts w:cstheme="minorHAnsi"/>
                <w:sz w:val="20"/>
                <w:szCs w:val="20"/>
              </w:rPr>
              <w:t>±12</w:t>
            </w:r>
            <w:r>
              <w:rPr>
                <w:rFonts w:cstheme="minorHAnsi"/>
                <w:sz w:val="20"/>
                <w:szCs w:val="20"/>
              </w:rPr>
              <w:t>.2</w:t>
            </w:r>
          </w:p>
        </w:tc>
        <w:tc>
          <w:tcPr>
            <w:tcW w:w="603" w:type="pct"/>
          </w:tcPr>
          <w:p w:rsidR="00C17738" w:rsidRDefault="008A17EC" w:rsidP="008F7BB0">
            <w:r>
              <w:rPr>
                <w:rFonts w:cstheme="minorHAnsi"/>
                <w:sz w:val="20"/>
                <w:szCs w:val="20"/>
              </w:rPr>
              <w:t>60.2</w:t>
            </w:r>
            <w:r w:rsidRPr="008C3FAA">
              <w:rPr>
                <w:rFonts w:cstheme="minorHAnsi"/>
                <w:sz w:val="20"/>
                <w:szCs w:val="20"/>
              </w:rPr>
              <w:t>±</w:t>
            </w:r>
            <w:r>
              <w:rPr>
                <w:rFonts w:cstheme="minorHAnsi"/>
                <w:sz w:val="20"/>
                <w:szCs w:val="20"/>
              </w:rPr>
              <w:t>9.4</w:t>
            </w:r>
          </w:p>
        </w:tc>
        <w:tc>
          <w:tcPr>
            <w:tcW w:w="765" w:type="pct"/>
          </w:tcPr>
          <w:p w:rsidR="00C17738" w:rsidRDefault="008A17EC" w:rsidP="008F7BB0">
            <w:r>
              <w:rPr>
                <w:rFonts w:cstheme="minorHAnsi"/>
                <w:sz w:val="20"/>
                <w:szCs w:val="20"/>
              </w:rPr>
              <w:t>72.3</w:t>
            </w:r>
            <w:r w:rsidRPr="008C3FAA">
              <w:rPr>
                <w:rFonts w:cstheme="minorHAnsi"/>
                <w:sz w:val="20"/>
                <w:szCs w:val="20"/>
              </w:rPr>
              <w:t>±</w:t>
            </w:r>
            <w:r>
              <w:rPr>
                <w:rFonts w:cstheme="minorHAnsi"/>
                <w:sz w:val="20"/>
                <w:szCs w:val="20"/>
              </w:rPr>
              <w:t>8.2</w:t>
            </w:r>
          </w:p>
        </w:tc>
        <w:tc>
          <w:tcPr>
            <w:tcW w:w="719" w:type="pct"/>
          </w:tcPr>
          <w:p w:rsidR="00C17738" w:rsidRPr="00E14F7A" w:rsidRDefault="008A17EC" w:rsidP="008F7BB0">
            <w:pPr>
              <w:autoSpaceDE w:val="0"/>
              <w:autoSpaceDN w:val="0"/>
              <w:adjustRightInd w:val="0"/>
              <w:rPr>
                <w:rFonts w:cstheme="minorHAnsi"/>
                <w:sz w:val="20"/>
                <w:szCs w:val="20"/>
              </w:rPr>
            </w:pPr>
            <w:r w:rsidRPr="00E14F7A">
              <w:rPr>
                <w:rFonts w:cstheme="minorHAnsi"/>
                <w:sz w:val="20"/>
                <w:szCs w:val="20"/>
              </w:rPr>
              <w:t>0.071;</w:t>
            </w:r>
            <w:r>
              <w:rPr>
                <w:rFonts w:cstheme="minorHAnsi"/>
                <w:sz w:val="20"/>
                <w:szCs w:val="20"/>
              </w:rPr>
              <w:t>0.001**</w:t>
            </w:r>
          </w:p>
        </w:tc>
      </w:tr>
      <w:tr w:rsidR="00984F77" w:rsidTr="00C17738">
        <w:trPr>
          <w:trHeight w:val="316"/>
        </w:trPr>
        <w:tc>
          <w:tcPr>
            <w:tcW w:w="1385" w:type="pct"/>
          </w:tcPr>
          <w:p w:rsidR="00C17738" w:rsidRPr="00E14F7A" w:rsidRDefault="008A17EC" w:rsidP="008F7BB0">
            <w:pPr>
              <w:rPr>
                <w:b/>
                <w:sz w:val="20"/>
                <w:szCs w:val="20"/>
                <w:lang w:val="en-US"/>
              </w:rPr>
            </w:pPr>
            <w:r w:rsidRPr="00E14F7A">
              <w:rPr>
                <w:b/>
                <w:sz w:val="20"/>
                <w:szCs w:val="20"/>
                <w:lang w:val="en-US"/>
              </w:rPr>
              <w:t>ECG Holter parameters</w:t>
            </w:r>
          </w:p>
        </w:tc>
        <w:tc>
          <w:tcPr>
            <w:tcW w:w="767" w:type="pct"/>
          </w:tcPr>
          <w:p w:rsidR="00C17738" w:rsidRPr="00E14F7A" w:rsidRDefault="00C17738" w:rsidP="008F7BB0">
            <w:pPr>
              <w:autoSpaceDE w:val="0"/>
              <w:autoSpaceDN w:val="0"/>
              <w:adjustRightInd w:val="0"/>
              <w:rPr>
                <w:rFonts w:cstheme="minorHAnsi"/>
                <w:sz w:val="20"/>
                <w:szCs w:val="20"/>
              </w:rPr>
            </w:pPr>
          </w:p>
        </w:tc>
        <w:tc>
          <w:tcPr>
            <w:tcW w:w="760" w:type="pct"/>
          </w:tcPr>
          <w:p w:rsidR="00C17738" w:rsidRPr="00E14F7A" w:rsidRDefault="00C17738" w:rsidP="008F7BB0">
            <w:pPr>
              <w:autoSpaceDE w:val="0"/>
              <w:autoSpaceDN w:val="0"/>
              <w:adjustRightInd w:val="0"/>
              <w:rPr>
                <w:rFonts w:cstheme="minorHAnsi"/>
                <w:sz w:val="20"/>
                <w:szCs w:val="20"/>
              </w:rPr>
            </w:pPr>
          </w:p>
        </w:tc>
        <w:tc>
          <w:tcPr>
            <w:tcW w:w="603" w:type="pct"/>
          </w:tcPr>
          <w:p w:rsidR="00C17738" w:rsidRPr="00E14F7A" w:rsidRDefault="00C17738" w:rsidP="008F7BB0">
            <w:pPr>
              <w:autoSpaceDE w:val="0"/>
              <w:autoSpaceDN w:val="0"/>
              <w:adjustRightInd w:val="0"/>
              <w:rPr>
                <w:rFonts w:cstheme="minorHAnsi"/>
                <w:sz w:val="20"/>
                <w:szCs w:val="20"/>
              </w:rPr>
            </w:pPr>
          </w:p>
        </w:tc>
        <w:tc>
          <w:tcPr>
            <w:tcW w:w="765" w:type="pct"/>
          </w:tcPr>
          <w:p w:rsidR="00C17738" w:rsidRPr="00E14F7A" w:rsidRDefault="00C17738" w:rsidP="008F7BB0">
            <w:pPr>
              <w:autoSpaceDE w:val="0"/>
              <w:autoSpaceDN w:val="0"/>
              <w:adjustRightInd w:val="0"/>
              <w:rPr>
                <w:rFonts w:cstheme="minorHAnsi"/>
                <w:sz w:val="20"/>
                <w:szCs w:val="20"/>
              </w:rPr>
            </w:pPr>
          </w:p>
        </w:tc>
        <w:tc>
          <w:tcPr>
            <w:tcW w:w="719" w:type="pct"/>
          </w:tcPr>
          <w:p w:rsidR="00C17738" w:rsidRPr="00E14F7A"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 normalized units</w:t>
            </w:r>
          </w:p>
        </w:tc>
        <w:tc>
          <w:tcPr>
            <w:tcW w:w="767" w:type="pct"/>
          </w:tcPr>
          <w:p w:rsidR="00C17738" w:rsidRPr="00E14F7A" w:rsidRDefault="008A17EC" w:rsidP="008F7BB0">
            <w:pPr>
              <w:rPr>
                <w:sz w:val="20"/>
                <w:szCs w:val="20"/>
              </w:rPr>
            </w:pPr>
            <w:r>
              <w:rPr>
                <w:rFonts w:cstheme="minorHAnsi"/>
                <w:sz w:val="20"/>
                <w:szCs w:val="20"/>
              </w:rPr>
              <w:t>82.93</w:t>
            </w:r>
            <w:r w:rsidRPr="00E14F7A">
              <w:rPr>
                <w:rFonts w:cstheme="minorHAnsi"/>
                <w:sz w:val="20"/>
                <w:szCs w:val="20"/>
              </w:rPr>
              <w:t>±</w:t>
            </w:r>
            <w:r>
              <w:rPr>
                <w:rFonts w:cstheme="minorHAnsi"/>
                <w:sz w:val="20"/>
                <w:szCs w:val="20"/>
              </w:rPr>
              <w:t>5.51</w:t>
            </w:r>
          </w:p>
        </w:tc>
        <w:tc>
          <w:tcPr>
            <w:tcW w:w="760" w:type="pct"/>
          </w:tcPr>
          <w:p w:rsidR="00C17738" w:rsidRPr="00E14F7A" w:rsidRDefault="008A17EC" w:rsidP="008F7BB0">
            <w:pPr>
              <w:rPr>
                <w:sz w:val="20"/>
                <w:szCs w:val="20"/>
              </w:rPr>
            </w:pPr>
            <w:r>
              <w:rPr>
                <w:rFonts w:cstheme="minorHAnsi"/>
                <w:sz w:val="20"/>
                <w:szCs w:val="20"/>
              </w:rPr>
              <w:t>82.98</w:t>
            </w:r>
            <w:r w:rsidRPr="00E14F7A">
              <w:rPr>
                <w:rFonts w:cstheme="minorHAnsi"/>
                <w:sz w:val="20"/>
                <w:szCs w:val="20"/>
              </w:rPr>
              <w:t>±</w:t>
            </w:r>
            <w:r>
              <w:rPr>
                <w:rFonts w:cstheme="minorHAnsi"/>
                <w:sz w:val="20"/>
                <w:szCs w:val="20"/>
              </w:rPr>
              <w:t>4.53</w:t>
            </w:r>
          </w:p>
        </w:tc>
        <w:tc>
          <w:tcPr>
            <w:tcW w:w="603" w:type="pct"/>
          </w:tcPr>
          <w:p w:rsidR="00C17738" w:rsidRDefault="008A17EC" w:rsidP="008F7BB0">
            <w:r>
              <w:rPr>
                <w:rFonts w:cstheme="minorHAnsi"/>
                <w:sz w:val="20"/>
                <w:szCs w:val="20"/>
              </w:rPr>
              <w:t>88.91</w:t>
            </w:r>
            <w:r w:rsidRPr="004E5C0C">
              <w:rPr>
                <w:rFonts w:cstheme="minorHAnsi"/>
                <w:sz w:val="20"/>
                <w:szCs w:val="20"/>
              </w:rPr>
              <w:t>±</w:t>
            </w:r>
            <w:r>
              <w:rPr>
                <w:rFonts w:cstheme="minorHAnsi"/>
                <w:sz w:val="20"/>
                <w:szCs w:val="20"/>
              </w:rPr>
              <w:t>3.12</w:t>
            </w:r>
          </w:p>
        </w:tc>
        <w:tc>
          <w:tcPr>
            <w:tcW w:w="765" w:type="pct"/>
          </w:tcPr>
          <w:p w:rsidR="00C17738" w:rsidRDefault="008A17EC" w:rsidP="008F7BB0">
            <w:r>
              <w:rPr>
                <w:rFonts w:cstheme="minorHAnsi"/>
                <w:sz w:val="20"/>
                <w:szCs w:val="20"/>
              </w:rPr>
              <w:t>85.09</w:t>
            </w:r>
            <w:r w:rsidRPr="004E5C0C">
              <w:rPr>
                <w:rFonts w:cstheme="minorHAnsi"/>
                <w:sz w:val="20"/>
                <w:szCs w:val="20"/>
              </w:rPr>
              <w:t>±</w:t>
            </w:r>
            <w:r>
              <w:rPr>
                <w:rFonts w:cstheme="minorHAnsi"/>
                <w:sz w:val="20"/>
                <w:szCs w:val="20"/>
              </w:rPr>
              <w:t>4.13</w:t>
            </w:r>
          </w:p>
        </w:tc>
        <w:tc>
          <w:tcPr>
            <w:tcW w:w="719" w:type="pct"/>
          </w:tcPr>
          <w:p w:rsidR="00C17738" w:rsidRPr="00E14F7A" w:rsidRDefault="008A17EC" w:rsidP="008F7BB0">
            <w:pPr>
              <w:autoSpaceDE w:val="0"/>
              <w:autoSpaceDN w:val="0"/>
              <w:adjustRightInd w:val="0"/>
              <w:rPr>
                <w:rFonts w:cstheme="minorHAnsi"/>
                <w:sz w:val="20"/>
                <w:szCs w:val="20"/>
              </w:rPr>
            </w:pPr>
            <w:r>
              <w:rPr>
                <w:rFonts w:cstheme="minorHAnsi"/>
                <w:sz w:val="20"/>
                <w:szCs w:val="20"/>
              </w:rPr>
              <w:t>0.001*;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HF, normalized units</w:t>
            </w:r>
          </w:p>
        </w:tc>
        <w:tc>
          <w:tcPr>
            <w:tcW w:w="767" w:type="pct"/>
          </w:tcPr>
          <w:p w:rsidR="00C17738" w:rsidRPr="00E14F7A" w:rsidRDefault="008A17EC" w:rsidP="008F7BB0">
            <w:pPr>
              <w:rPr>
                <w:sz w:val="20"/>
                <w:szCs w:val="20"/>
              </w:rPr>
            </w:pPr>
            <w:r>
              <w:rPr>
                <w:rFonts w:cstheme="minorHAnsi"/>
                <w:sz w:val="20"/>
                <w:szCs w:val="20"/>
              </w:rPr>
              <w:t>19.12</w:t>
            </w:r>
            <w:r w:rsidRPr="00E14F7A">
              <w:rPr>
                <w:rFonts w:cstheme="minorHAnsi"/>
                <w:sz w:val="20"/>
                <w:szCs w:val="20"/>
              </w:rPr>
              <w:t>±</w:t>
            </w:r>
            <w:r>
              <w:rPr>
                <w:rFonts w:cstheme="minorHAnsi"/>
                <w:sz w:val="20"/>
                <w:szCs w:val="20"/>
              </w:rPr>
              <w:t>1.19</w:t>
            </w:r>
          </w:p>
        </w:tc>
        <w:tc>
          <w:tcPr>
            <w:tcW w:w="760" w:type="pct"/>
          </w:tcPr>
          <w:p w:rsidR="00C17738" w:rsidRPr="00E14F7A" w:rsidRDefault="008A17EC" w:rsidP="008F7BB0">
            <w:pPr>
              <w:rPr>
                <w:sz w:val="20"/>
                <w:szCs w:val="20"/>
              </w:rPr>
            </w:pPr>
            <w:r>
              <w:rPr>
                <w:rFonts w:cstheme="minorHAnsi"/>
                <w:sz w:val="20"/>
                <w:szCs w:val="20"/>
              </w:rPr>
              <w:t>18.65</w:t>
            </w:r>
            <w:r w:rsidRPr="00E14F7A">
              <w:rPr>
                <w:rFonts w:cstheme="minorHAnsi"/>
                <w:sz w:val="20"/>
                <w:szCs w:val="20"/>
              </w:rPr>
              <w:t>±</w:t>
            </w:r>
            <w:r>
              <w:rPr>
                <w:rFonts w:cstheme="minorHAnsi"/>
                <w:sz w:val="20"/>
                <w:szCs w:val="20"/>
              </w:rPr>
              <w:t>1.29</w:t>
            </w:r>
          </w:p>
        </w:tc>
        <w:tc>
          <w:tcPr>
            <w:tcW w:w="603" w:type="pct"/>
          </w:tcPr>
          <w:p w:rsidR="00C17738" w:rsidRDefault="008A17EC" w:rsidP="008F7BB0">
            <w:r>
              <w:rPr>
                <w:rFonts w:cstheme="minorHAnsi"/>
                <w:sz w:val="20"/>
                <w:szCs w:val="20"/>
              </w:rPr>
              <w:t>15.32</w:t>
            </w:r>
            <w:r w:rsidRPr="004E5C0C">
              <w:rPr>
                <w:rFonts w:cstheme="minorHAnsi"/>
                <w:sz w:val="20"/>
                <w:szCs w:val="20"/>
              </w:rPr>
              <w:t>±</w:t>
            </w:r>
            <w:r>
              <w:rPr>
                <w:rFonts w:cstheme="minorHAnsi"/>
                <w:sz w:val="20"/>
                <w:szCs w:val="20"/>
              </w:rPr>
              <w:t>0.73</w:t>
            </w:r>
          </w:p>
        </w:tc>
        <w:tc>
          <w:tcPr>
            <w:tcW w:w="765" w:type="pct"/>
          </w:tcPr>
          <w:p w:rsidR="00C17738" w:rsidRDefault="008A17EC" w:rsidP="008F7BB0">
            <w:r>
              <w:rPr>
                <w:rFonts w:cstheme="minorHAnsi"/>
                <w:sz w:val="20"/>
                <w:szCs w:val="20"/>
              </w:rPr>
              <w:t>17.19</w:t>
            </w:r>
            <w:r w:rsidRPr="004E5C0C">
              <w:rPr>
                <w:rFonts w:cstheme="minorHAnsi"/>
                <w:sz w:val="20"/>
                <w:szCs w:val="20"/>
              </w:rPr>
              <w:t>±</w:t>
            </w:r>
            <w:r>
              <w:rPr>
                <w:rFonts w:cstheme="minorHAnsi"/>
                <w:sz w:val="20"/>
                <w:szCs w:val="20"/>
              </w:rPr>
              <w:t>0.70</w:t>
            </w:r>
          </w:p>
        </w:tc>
        <w:tc>
          <w:tcPr>
            <w:tcW w:w="719" w:type="pct"/>
          </w:tcPr>
          <w:p w:rsidR="00C17738" w:rsidRPr="00E14F7A" w:rsidRDefault="008A17EC" w:rsidP="008F7BB0">
            <w:pPr>
              <w:autoSpaceDE w:val="0"/>
              <w:autoSpaceDN w:val="0"/>
              <w:adjustRightInd w:val="0"/>
              <w:rPr>
                <w:rFonts w:cstheme="minorHAnsi"/>
                <w:sz w:val="20"/>
                <w:szCs w:val="20"/>
              </w:rPr>
            </w:pPr>
            <w:r>
              <w:rPr>
                <w:rFonts w:cstheme="minorHAnsi"/>
                <w:sz w:val="20"/>
                <w:szCs w:val="20"/>
              </w:rPr>
              <w:t>0.014*; ;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LF/HF ratio</w:t>
            </w:r>
          </w:p>
        </w:tc>
        <w:tc>
          <w:tcPr>
            <w:tcW w:w="767" w:type="pct"/>
          </w:tcPr>
          <w:p w:rsidR="00C17738" w:rsidRPr="00E14F7A" w:rsidRDefault="008A17EC" w:rsidP="008F7BB0">
            <w:pPr>
              <w:rPr>
                <w:sz w:val="20"/>
                <w:szCs w:val="20"/>
              </w:rPr>
            </w:pPr>
            <w:r w:rsidRPr="00E14F7A">
              <w:rPr>
                <w:rFonts w:cstheme="minorHAnsi"/>
                <w:sz w:val="20"/>
                <w:szCs w:val="20"/>
              </w:rPr>
              <w:t>4.35±0.39</w:t>
            </w:r>
          </w:p>
        </w:tc>
        <w:tc>
          <w:tcPr>
            <w:tcW w:w="760" w:type="pct"/>
          </w:tcPr>
          <w:p w:rsidR="00C17738" w:rsidRPr="00E14F7A" w:rsidRDefault="008A17EC" w:rsidP="008F7BB0">
            <w:pPr>
              <w:rPr>
                <w:sz w:val="20"/>
                <w:szCs w:val="20"/>
              </w:rPr>
            </w:pPr>
            <w:r w:rsidRPr="00E14F7A">
              <w:rPr>
                <w:rFonts w:cstheme="minorHAnsi"/>
                <w:sz w:val="20"/>
                <w:szCs w:val="20"/>
              </w:rPr>
              <w:t>4.47±0.43</w:t>
            </w:r>
          </w:p>
        </w:tc>
        <w:tc>
          <w:tcPr>
            <w:tcW w:w="603" w:type="pct"/>
          </w:tcPr>
          <w:p w:rsidR="00C17738" w:rsidRDefault="008A17EC" w:rsidP="008F7BB0">
            <w:r>
              <w:rPr>
                <w:rFonts w:cstheme="minorHAnsi"/>
                <w:sz w:val="20"/>
                <w:szCs w:val="20"/>
              </w:rPr>
              <w:t>5.82</w:t>
            </w:r>
            <w:r w:rsidRPr="004E5C0C">
              <w:rPr>
                <w:rFonts w:cstheme="minorHAnsi"/>
                <w:sz w:val="20"/>
                <w:szCs w:val="20"/>
              </w:rPr>
              <w:t>±</w:t>
            </w:r>
            <w:r>
              <w:rPr>
                <w:rFonts w:cstheme="minorHAnsi"/>
                <w:sz w:val="20"/>
                <w:szCs w:val="20"/>
              </w:rPr>
              <w:t>0.35</w:t>
            </w:r>
          </w:p>
        </w:tc>
        <w:tc>
          <w:tcPr>
            <w:tcW w:w="765" w:type="pct"/>
          </w:tcPr>
          <w:p w:rsidR="00C17738" w:rsidRDefault="008A17EC" w:rsidP="008F7BB0">
            <w:r>
              <w:rPr>
                <w:rFonts w:cstheme="minorHAnsi"/>
                <w:sz w:val="20"/>
                <w:szCs w:val="20"/>
              </w:rPr>
              <w:t>4.96</w:t>
            </w:r>
            <w:r w:rsidRPr="004E5C0C">
              <w:rPr>
                <w:rFonts w:cstheme="minorHAnsi"/>
                <w:sz w:val="20"/>
                <w:szCs w:val="20"/>
              </w:rPr>
              <w:t>±</w:t>
            </w:r>
            <w:r>
              <w:rPr>
                <w:rFonts w:cstheme="minorHAnsi"/>
                <w:sz w:val="20"/>
                <w:szCs w:val="20"/>
              </w:rPr>
              <w:t>0.32</w:t>
            </w:r>
          </w:p>
        </w:tc>
        <w:tc>
          <w:tcPr>
            <w:tcW w:w="719" w:type="pct"/>
          </w:tcPr>
          <w:p w:rsidR="00C17738" w:rsidRPr="00E14F7A" w:rsidRDefault="008A17EC" w:rsidP="008F7BB0">
            <w:pPr>
              <w:autoSpaceDE w:val="0"/>
              <w:autoSpaceDN w:val="0"/>
              <w:adjustRightInd w:val="0"/>
              <w:rPr>
                <w:rFonts w:cstheme="minorHAnsi"/>
                <w:sz w:val="20"/>
                <w:szCs w:val="20"/>
              </w:rPr>
            </w:pPr>
            <w:r w:rsidRPr="00E14F7A">
              <w:rPr>
                <w:rFonts w:cstheme="minorHAnsi"/>
                <w:sz w:val="20"/>
                <w:szCs w:val="20"/>
              </w:rPr>
              <w:t>0.104;</w:t>
            </w:r>
            <w:r>
              <w:rPr>
                <w:rFonts w:cstheme="minorHAnsi"/>
                <w:sz w:val="20"/>
                <w:szCs w:val="20"/>
              </w:rPr>
              <w:t xml:space="preserve"> 0.001**</w:t>
            </w:r>
          </w:p>
        </w:tc>
      </w:tr>
      <w:tr w:rsidR="00984F77" w:rsidRPr="00C577C6" w:rsidTr="00C17738">
        <w:tc>
          <w:tcPr>
            <w:tcW w:w="1385" w:type="pct"/>
          </w:tcPr>
          <w:p w:rsidR="00C17738" w:rsidRPr="00E14F7A" w:rsidRDefault="008A17EC" w:rsidP="008F7BB0">
            <w:pPr>
              <w:rPr>
                <w:b/>
                <w:sz w:val="20"/>
                <w:szCs w:val="20"/>
                <w:lang w:val="en-US"/>
              </w:rPr>
            </w:pPr>
            <w:r w:rsidRPr="00E14F7A">
              <w:rPr>
                <w:rFonts w:cstheme="minorHAnsi"/>
                <w:b/>
                <w:sz w:val="20"/>
                <w:szCs w:val="20"/>
                <w:lang w:val="en-US"/>
              </w:rPr>
              <w:t>123I-MIBG myocardial scintigraphy parameters</w:t>
            </w:r>
          </w:p>
        </w:tc>
        <w:tc>
          <w:tcPr>
            <w:tcW w:w="767" w:type="pct"/>
          </w:tcPr>
          <w:p w:rsidR="00C17738" w:rsidRPr="00BA3B01" w:rsidRDefault="00C17738" w:rsidP="008F7BB0">
            <w:pPr>
              <w:autoSpaceDE w:val="0"/>
              <w:autoSpaceDN w:val="0"/>
              <w:adjustRightInd w:val="0"/>
              <w:rPr>
                <w:rFonts w:cstheme="minorHAnsi"/>
                <w:sz w:val="20"/>
                <w:szCs w:val="20"/>
                <w:lang w:val="en-US"/>
              </w:rPr>
            </w:pPr>
          </w:p>
        </w:tc>
        <w:tc>
          <w:tcPr>
            <w:tcW w:w="760" w:type="pct"/>
          </w:tcPr>
          <w:p w:rsidR="00C17738" w:rsidRPr="00BA3B01" w:rsidRDefault="00C17738" w:rsidP="008F7BB0">
            <w:pPr>
              <w:autoSpaceDE w:val="0"/>
              <w:autoSpaceDN w:val="0"/>
              <w:adjustRightInd w:val="0"/>
              <w:rPr>
                <w:rFonts w:cstheme="minorHAnsi"/>
                <w:sz w:val="20"/>
                <w:szCs w:val="20"/>
                <w:lang w:val="en-US"/>
              </w:rPr>
            </w:pPr>
          </w:p>
        </w:tc>
        <w:tc>
          <w:tcPr>
            <w:tcW w:w="603" w:type="pct"/>
          </w:tcPr>
          <w:p w:rsidR="00C17738" w:rsidRPr="00BA3B01" w:rsidRDefault="00C17738" w:rsidP="008F7BB0">
            <w:pPr>
              <w:autoSpaceDE w:val="0"/>
              <w:autoSpaceDN w:val="0"/>
              <w:adjustRightInd w:val="0"/>
              <w:rPr>
                <w:rFonts w:cstheme="minorHAnsi"/>
                <w:sz w:val="20"/>
                <w:szCs w:val="20"/>
                <w:lang w:val="en-US"/>
              </w:rPr>
            </w:pPr>
          </w:p>
        </w:tc>
        <w:tc>
          <w:tcPr>
            <w:tcW w:w="765" w:type="pct"/>
          </w:tcPr>
          <w:p w:rsidR="00C17738" w:rsidRPr="00BA3B01" w:rsidRDefault="00C17738" w:rsidP="008F7BB0">
            <w:pPr>
              <w:autoSpaceDE w:val="0"/>
              <w:autoSpaceDN w:val="0"/>
              <w:adjustRightInd w:val="0"/>
              <w:rPr>
                <w:rFonts w:cstheme="minorHAnsi"/>
                <w:sz w:val="20"/>
                <w:szCs w:val="20"/>
                <w:lang w:val="en-US"/>
              </w:rPr>
            </w:pPr>
          </w:p>
        </w:tc>
        <w:tc>
          <w:tcPr>
            <w:tcW w:w="719" w:type="pct"/>
          </w:tcPr>
          <w:p w:rsidR="00C17738" w:rsidRPr="00BA3B01" w:rsidRDefault="00C17738" w:rsidP="008F7BB0">
            <w:pPr>
              <w:autoSpaceDE w:val="0"/>
              <w:autoSpaceDN w:val="0"/>
              <w:adjustRightInd w:val="0"/>
              <w:rPr>
                <w:rFonts w:cstheme="minorHAnsi"/>
                <w:sz w:val="20"/>
                <w:szCs w:val="20"/>
                <w:lang w:val="en-US"/>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Heart to Mediastinum ratio</w:t>
            </w:r>
          </w:p>
        </w:tc>
        <w:tc>
          <w:tcPr>
            <w:tcW w:w="767" w:type="pct"/>
          </w:tcPr>
          <w:p w:rsidR="00C17738" w:rsidRPr="00E14F7A" w:rsidRDefault="008A17EC" w:rsidP="008F7BB0">
            <w:pPr>
              <w:rPr>
                <w:sz w:val="20"/>
                <w:szCs w:val="20"/>
              </w:rPr>
            </w:pPr>
            <w:r>
              <w:rPr>
                <w:rFonts w:cstheme="minorHAnsi"/>
                <w:sz w:val="20"/>
                <w:szCs w:val="20"/>
              </w:rPr>
              <w:t>1.90</w:t>
            </w:r>
            <w:r w:rsidRPr="00E14F7A">
              <w:rPr>
                <w:rFonts w:cstheme="minorHAnsi"/>
                <w:sz w:val="20"/>
                <w:szCs w:val="20"/>
              </w:rPr>
              <w:t>±</w:t>
            </w:r>
            <w:r>
              <w:rPr>
                <w:rFonts w:cstheme="minorHAnsi"/>
                <w:sz w:val="20"/>
                <w:szCs w:val="20"/>
              </w:rPr>
              <w:t>0.11</w:t>
            </w:r>
          </w:p>
        </w:tc>
        <w:tc>
          <w:tcPr>
            <w:tcW w:w="760" w:type="pct"/>
          </w:tcPr>
          <w:p w:rsidR="00C17738" w:rsidRPr="00E14F7A" w:rsidRDefault="008A17EC" w:rsidP="008F7BB0">
            <w:pPr>
              <w:rPr>
                <w:sz w:val="20"/>
                <w:szCs w:val="20"/>
              </w:rPr>
            </w:pPr>
            <w:r>
              <w:rPr>
                <w:rFonts w:cstheme="minorHAnsi"/>
                <w:sz w:val="20"/>
                <w:szCs w:val="20"/>
              </w:rPr>
              <w:t>1.89</w:t>
            </w:r>
            <w:r w:rsidRPr="00E14F7A">
              <w:rPr>
                <w:rFonts w:cstheme="minorHAnsi"/>
                <w:sz w:val="20"/>
                <w:szCs w:val="20"/>
              </w:rPr>
              <w:t>±</w:t>
            </w:r>
            <w:r>
              <w:rPr>
                <w:rFonts w:cstheme="minorHAnsi"/>
                <w:sz w:val="20"/>
                <w:szCs w:val="20"/>
              </w:rPr>
              <w:t>0.54</w:t>
            </w:r>
          </w:p>
        </w:tc>
        <w:tc>
          <w:tcPr>
            <w:tcW w:w="603" w:type="pct"/>
          </w:tcPr>
          <w:p w:rsidR="00C17738" w:rsidRDefault="008A17EC" w:rsidP="008F7BB0">
            <w:r>
              <w:rPr>
                <w:rFonts w:cstheme="minorHAnsi"/>
                <w:sz w:val="20"/>
                <w:szCs w:val="20"/>
              </w:rPr>
              <w:t>2.55</w:t>
            </w:r>
            <w:r w:rsidRPr="005005B9">
              <w:rPr>
                <w:rFonts w:cstheme="minorHAnsi"/>
                <w:sz w:val="20"/>
                <w:szCs w:val="20"/>
              </w:rPr>
              <w:t>±</w:t>
            </w:r>
            <w:r>
              <w:rPr>
                <w:rFonts w:cstheme="minorHAnsi"/>
                <w:sz w:val="20"/>
                <w:szCs w:val="20"/>
              </w:rPr>
              <w:t>0.29</w:t>
            </w:r>
          </w:p>
        </w:tc>
        <w:tc>
          <w:tcPr>
            <w:tcW w:w="765" w:type="pct"/>
          </w:tcPr>
          <w:p w:rsidR="00C17738" w:rsidRDefault="008A17EC" w:rsidP="008F7BB0">
            <w:r>
              <w:rPr>
                <w:rFonts w:cstheme="minorHAnsi"/>
                <w:sz w:val="20"/>
                <w:szCs w:val="20"/>
              </w:rPr>
              <w:t>2.05</w:t>
            </w:r>
            <w:r w:rsidRPr="005005B9">
              <w:rPr>
                <w:rFonts w:cstheme="minorHAnsi"/>
                <w:sz w:val="20"/>
                <w:szCs w:val="20"/>
              </w:rPr>
              <w:t>±</w:t>
            </w:r>
            <w:r>
              <w:rPr>
                <w:rFonts w:cstheme="minorHAnsi"/>
                <w:sz w:val="20"/>
                <w:szCs w:val="20"/>
              </w:rPr>
              <w:t>0.52</w:t>
            </w:r>
          </w:p>
        </w:tc>
        <w:tc>
          <w:tcPr>
            <w:tcW w:w="719" w:type="pct"/>
          </w:tcPr>
          <w:p w:rsidR="00C17738" w:rsidRPr="00E14F7A" w:rsidRDefault="008A17EC" w:rsidP="008F7BB0">
            <w:pPr>
              <w:autoSpaceDE w:val="0"/>
              <w:autoSpaceDN w:val="0"/>
              <w:adjustRightInd w:val="0"/>
              <w:rPr>
                <w:rFonts w:cstheme="minorHAnsi"/>
                <w:sz w:val="20"/>
                <w:szCs w:val="20"/>
              </w:rPr>
            </w:pPr>
            <w:r>
              <w:rPr>
                <w:rFonts w:cstheme="minorHAnsi"/>
                <w:sz w:val="20"/>
                <w:szCs w:val="20"/>
              </w:rPr>
              <w:t>0.020*;0.001**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Washout rate (%)</w:t>
            </w:r>
          </w:p>
        </w:tc>
        <w:tc>
          <w:tcPr>
            <w:tcW w:w="767" w:type="pct"/>
          </w:tcPr>
          <w:p w:rsidR="00C17738" w:rsidRPr="00E14F7A" w:rsidRDefault="008A17EC" w:rsidP="008F7BB0">
            <w:pPr>
              <w:rPr>
                <w:sz w:val="20"/>
                <w:szCs w:val="20"/>
              </w:rPr>
            </w:pPr>
            <w:r>
              <w:rPr>
                <w:rFonts w:cstheme="minorHAnsi"/>
                <w:sz w:val="20"/>
                <w:szCs w:val="20"/>
              </w:rPr>
              <w:t>47.45</w:t>
            </w:r>
            <w:r w:rsidRPr="00E14F7A">
              <w:rPr>
                <w:rFonts w:cstheme="minorHAnsi"/>
                <w:sz w:val="20"/>
                <w:szCs w:val="20"/>
              </w:rPr>
              <w:t>±</w:t>
            </w:r>
            <w:r>
              <w:rPr>
                <w:rFonts w:cstheme="minorHAnsi"/>
                <w:sz w:val="20"/>
                <w:szCs w:val="20"/>
              </w:rPr>
              <w:t>7.58</w:t>
            </w:r>
          </w:p>
        </w:tc>
        <w:tc>
          <w:tcPr>
            <w:tcW w:w="760" w:type="pct"/>
          </w:tcPr>
          <w:p w:rsidR="00C17738" w:rsidRPr="00E14F7A" w:rsidRDefault="008A17EC" w:rsidP="008F7BB0">
            <w:pPr>
              <w:rPr>
                <w:sz w:val="20"/>
                <w:szCs w:val="20"/>
              </w:rPr>
            </w:pPr>
            <w:r>
              <w:rPr>
                <w:rFonts w:cstheme="minorHAnsi"/>
                <w:sz w:val="20"/>
                <w:szCs w:val="20"/>
              </w:rPr>
              <w:t>42.61</w:t>
            </w:r>
            <w:r w:rsidRPr="00E14F7A">
              <w:rPr>
                <w:rFonts w:cstheme="minorHAnsi"/>
                <w:sz w:val="20"/>
                <w:szCs w:val="20"/>
              </w:rPr>
              <w:t>±</w:t>
            </w:r>
            <w:r>
              <w:rPr>
                <w:rFonts w:cstheme="minorHAnsi"/>
                <w:sz w:val="20"/>
                <w:szCs w:val="20"/>
              </w:rPr>
              <w:t>9.81</w:t>
            </w:r>
          </w:p>
        </w:tc>
        <w:tc>
          <w:tcPr>
            <w:tcW w:w="603" w:type="pct"/>
          </w:tcPr>
          <w:p w:rsidR="00C17738" w:rsidRDefault="008A17EC" w:rsidP="008F7BB0">
            <w:r>
              <w:rPr>
                <w:rFonts w:cstheme="minorHAnsi"/>
                <w:sz w:val="20"/>
                <w:szCs w:val="20"/>
              </w:rPr>
              <w:t>29.17</w:t>
            </w:r>
            <w:r w:rsidRPr="005005B9">
              <w:rPr>
                <w:rFonts w:cstheme="minorHAnsi"/>
                <w:sz w:val="20"/>
                <w:szCs w:val="20"/>
              </w:rPr>
              <w:t>±</w:t>
            </w:r>
            <w:r>
              <w:rPr>
                <w:rFonts w:cstheme="minorHAnsi"/>
                <w:sz w:val="20"/>
                <w:szCs w:val="20"/>
              </w:rPr>
              <w:t>6.55</w:t>
            </w:r>
          </w:p>
        </w:tc>
        <w:tc>
          <w:tcPr>
            <w:tcW w:w="765" w:type="pct"/>
          </w:tcPr>
          <w:p w:rsidR="00C17738" w:rsidRDefault="008A17EC" w:rsidP="008F7BB0">
            <w:r>
              <w:rPr>
                <w:rFonts w:cstheme="minorHAnsi"/>
                <w:sz w:val="20"/>
                <w:szCs w:val="20"/>
              </w:rPr>
              <w:t>40.66</w:t>
            </w:r>
            <w:r w:rsidRPr="005005B9">
              <w:rPr>
                <w:rFonts w:cstheme="minorHAnsi"/>
                <w:sz w:val="20"/>
                <w:szCs w:val="20"/>
              </w:rPr>
              <w:t>±</w:t>
            </w:r>
            <w:r>
              <w:rPr>
                <w:rFonts w:cstheme="minorHAnsi"/>
                <w:sz w:val="20"/>
                <w:szCs w:val="20"/>
              </w:rPr>
              <w:t>10.92</w:t>
            </w:r>
          </w:p>
        </w:tc>
        <w:tc>
          <w:tcPr>
            <w:tcW w:w="719" w:type="pct"/>
          </w:tcPr>
          <w:p w:rsidR="00C17738" w:rsidRPr="00E14F7A" w:rsidRDefault="008A17EC" w:rsidP="008F7BB0">
            <w:pPr>
              <w:autoSpaceDE w:val="0"/>
              <w:autoSpaceDN w:val="0"/>
              <w:adjustRightInd w:val="0"/>
              <w:rPr>
                <w:rFonts w:cstheme="minorHAnsi"/>
                <w:sz w:val="20"/>
                <w:szCs w:val="20"/>
              </w:rPr>
            </w:pPr>
            <w:r>
              <w:rPr>
                <w:rFonts w:cstheme="minorHAnsi"/>
                <w:sz w:val="20"/>
                <w:szCs w:val="20"/>
              </w:rPr>
              <w:t>0.045*;0.001**</w:t>
            </w:r>
          </w:p>
        </w:tc>
      </w:tr>
      <w:tr w:rsidR="00984F77" w:rsidTr="00C17738">
        <w:tc>
          <w:tcPr>
            <w:tcW w:w="1385" w:type="pct"/>
          </w:tcPr>
          <w:p w:rsidR="00C17738" w:rsidRPr="00E14F7A" w:rsidRDefault="00C17738" w:rsidP="008F7BB0">
            <w:pPr>
              <w:rPr>
                <w:sz w:val="20"/>
                <w:szCs w:val="20"/>
              </w:rPr>
            </w:pP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6D728E" w:rsidRDefault="008A17EC" w:rsidP="008F7BB0">
            <w:pPr>
              <w:rPr>
                <w:b/>
                <w:sz w:val="20"/>
                <w:szCs w:val="20"/>
              </w:rPr>
            </w:pPr>
            <w:r>
              <w:rPr>
                <w:b/>
                <w:sz w:val="20"/>
                <w:szCs w:val="20"/>
              </w:rPr>
              <w:t>B) MIXED</w:t>
            </w:r>
            <w:r w:rsidRPr="006D728E">
              <w:rPr>
                <w:b/>
                <w:sz w:val="20"/>
                <w:szCs w:val="20"/>
              </w:rPr>
              <w:t xml:space="preserve"> SYNCOPE</w:t>
            </w:r>
          </w:p>
        </w:tc>
        <w:tc>
          <w:tcPr>
            <w:tcW w:w="767" w:type="pct"/>
          </w:tcPr>
          <w:p w:rsidR="00C17738" w:rsidRPr="00E14F7A" w:rsidRDefault="00C17738" w:rsidP="008F7BB0">
            <w:pPr>
              <w:autoSpaceDE w:val="0"/>
              <w:autoSpaceDN w:val="0"/>
              <w:adjustRightInd w:val="0"/>
              <w:rPr>
                <w:rFonts w:cstheme="minorHAnsi"/>
                <w:b/>
                <w:sz w:val="20"/>
                <w:szCs w:val="20"/>
              </w:rPr>
            </w:pPr>
          </w:p>
        </w:tc>
        <w:tc>
          <w:tcPr>
            <w:tcW w:w="760" w:type="pct"/>
          </w:tcPr>
          <w:p w:rsidR="00C17738" w:rsidRPr="00E14F7A" w:rsidRDefault="00C17738" w:rsidP="008F7BB0">
            <w:pPr>
              <w:autoSpaceDE w:val="0"/>
              <w:autoSpaceDN w:val="0"/>
              <w:adjustRightInd w:val="0"/>
              <w:rPr>
                <w:rFonts w:cstheme="minorHAnsi"/>
                <w:b/>
                <w:sz w:val="20"/>
                <w:szCs w:val="20"/>
              </w:rPr>
            </w:pPr>
          </w:p>
        </w:tc>
        <w:tc>
          <w:tcPr>
            <w:tcW w:w="603" w:type="pct"/>
          </w:tcPr>
          <w:p w:rsidR="00C17738" w:rsidRPr="00E14F7A" w:rsidRDefault="00C17738" w:rsidP="008F7BB0">
            <w:pPr>
              <w:autoSpaceDE w:val="0"/>
              <w:autoSpaceDN w:val="0"/>
              <w:adjustRightInd w:val="0"/>
              <w:rPr>
                <w:rFonts w:cstheme="minorHAnsi"/>
                <w:b/>
                <w:sz w:val="20"/>
                <w:szCs w:val="20"/>
              </w:rPr>
            </w:pPr>
          </w:p>
        </w:tc>
        <w:tc>
          <w:tcPr>
            <w:tcW w:w="765" w:type="pct"/>
          </w:tcPr>
          <w:p w:rsidR="00C17738" w:rsidRPr="00E14F7A" w:rsidRDefault="00C17738" w:rsidP="008F7BB0">
            <w:pPr>
              <w:autoSpaceDE w:val="0"/>
              <w:autoSpaceDN w:val="0"/>
              <w:adjustRightInd w:val="0"/>
              <w:rPr>
                <w:rFonts w:cstheme="minorHAnsi"/>
                <w:b/>
                <w:sz w:val="20"/>
                <w:szCs w:val="20"/>
              </w:rPr>
            </w:pPr>
          </w:p>
        </w:tc>
        <w:tc>
          <w:tcPr>
            <w:tcW w:w="719" w:type="pct"/>
          </w:tcPr>
          <w:p w:rsidR="00C17738" w:rsidRPr="00E14F7A" w:rsidRDefault="00C17738" w:rsidP="008F7BB0">
            <w:pPr>
              <w:autoSpaceDE w:val="0"/>
              <w:autoSpaceDN w:val="0"/>
              <w:adjustRightInd w:val="0"/>
              <w:rPr>
                <w:rFonts w:cstheme="minorHAnsi"/>
                <w:b/>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Autonomic system parameters</w:t>
            </w:r>
          </w:p>
        </w:tc>
        <w:tc>
          <w:tcPr>
            <w:tcW w:w="767" w:type="pct"/>
          </w:tcPr>
          <w:p w:rsidR="00C17738" w:rsidRPr="00E14F7A" w:rsidRDefault="00C17738" w:rsidP="008F7BB0">
            <w:pPr>
              <w:autoSpaceDE w:val="0"/>
              <w:autoSpaceDN w:val="0"/>
              <w:adjustRightInd w:val="0"/>
              <w:rPr>
                <w:rFonts w:cstheme="minorHAnsi"/>
                <w:b/>
                <w:sz w:val="20"/>
                <w:szCs w:val="20"/>
              </w:rPr>
            </w:pPr>
          </w:p>
        </w:tc>
        <w:tc>
          <w:tcPr>
            <w:tcW w:w="760" w:type="pct"/>
          </w:tcPr>
          <w:p w:rsidR="00C17738" w:rsidRPr="00E14F7A" w:rsidRDefault="00C17738" w:rsidP="008F7BB0">
            <w:pPr>
              <w:autoSpaceDE w:val="0"/>
              <w:autoSpaceDN w:val="0"/>
              <w:adjustRightInd w:val="0"/>
              <w:rPr>
                <w:rFonts w:cstheme="minorHAnsi"/>
                <w:b/>
                <w:sz w:val="20"/>
                <w:szCs w:val="20"/>
              </w:rPr>
            </w:pPr>
          </w:p>
        </w:tc>
        <w:tc>
          <w:tcPr>
            <w:tcW w:w="603" w:type="pct"/>
          </w:tcPr>
          <w:p w:rsidR="00C17738" w:rsidRPr="00E14F7A" w:rsidRDefault="00C17738" w:rsidP="008F7BB0">
            <w:pPr>
              <w:autoSpaceDE w:val="0"/>
              <w:autoSpaceDN w:val="0"/>
              <w:adjustRightInd w:val="0"/>
              <w:rPr>
                <w:rFonts w:cstheme="minorHAnsi"/>
                <w:b/>
                <w:sz w:val="20"/>
                <w:szCs w:val="20"/>
              </w:rPr>
            </w:pPr>
          </w:p>
        </w:tc>
        <w:tc>
          <w:tcPr>
            <w:tcW w:w="765" w:type="pct"/>
          </w:tcPr>
          <w:p w:rsidR="00C17738" w:rsidRPr="00E14F7A" w:rsidRDefault="00C17738" w:rsidP="008F7BB0">
            <w:pPr>
              <w:autoSpaceDE w:val="0"/>
              <w:autoSpaceDN w:val="0"/>
              <w:adjustRightInd w:val="0"/>
              <w:rPr>
                <w:rFonts w:cstheme="minorHAnsi"/>
                <w:b/>
                <w:sz w:val="20"/>
                <w:szCs w:val="20"/>
              </w:rPr>
            </w:pPr>
          </w:p>
        </w:tc>
        <w:tc>
          <w:tcPr>
            <w:tcW w:w="719" w:type="pct"/>
          </w:tcPr>
          <w:p w:rsidR="00C17738" w:rsidRPr="00E14F7A" w:rsidRDefault="00C17738" w:rsidP="008F7BB0">
            <w:pPr>
              <w:autoSpaceDE w:val="0"/>
              <w:autoSpaceDN w:val="0"/>
              <w:adjustRightInd w:val="0"/>
              <w:rPr>
                <w:rFonts w:cstheme="minorHAnsi"/>
                <w:b/>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sz w:val="20"/>
                <w:szCs w:val="20"/>
              </w:rPr>
            </w:pPr>
            <w:r w:rsidRPr="00E14F7A">
              <w:rPr>
                <w:rFonts w:cstheme="minorHAnsi"/>
                <w:sz w:val="20"/>
                <w:szCs w:val="20"/>
              </w:rPr>
              <w:t>Heart rate</w:t>
            </w:r>
          </w:p>
        </w:tc>
        <w:tc>
          <w:tcPr>
            <w:tcW w:w="767" w:type="pct"/>
          </w:tcPr>
          <w:p w:rsidR="00C17738" w:rsidRDefault="008A17EC" w:rsidP="008F7BB0">
            <w:pPr>
              <w:rPr>
                <w:rFonts w:cstheme="minorHAnsi"/>
                <w:sz w:val="20"/>
                <w:szCs w:val="20"/>
              </w:rPr>
            </w:pPr>
            <w:r>
              <w:rPr>
                <w:rFonts w:cstheme="minorHAnsi"/>
                <w:sz w:val="20"/>
                <w:szCs w:val="20"/>
              </w:rPr>
              <w:t>73.6±12.1</w:t>
            </w:r>
          </w:p>
        </w:tc>
        <w:tc>
          <w:tcPr>
            <w:tcW w:w="760" w:type="pct"/>
          </w:tcPr>
          <w:p w:rsidR="00C17738" w:rsidRDefault="008A17EC" w:rsidP="008F7BB0">
            <w:r>
              <w:rPr>
                <w:rFonts w:cstheme="minorHAnsi"/>
                <w:sz w:val="20"/>
                <w:szCs w:val="20"/>
              </w:rPr>
              <w:t>79.3</w:t>
            </w:r>
            <w:r w:rsidRPr="004A4EF2">
              <w:rPr>
                <w:rFonts w:cstheme="minorHAnsi"/>
                <w:sz w:val="20"/>
                <w:szCs w:val="20"/>
              </w:rPr>
              <w:t>±</w:t>
            </w:r>
            <w:r>
              <w:rPr>
                <w:rFonts w:cstheme="minorHAnsi"/>
                <w:sz w:val="20"/>
                <w:szCs w:val="20"/>
              </w:rPr>
              <w:t>11.4</w:t>
            </w:r>
          </w:p>
        </w:tc>
        <w:tc>
          <w:tcPr>
            <w:tcW w:w="603" w:type="pct"/>
          </w:tcPr>
          <w:p w:rsidR="00C17738" w:rsidRDefault="008A17EC" w:rsidP="008F7BB0">
            <w:r>
              <w:rPr>
                <w:rFonts w:cstheme="minorHAnsi"/>
                <w:sz w:val="20"/>
                <w:szCs w:val="20"/>
              </w:rPr>
              <w:t>56.5</w:t>
            </w:r>
            <w:r w:rsidRPr="004A4EF2">
              <w:rPr>
                <w:rFonts w:cstheme="minorHAnsi"/>
                <w:sz w:val="20"/>
                <w:szCs w:val="20"/>
              </w:rPr>
              <w:t>±</w:t>
            </w:r>
            <w:r>
              <w:rPr>
                <w:rFonts w:cstheme="minorHAnsi"/>
                <w:sz w:val="20"/>
                <w:szCs w:val="20"/>
              </w:rPr>
              <w:t>9.6</w:t>
            </w:r>
          </w:p>
        </w:tc>
        <w:tc>
          <w:tcPr>
            <w:tcW w:w="765" w:type="pct"/>
          </w:tcPr>
          <w:p w:rsidR="00C17738" w:rsidRDefault="008A17EC" w:rsidP="008F7BB0">
            <w:r>
              <w:rPr>
                <w:rFonts w:cstheme="minorHAnsi"/>
                <w:sz w:val="20"/>
                <w:szCs w:val="20"/>
              </w:rPr>
              <w:t>76.4</w:t>
            </w:r>
            <w:r w:rsidRPr="004A4EF2">
              <w:rPr>
                <w:rFonts w:cstheme="minorHAnsi"/>
                <w:sz w:val="20"/>
                <w:szCs w:val="20"/>
              </w:rPr>
              <w:t>±</w:t>
            </w:r>
            <w:r>
              <w:rPr>
                <w:rFonts w:cstheme="minorHAnsi"/>
                <w:sz w:val="20"/>
                <w:szCs w:val="20"/>
              </w:rPr>
              <w:t>10.1</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0.146; 0.043**</w:t>
            </w:r>
          </w:p>
        </w:tc>
      </w:tr>
      <w:tr w:rsidR="00984F77" w:rsidTr="00C17738">
        <w:tc>
          <w:tcPr>
            <w:tcW w:w="1385" w:type="pct"/>
          </w:tcPr>
          <w:p w:rsidR="00C17738" w:rsidRPr="00E14F7A" w:rsidRDefault="008A17EC" w:rsidP="008F7BB0">
            <w:pPr>
              <w:rPr>
                <w:b/>
                <w:sz w:val="20"/>
                <w:szCs w:val="20"/>
                <w:lang w:val="en-US"/>
              </w:rPr>
            </w:pPr>
            <w:r w:rsidRPr="00E14F7A">
              <w:rPr>
                <w:b/>
                <w:sz w:val="20"/>
                <w:szCs w:val="20"/>
                <w:lang w:val="en-US"/>
              </w:rPr>
              <w:t>ECG Holter parameters</w:t>
            </w: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 normalized units</w:t>
            </w:r>
          </w:p>
        </w:tc>
        <w:tc>
          <w:tcPr>
            <w:tcW w:w="767" w:type="pct"/>
          </w:tcPr>
          <w:p w:rsidR="00C17738" w:rsidRDefault="008A17EC" w:rsidP="008F7BB0">
            <w:r>
              <w:rPr>
                <w:rFonts w:cstheme="minorHAnsi"/>
                <w:sz w:val="20"/>
                <w:szCs w:val="20"/>
              </w:rPr>
              <w:t>87.43</w:t>
            </w:r>
            <w:r w:rsidRPr="002D2C50">
              <w:rPr>
                <w:rFonts w:cstheme="minorHAnsi"/>
                <w:sz w:val="20"/>
                <w:szCs w:val="20"/>
              </w:rPr>
              <w:t>±</w:t>
            </w:r>
            <w:r>
              <w:rPr>
                <w:rFonts w:cstheme="minorHAnsi"/>
                <w:sz w:val="20"/>
                <w:szCs w:val="20"/>
              </w:rPr>
              <w:t>2.69</w:t>
            </w:r>
          </w:p>
        </w:tc>
        <w:tc>
          <w:tcPr>
            <w:tcW w:w="760" w:type="pct"/>
          </w:tcPr>
          <w:p w:rsidR="00C17738" w:rsidRDefault="008A17EC" w:rsidP="008F7BB0">
            <w:r>
              <w:rPr>
                <w:rFonts w:cstheme="minorHAnsi"/>
                <w:sz w:val="20"/>
                <w:szCs w:val="20"/>
              </w:rPr>
              <w:t>82.68</w:t>
            </w:r>
            <w:r w:rsidRPr="002D2C50">
              <w:rPr>
                <w:rFonts w:cstheme="minorHAnsi"/>
                <w:sz w:val="20"/>
                <w:szCs w:val="20"/>
              </w:rPr>
              <w:t>±</w:t>
            </w:r>
            <w:r>
              <w:rPr>
                <w:rFonts w:cstheme="minorHAnsi"/>
                <w:sz w:val="20"/>
                <w:szCs w:val="20"/>
              </w:rPr>
              <w:t>4.76</w:t>
            </w:r>
          </w:p>
        </w:tc>
        <w:tc>
          <w:tcPr>
            <w:tcW w:w="603" w:type="pct"/>
          </w:tcPr>
          <w:p w:rsidR="00C17738" w:rsidRDefault="008A17EC" w:rsidP="008F7BB0">
            <w:r>
              <w:rPr>
                <w:rFonts w:cstheme="minorHAnsi"/>
                <w:sz w:val="20"/>
                <w:szCs w:val="20"/>
              </w:rPr>
              <w:t>89.30</w:t>
            </w:r>
            <w:r w:rsidRPr="002D2C50">
              <w:rPr>
                <w:rFonts w:cstheme="minorHAnsi"/>
                <w:sz w:val="20"/>
                <w:szCs w:val="20"/>
              </w:rPr>
              <w:t>±</w:t>
            </w:r>
            <w:r>
              <w:rPr>
                <w:rFonts w:cstheme="minorHAnsi"/>
                <w:sz w:val="20"/>
                <w:szCs w:val="20"/>
              </w:rPr>
              <w:t>1.99</w:t>
            </w:r>
          </w:p>
        </w:tc>
        <w:tc>
          <w:tcPr>
            <w:tcW w:w="765" w:type="pct"/>
          </w:tcPr>
          <w:p w:rsidR="00C17738" w:rsidRDefault="008A17EC" w:rsidP="008F7BB0">
            <w:r>
              <w:rPr>
                <w:rFonts w:cstheme="minorHAnsi"/>
                <w:sz w:val="20"/>
                <w:szCs w:val="20"/>
              </w:rPr>
              <w:t>85.87</w:t>
            </w:r>
            <w:r w:rsidRPr="002D2C50">
              <w:rPr>
                <w:rFonts w:cstheme="minorHAnsi"/>
                <w:sz w:val="20"/>
                <w:szCs w:val="20"/>
              </w:rPr>
              <w:t>±</w:t>
            </w:r>
            <w:r>
              <w:rPr>
                <w:rFonts w:cstheme="minorHAnsi"/>
                <w:sz w:val="20"/>
                <w:szCs w:val="20"/>
              </w:rPr>
              <w:t>3.92</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0.001*; 0.007**</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HF, normalized units</w:t>
            </w:r>
          </w:p>
        </w:tc>
        <w:tc>
          <w:tcPr>
            <w:tcW w:w="767" w:type="pct"/>
          </w:tcPr>
          <w:p w:rsidR="00C17738" w:rsidRDefault="008A17EC" w:rsidP="008F7BB0">
            <w:r>
              <w:rPr>
                <w:rFonts w:cstheme="minorHAnsi"/>
                <w:sz w:val="20"/>
                <w:szCs w:val="20"/>
              </w:rPr>
              <w:t>19.07</w:t>
            </w:r>
            <w:r w:rsidRPr="002D2C50">
              <w:rPr>
                <w:rFonts w:cstheme="minorHAnsi"/>
                <w:sz w:val="20"/>
                <w:szCs w:val="20"/>
              </w:rPr>
              <w:t>±</w:t>
            </w:r>
            <w:r>
              <w:rPr>
                <w:rFonts w:cstheme="minorHAnsi"/>
                <w:sz w:val="20"/>
                <w:szCs w:val="20"/>
              </w:rPr>
              <w:t>1.82</w:t>
            </w:r>
          </w:p>
        </w:tc>
        <w:tc>
          <w:tcPr>
            <w:tcW w:w="760" w:type="pct"/>
          </w:tcPr>
          <w:p w:rsidR="00C17738" w:rsidRDefault="008A17EC" w:rsidP="008F7BB0">
            <w:r>
              <w:rPr>
                <w:rFonts w:cstheme="minorHAnsi"/>
                <w:sz w:val="20"/>
                <w:szCs w:val="20"/>
              </w:rPr>
              <w:t>18.37</w:t>
            </w:r>
            <w:r w:rsidRPr="002D2C50">
              <w:rPr>
                <w:rFonts w:cstheme="minorHAnsi"/>
                <w:sz w:val="20"/>
                <w:szCs w:val="20"/>
              </w:rPr>
              <w:t>±</w:t>
            </w:r>
            <w:r>
              <w:rPr>
                <w:rFonts w:cstheme="minorHAnsi"/>
                <w:sz w:val="20"/>
                <w:szCs w:val="20"/>
              </w:rPr>
              <w:t>1.23</w:t>
            </w:r>
          </w:p>
        </w:tc>
        <w:tc>
          <w:tcPr>
            <w:tcW w:w="603" w:type="pct"/>
          </w:tcPr>
          <w:p w:rsidR="00C17738" w:rsidRDefault="008A17EC" w:rsidP="008F7BB0">
            <w:r>
              <w:rPr>
                <w:rFonts w:cstheme="minorHAnsi"/>
                <w:sz w:val="20"/>
                <w:szCs w:val="20"/>
              </w:rPr>
              <w:t>15.27</w:t>
            </w:r>
            <w:r w:rsidRPr="002D2C50">
              <w:rPr>
                <w:rFonts w:cstheme="minorHAnsi"/>
                <w:sz w:val="20"/>
                <w:szCs w:val="20"/>
              </w:rPr>
              <w:t>±</w:t>
            </w:r>
            <w:r>
              <w:rPr>
                <w:rFonts w:cstheme="minorHAnsi"/>
                <w:sz w:val="20"/>
                <w:szCs w:val="20"/>
              </w:rPr>
              <w:t>0.71</w:t>
            </w:r>
          </w:p>
        </w:tc>
        <w:tc>
          <w:tcPr>
            <w:tcW w:w="765" w:type="pct"/>
          </w:tcPr>
          <w:p w:rsidR="00C17738" w:rsidRDefault="008A17EC" w:rsidP="008F7BB0">
            <w:r>
              <w:rPr>
                <w:rFonts w:cstheme="minorHAnsi"/>
                <w:sz w:val="20"/>
                <w:szCs w:val="20"/>
              </w:rPr>
              <w:t>17.02</w:t>
            </w:r>
            <w:r w:rsidRPr="002D2C50">
              <w:rPr>
                <w:rFonts w:cstheme="minorHAnsi"/>
                <w:sz w:val="20"/>
                <w:szCs w:val="20"/>
              </w:rPr>
              <w:t>±</w:t>
            </w:r>
            <w:r>
              <w:rPr>
                <w:rFonts w:cstheme="minorHAnsi"/>
                <w:sz w:val="20"/>
                <w:szCs w:val="20"/>
              </w:rPr>
              <w:t>0.13</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0.012*;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LF/HF ratio</w:t>
            </w:r>
          </w:p>
        </w:tc>
        <w:tc>
          <w:tcPr>
            <w:tcW w:w="767" w:type="pct"/>
          </w:tcPr>
          <w:p w:rsidR="00C17738" w:rsidRDefault="008A17EC" w:rsidP="008F7BB0">
            <w:r>
              <w:rPr>
                <w:rFonts w:cstheme="minorHAnsi"/>
                <w:sz w:val="20"/>
                <w:szCs w:val="20"/>
              </w:rPr>
              <w:t>4.62</w:t>
            </w:r>
            <w:r w:rsidRPr="002D2C50">
              <w:rPr>
                <w:rFonts w:cstheme="minorHAnsi"/>
                <w:sz w:val="20"/>
                <w:szCs w:val="20"/>
              </w:rPr>
              <w:t>±</w:t>
            </w:r>
            <w:r>
              <w:rPr>
                <w:rFonts w:cstheme="minorHAnsi"/>
                <w:sz w:val="20"/>
                <w:szCs w:val="20"/>
              </w:rPr>
              <w:t>0.45</w:t>
            </w:r>
          </w:p>
        </w:tc>
        <w:tc>
          <w:tcPr>
            <w:tcW w:w="760" w:type="pct"/>
          </w:tcPr>
          <w:p w:rsidR="00C17738" w:rsidRDefault="008A17EC" w:rsidP="008F7BB0">
            <w:r>
              <w:rPr>
                <w:rFonts w:cstheme="minorHAnsi"/>
                <w:sz w:val="20"/>
                <w:szCs w:val="20"/>
              </w:rPr>
              <w:t>4.53</w:t>
            </w:r>
            <w:r w:rsidRPr="002D2C50">
              <w:rPr>
                <w:rFonts w:cstheme="minorHAnsi"/>
                <w:sz w:val="20"/>
                <w:szCs w:val="20"/>
              </w:rPr>
              <w:t>±</w:t>
            </w:r>
            <w:r>
              <w:rPr>
                <w:rFonts w:cstheme="minorHAnsi"/>
                <w:sz w:val="20"/>
                <w:szCs w:val="20"/>
              </w:rPr>
              <w:t>0.47</w:t>
            </w:r>
          </w:p>
        </w:tc>
        <w:tc>
          <w:tcPr>
            <w:tcW w:w="603" w:type="pct"/>
          </w:tcPr>
          <w:p w:rsidR="00C17738" w:rsidRDefault="008A17EC" w:rsidP="008F7BB0">
            <w:r>
              <w:rPr>
                <w:rFonts w:cstheme="minorHAnsi"/>
                <w:sz w:val="20"/>
                <w:szCs w:val="20"/>
              </w:rPr>
              <w:t>5.86</w:t>
            </w:r>
            <w:r w:rsidRPr="002D2C50">
              <w:rPr>
                <w:rFonts w:cstheme="minorHAnsi"/>
                <w:sz w:val="20"/>
                <w:szCs w:val="20"/>
              </w:rPr>
              <w:t>±</w:t>
            </w:r>
            <w:r>
              <w:rPr>
                <w:rFonts w:cstheme="minorHAnsi"/>
                <w:sz w:val="20"/>
                <w:szCs w:val="20"/>
              </w:rPr>
              <w:t>0.25</w:t>
            </w:r>
          </w:p>
        </w:tc>
        <w:tc>
          <w:tcPr>
            <w:tcW w:w="765" w:type="pct"/>
          </w:tcPr>
          <w:p w:rsidR="00C17738" w:rsidRDefault="008A17EC" w:rsidP="008F7BB0">
            <w:r>
              <w:rPr>
                <w:rFonts w:cstheme="minorHAnsi"/>
                <w:sz w:val="20"/>
                <w:szCs w:val="20"/>
              </w:rPr>
              <w:t>5.04</w:t>
            </w:r>
            <w:r w:rsidRPr="002D2C50">
              <w:rPr>
                <w:rFonts w:cstheme="minorHAnsi"/>
                <w:sz w:val="20"/>
                <w:szCs w:val="20"/>
              </w:rPr>
              <w:t>±</w:t>
            </w:r>
            <w:r>
              <w:rPr>
                <w:rFonts w:cstheme="minorHAnsi"/>
                <w:sz w:val="20"/>
                <w:szCs w:val="20"/>
              </w:rPr>
              <w:t>0.25</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0.543; 0.001**</w:t>
            </w:r>
          </w:p>
        </w:tc>
      </w:tr>
      <w:tr w:rsidR="00984F77" w:rsidRPr="00C577C6" w:rsidTr="00C17738">
        <w:tc>
          <w:tcPr>
            <w:tcW w:w="1385" w:type="pct"/>
          </w:tcPr>
          <w:p w:rsidR="00C17738" w:rsidRPr="00E14F7A" w:rsidRDefault="008A17EC" w:rsidP="008F7BB0">
            <w:pPr>
              <w:rPr>
                <w:b/>
                <w:sz w:val="20"/>
                <w:szCs w:val="20"/>
                <w:lang w:val="en-US"/>
              </w:rPr>
            </w:pPr>
            <w:r w:rsidRPr="00E14F7A">
              <w:rPr>
                <w:rFonts w:cstheme="minorHAnsi"/>
                <w:b/>
                <w:sz w:val="20"/>
                <w:szCs w:val="20"/>
                <w:lang w:val="en-US"/>
              </w:rPr>
              <w:t>123I-MIBG myocardial scintigraphy parameters</w:t>
            </w:r>
          </w:p>
        </w:tc>
        <w:tc>
          <w:tcPr>
            <w:tcW w:w="767" w:type="pct"/>
          </w:tcPr>
          <w:p w:rsidR="00C17738" w:rsidRPr="00BA3B01" w:rsidRDefault="00C17738" w:rsidP="008F7BB0">
            <w:pPr>
              <w:rPr>
                <w:rFonts w:cstheme="minorHAnsi"/>
                <w:sz w:val="20"/>
                <w:szCs w:val="20"/>
                <w:lang w:val="en-US"/>
              </w:rPr>
            </w:pPr>
          </w:p>
        </w:tc>
        <w:tc>
          <w:tcPr>
            <w:tcW w:w="760" w:type="pct"/>
          </w:tcPr>
          <w:p w:rsidR="00C17738" w:rsidRPr="00BA3B01" w:rsidRDefault="00C17738" w:rsidP="008F7BB0">
            <w:pPr>
              <w:rPr>
                <w:rFonts w:cstheme="minorHAnsi"/>
                <w:sz w:val="20"/>
                <w:szCs w:val="20"/>
                <w:lang w:val="en-US"/>
              </w:rPr>
            </w:pPr>
          </w:p>
        </w:tc>
        <w:tc>
          <w:tcPr>
            <w:tcW w:w="603" w:type="pct"/>
          </w:tcPr>
          <w:p w:rsidR="00C17738" w:rsidRPr="00BA3B01" w:rsidRDefault="00C17738" w:rsidP="008F7BB0">
            <w:pPr>
              <w:rPr>
                <w:rFonts w:cstheme="minorHAnsi"/>
                <w:sz w:val="20"/>
                <w:szCs w:val="20"/>
                <w:lang w:val="en-US"/>
              </w:rPr>
            </w:pPr>
          </w:p>
        </w:tc>
        <w:tc>
          <w:tcPr>
            <w:tcW w:w="765" w:type="pct"/>
          </w:tcPr>
          <w:p w:rsidR="00C17738" w:rsidRPr="00BA3B01" w:rsidRDefault="00C17738" w:rsidP="008F7BB0">
            <w:pPr>
              <w:rPr>
                <w:rFonts w:cstheme="minorHAnsi"/>
                <w:sz w:val="20"/>
                <w:szCs w:val="20"/>
                <w:lang w:val="en-US"/>
              </w:rPr>
            </w:pPr>
          </w:p>
        </w:tc>
        <w:tc>
          <w:tcPr>
            <w:tcW w:w="719" w:type="pct"/>
          </w:tcPr>
          <w:p w:rsidR="00C17738" w:rsidRPr="00BA3B01" w:rsidRDefault="00C17738" w:rsidP="008F7BB0">
            <w:pPr>
              <w:autoSpaceDE w:val="0"/>
              <w:autoSpaceDN w:val="0"/>
              <w:adjustRightInd w:val="0"/>
              <w:rPr>
                <w:rFonts w:cstheme="minorHAnsi"/>
                <w:sz w:val="20"/>
                <w:szCs w:val="20"/>
                <w:lang w:val="en-US"/>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lastRenderedPageBreak/>
              <w:t>Heart to Mediastinum ratio</w:t>
            </w:r>
          </w:p>
        </w:tc>
        <w:tc>
          <w:tcPr>
            <w:tcW w:w="767" w:type="pct"/>
          </w:tcPr>
          <w:p w:rsidR="00C17738" w:rsidRDefault="008A17EC" w:rsidP="008F7BB0">
            <w:r>
              <w:rPr>
                <w:rFonts w:cstheme="minorHAnsi"/>
                <w:sz w:val="20"/>
                <w:szCs w:val="20"/>
              </w:rPr>
              <w:t>1.80</w:t>
            </w:r>
            <w:r w:rsidRPr="00E374E7">
              <w:rPr>
                <w:rFonts w:cstheme="minorHAnsi"/>
                <w:sz w:val="20"/>
                <w:szCs w:val="20"/>
              </w:rPr>
              <w:t>±</w:t>
            </w:r>
            <w:r>
              <w:rPr>
                <w:rFonts w:cstheme="minorHAnsi"/>
                <w:sz w:val="20"/>
                <w:szCs w:val="20"/>
              </w:rPr>
              <w:t>0.10</w:t>
            </w:r>
          </w:p>
        </w:tc>
        <w:tc>
          <w:tcPr>
            <w:tcW w:w="760" w:type="pct"/>
          </w:tcPr>
          <w:p w:rsidR="00C17738" w:rsidRDefault="008A17EC" w:rsidP="008F7BB0">
            <w:r>
              <w:rPr>
                <w:rFonts w:cstheme="minorHAnsi"/>
                <w:sz w:val="20"/>
                <w:szCs w:val="20"/>
              </w:rPr>
              <w:t>1.42</w:t>
            </w:r>
            <w:r w:rsidRPr="00E374E7">
              <w:rPr>
                <w:rFonts w:cstheme="minorHAnsi"/>
                <w:sz w:val="20"/>
                <w:szCs w:val="20"/>
              </w:rPr>
              <w:t>±</w:t>
            </w:r>
            <w:r>
              <w:rPr>
                <w:rFonts w:cstheme="minorHAnsi"/>
                <w:sz w:val="20"/>
                <w:szCs w:val="20"/>
              </w:rPr>
              <w:t>0.14</w:t>
            </w:r>
          </w:p>
        </w:tc>
        <w:tc>
          <w:tcPr>
            <w:tcW w:w="603" w:type="pct"/>
          </w:tcPr>
          <w:p w:rsidR="00C17738" w:rsidRDefault="008A17EC" w:rsidP="008F7BB0">
            <w:r>
              <w:rPr>
                <w:rFonts w:cstheme="minorHAnsi"/>
                <w:sz w:val="20"/>
                <w:szCs w:val="20"/>
              </w:rPr>
              <w:t>2.49</w:t>
            </w:r>
            <w:r w:rsidRPr="00E374E7">
              <w:rPr>
                <w:rFonts w:cstheme="minorHAnsi"/>
                <w:sz w:val="20"/>
                <w:szCs w:val="20"/>
              </w:rPr>
              <w:t>±</w:t>
            </w:r>
            <w:r>
              <w:rPr>
                <w:rFonts w:cstheme="minorHAnsi"/>
                <w:sz w:val="20"/>
                <w:szCs w:val="20"/>
              </w:rPr>
              <w:t>0.02</w:t>
            </w:r>
          </w:p>
        </w:tc>
        <w:tc>
          <w:tcPr>
            <w:tcW w:w="765" w:type="pct"/>
          </w:tcPr>
          <w:p w:rsidR="00C17738" w:rsidRDefault="008A17EC" w:rsidP="008F7BB0">
            <w:r>
              <w:rPr>
                <w:rFonts w:cstheme="minorHAnsi"/>
                <w:sz w:val="20"/>
                <w:szCs w:val="20"/>
              </w:rPr>
              <w:t>1.60</w:t>
            </w:r>
            <w:r w:rsidRPr="00E374E7">
              <w:rPr>
                <w:rFonts w:cstheme="minorHAnsi"/>
                <w:sz w:val="20"/>
                <w:szCs w:val="20"/>
              </w:rPr>
              <w:t>±</w:t>
            </w:r>
            <w:r>
              <w:rPr>
                <w:rFonts w:cstheme="minorHAnsi"/>
                <w:sz w:val="20"/>
                <w:szCs w:val="20"/>
              </w:rPr>
              <w:t>0.35</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0.001*;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Washout rate (%)</w:t>
            </w:r>
          </w:p>
        </w:tc>
        <w:tc>
          <w:tcPr>
            <w:tcW w:w="767" w:type="pct"/>
          </w:tcPr>
          <w:p w:rsidR="00C17738" w:rsidRPr="00E14F7A" w:rsidRDefault="008A17EC" w:rsidP="008F7BB0">
            <w:pPr>
              <w:rPr>
                <w:sz w:val="20"/>
                <w:szCs w:val="20"/>
              </w:rPr>
            </w:pPr>
            <w:r>
              <w:rPr>
                <w:rFonts w:cstheme="minorHAnsi"/>
                <w:sz w:val="20"/>
                <w:szCs w:val="20"/>
              </w:rPr>
              <w:t>46.10</w:t>
            </w:r>
            <w:r w:rsidRPr="00E14F7A">
              <w:rPr>
                <w:rFonts w:cstheme="minorHAnsi"/>
                <w:sz w:val="20"/>
                <w:szCs w:val="20"/>
              </w:rPr>
              <w:t>±</w:t>
            </w:r>
            <w:r>
              <w:rPr>
                <w:rFonts w:cstheme="minorHAnsi"/>
                <w:sz w:val="20"/>
                <w:szCs w:val="20"/>
              </w:rPr>
              <w:t>8.07</w:t>
            </w:r>
          </w:p>
        </w:tc>
        <w:tc>
          <w:tcPr>
            <w:tcW w:w="760" w:type="pct"/>
          </w:tcPr>
          <w:p w:rsidR="00C17738" w:rsidRPr="00E14F7A" w:rsidRDefault="008A17EC" w:rsidP="008F7BB0">
            <w:pPr>
              <w:rPr>
                <w:sz w:val="20"/>
                <w:szCs w:val="20"/>
              </w:rPr>
            </w:pPr>
            <w:r>
              <w:rPr>
                <w:rFonts w:cstheme="minorHAnsi"/>
                <w:sz w:val="20"/>
                <w:szCs w:val="20"/>
              </w:rPr>
              <w:t>51.77</w:t>
            </w:r>
            <w:r w:rsidRPr="00E14F7A">
              <w:rPr>
                <w:rFonts w:cstheme="minorHAnsi"/>
                <w:sz w:val="20"/>
                <w:szCs w:val="20"/>
              </w:rPr>
              <w:t>±</w:t>
            </w:r>
            <w:r>
              <w:rPr>
                <w:rFonts w:cstheme="minorHAnsi"/>
                <w:sz w:val="20"/>
                <w:szCs w:val="20"/>
              </w:rPr>
              <w:t>8.41</w:t>
            </w:r>
          </w:p>
        </w:tc>
        <w:tc>
          <w:tcPr>
            <w:tcW w:w="603" w:type="pct"/>
          </w:tcPr>
          <w:p w:rsidR="00C17738" w:rsidRDefault="008A17EC" w:rsidP="008F7BB0">
            <w:r>
              <w:rPr>
                <w:rFonts w:cstheme="minorHAnsi"/>
                <w:sz w:val="20"/>
                <w:szCs w:val="20"/>
              </w:rPr>
              <w:t>32.41</w:t>
            </w:r>
            <w:r w:rsidRPr="00E374E7">
              <w:rPr>
                <w:rFonts w:cstheme="minorHAnsi"/>
                <w:sz w:val="20"/>
                <w:szCs w:val="20"/>
              </w:rPr>
              <w:t>±</w:t>
            </w:r>
            <w:r>
              <w:rPr>
                <w:rFonts w:cstheme="minorHAnsi"/>
                <w:sz w:val="20"/>
                <w:szCs w:val="20"/>
              </w:rPr>
              <w:t>1.52</w:t>
            </w:r>
          </w:p>
        </w:tc>
        <w:tc>
          <w:tcPr>
            <w:tcW w:w="765" w:type="pct"/>
          </w:tcPr>
          <w:p w:rsidR="00C17738" w:rsidRDefault="008A17EC" w:rsidP="008F7BB0">
            <w:r>
              <w:rPr>
                <w:rFonts w:cstheme="minorHAnsi"/>
                <w:sz w:val="20"/>
                <w:szCs w:val="20"/>
              </w:rPr>
              <w:t>48.35</w:t>
            </w:r>
            <w:r w:rsidRPr="00E374E7">
              <w:rPr>
                <w:rFonts w:cstheme="minorHAnsi"/>
                <w:sz w:val="20"/>
                <w:szCs w:val="20"/>
              </w:rPr>
              <w:t>±</w:t>
            </w:r>
            <w:r>
              <w:rPr>
                <w:rFonts w:cstheme="minorHAnsi"/>
                <w:sz w:val="20"/>
                <w:szCs w:val="20"/>
              </w:rPr>
              <w:t>1.31</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0.049*; 0.001**</w:t>
            </w:r>
          </w:p>
        </w:tc>
      </w:tr>
      <w:tr w:rsidR="00984F77" w:rsidTr="00C17738">
        <w:tc>
          <w:tcPr>
            <w:tcW w:w="1385" w:type="pct"/>
          </w:tcPr>
          <w:p w:rsidR="00C17738" w:rsidRPr="00E14F7A" w:rsidRDefault="00C17738" w:rsidP="008F7BB0">
            <w:pPr>
              <w:rPr>
                <w:sz w:val="20"/>
                <w:szCs w:val="20"/>
              </w:rPr>
            </w:pP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b/>
                <w:sz w:val="20"/>
                <w:szCs w:val="20"/>
              </w:rPr>
            </w:pPr>
            <w:r>
              <w:rPr>
                <w:rFonts w:cstheme="minorHAnsi"/>
                <w:b/>
                <w:sz w:val="20"/>
                <w:szCs w:val="20"/>
              </w:rPr>
              <w:t>C) CARDIO-INHIBITORY</w:t>
            </w:r>
            <w:r w:rsidRPr="00E14F7A">
              <w:rPr>
                <w:rFonts w:cstheme="minorHAnsi"/>
                <w:b/>
                <w:sz w:val="20"/>
                <w:szCs w:val="20"/>
              </w:rPr>
              <w:t xml:space="preserve"> SYNCOPE</w:t>
            </w: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Autonomic system parameters</w:t>
            </w: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sz w:val="20"/>
                <w:szCs w:val="20"/>
              </w:rPr>
            </w:pPr>
            <w:r w:rsidRPr="00E14F7A">
              <w:rPr>
                <w:rFonts w:cstheme="minorHAnsi"/>
                <w:sz w:val="20"/>
                <w:szCs w:val="20"/>
              </w:rPr>
              <w:t>Heart rate</w:t>
            </w:r>
          </w:p>
        </w:tc>
        <w:tc>
          <w:tcPr>
            <w:tcW w:w="767" w:type="pct"/>
          </w:tcPr>
          <w:p w:rsidR="00C17738" w:rsidRDefault="008A17EC" w:rsidP="008F7BB0">
            <w:r>
              <w:rPr>
                <w:rFonts w:cstheme="minorHAnsi"/>
                <w:sz w:val="20"/>
                <w:szCs w:val="20"/>
              </w:rPr>
              <w:t>72.7</w:t>
            </w:r>
            <w:r w:rsidRPr="007C6B58">
              <w:rPr>
                <w:rFonts w:cstheme="minorHAnsi"/>
                <w:sz w:val="20"/>
                <w:szCs w:val="20"/>
              </w:rPr>
              <w:t>±</w:t>
            </w:r>
            <w:r>
              <w:rPr>
                <w:rFonts w:cstheme="minorHAnsi"/>
                <w:sz w:val="20"/>
                <w:szCs w:val="20"/>
              </w:rPr>
              <w:t>6.7</w:t>
            </w:r>
          </w:p>
        </w:tc>
        <w:tc>
          <w:tcPr>
            <w:tcW w:w="760" w:type="pct"/>
          </w:tcPr>
          <w:p w:rsidR="00C17738" w:rsidRDefault="008A17EC" w:rsidP="008F7BB0">
            <w:r>
              <w:rPr>
                <w:rFonts w:cstheme="minorHAnsi"/>
                <w:sz w:val="20"/>
                <w:szCs w:val="20"/>
              </w:rPr>
              <w:t>78.3</w:t>
            </w:r>
            <w:r w:rsidRPr="007C6B58">
              <w:rPr>
                <w:rFonts w:cstheme="minorHAnsi"/>
                <w:sz w:val="20"/>
                <w:szCs w:val="20"/>
              </w:rPr>
              <w:t>±</w:t>
            </w:r>
            <w:r>
              <w:rPr>
                <w:rFonts w:cstheme="minorHAnsi"/>
                <w:sz w:val="20"/>
                <w:szCs w:val="20"/>
              </w:rPr>
              <w:t>13.4</w:t>
            </w:r>
          </w:p>
        </w:tc>
        <w:tc>
          <w:tcPr>
            <w:tcW w:w="603" w:type="pct"/>
          </w:tcPr>
          <w:p w:rsidR="00C17738" w:rsidRDefault="008A17EC" w:rsidP="008F7BB0">
            <w:r>
              <w:rPr>
                <w:rFonts w:cstheme="minorHAnsi"/>
                <w:sz w:val="20"/>
                <w:szCs w:val="20"/>
              </w:rPr>
              <w:t>56.3</w:t>
            </w:r>
            <w:r w:rsidRPr="007C6B58">
              <w:rPr>
                <w:rFonts w:cstheme="minorHAnsi"/>
                <w:sz w:val="20"/>
                <w:szCs w:val="20"/>
              </w:rPr>
              <w:t>±</w:t>
            </w:r>
            <w:r>
              <w:rPr>
                <w:rFonts w:cstheme="minorHAnsi"/>
                <w:sz w:val="20"/>
                <w:szCs w:val="20"/>
              </w:rPr>
              <w:t>5.5</w:t>
            </w:r>
          </w:p>
        </w:tc>
        <w:tc>
          <w:tcPr>
            <w:tcW w:w="765" w:type="pct"/>
          </w:tcPr>
          <w:p w:rsidR="00C17738" w:rsidRDefault="008A17EC" w:rsidP="008F7BB0">
            <w:r>
              <w:rPr>
                <w:rFonts w:cstheme="minorHAnsi"/>
                <w:sz w:val="20"/>
                <w:szCs w:val="20"/>
              </w:rPr>
              <w:t>76.2</w:t>
            </w:r>
            <w:r w:rsidRPr="007C6B58">
              <w:rPr>
                <w:rFonts w:cstheme="minorHAnsi"/>
                <w:sz w:val="20"/>
                <w:szCs w:val="20"/>
              </w:rPr>
              <w:t>±</w:t>
            </w:r>
            <w:r>
              <w:rPr>
                <w:rFonts w:cstheme="minorHAnsi"/>
                <w:sz w:val="20"/>
                <w:szCs w:val="20"/>
              </w:rPr>
              <w:t>8.2</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0.250; 0.061</w:t>
            </w:r>
          </w:p>
        </w:tc>
      </w:tr>
      <w:tr w:rsidR="00984F77" w:rsidTr="00C17738">
        <w:tc>
          <w:tcPr>
            <w:tcW w:w="1385" w:type="pct"/>
          </w:tcPr>
          <w:p w:rsidR="00C17738" w:rsidRPr="00E14F7A" w:rsidRDefault="008A17EC" w:rsidP="008F7BB0">
            <w:pPr>
              <w:rPr>
                <w:b/>
                <w:sz w:val="20"/>
                <w:szCs w:val="20"/>
                <w:lang w:val="en-US"/>
              </w:rPr>
            </w:pPr>
            <w:r w:rsidRPr="00E14F7A">
              <w:rPr>
                <w:b/>
                <w:sz w:val="20"/>
                <w:szCs w:val="20"/>
                <w:lang w:val="en-US"/>
              </w:rPr>
              <w:t>ECG Holter parameters</w:t>
            </w: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 normalized units</w:t>
            </w:r>
          </w:p>
        </w:tc>
        <w:tc>
          <w:tcPr>
            <w:tcW w:w="767" w:type="pct"/>
          </w:tcPr>
          <w:p w:rsidR="00C17738" w:rsidRDefault="008A17EC" w:rsidP="008F7BB0">
            <w:r>
              <w:rPr>
                <w:rFonts w:cstheme="minorHAnsi"/>
                <w:sz w:val="20"/>
                <w:szCs w:val="20"/>
              </w:rPr>
              <w:t>79.95</w:t>
            </w:r>
            <w:r w:rsidRPr="00193B9B">
              <w:rPr>
                <w:rFonts w:cstheme="minorHAnsi"/>
                <w:sz w:val="20"/>
                <w:szCs w:val="20"/>
              </w:rPr>
              <w:t>±</w:t>
            </w:r>
            <w:r>
              <w:rPr>
                <w:rFonts w:cstheme="minorHAnsi"/>
                <w:sz w:val="20"/>
                <w:szCs w:val="20"/>
              </w:rPr>
              <w:t>3.09</w:t>
            </w:r>
          </w:p>
        </w:tc>
        <w:tc>
          <w:tcPr>
            <w:tcW w:w="760" w:type="pct"/>
          </w:tcPr>
          <w:p w:rsidR="00C17738" w:rsidRDefault="008A17EC" w:rsidP="008F7BB0">
            <w:r>
              <w:rPr>
                <w:rFonts w:cstheme="minorHAnsi"/>
                <w:sz w:val="20"/>
                <w:szCs w:val="20"/>
              </w:rPr>
              <w:t>84.11</w:t>
            </w:r>
            <w:r w:rsidRPr="00193B9B">
              <w:rPr>
                <w:rFonts w:cstheme="minorHAnsi"/>
                <w:sz w:val="20"/>
                <w:szCs w:val="20"/>
              </w:rPr>
              <w:t>±</w:t>
            </w:r>
            <w:r>
              <w:rPr>
                <w:rFonts w:cstheme="minorHAnsi"/>
                <w:sz w:val="20"/>
                <w:szCs w:val="20"/>
              </w:rPr>
              <w:t>3.56</w:t>
            </w:r>
          </w:p>
        </w:tc>
        <w:tc>
          <w:tcPr>
            <w:tcW w:w="603" w:type="pct"/>
          </w:tcPr>
          <w:p w:rsidR="00C17738" w:rsidRDefault="008A17EC" w:rsidP="008F7BB0">
            <w:r>
              <w:rPr>
                <w:rFonts w:cstheme="minorHAnsi"/>
                <w:sz w:val="20"/>
                <w:szCs w:val="20"/>
              </w:rPr>
              <w:t>89.31</w:t>
            </w:r>
            <w:r w:rsidRPr="00193B9B">
              <w:rPr>
                <w:rFonts w:cstheme="minorHAnsi"/>
                <w:sz w:val="20"/>
                <w:szCs w:val="20"/>
              </w:rPr>
              <w:t>±</w:t>
            </w:r>
            <w:r>
              <w:rPr>
                <w:rFonts w:cstheme="minorHAnsi"/>
                <w:sz w:val="20"/>
                <w:szCs w:val="20"/>
              </w:rPr>
              <w:t>2.01</w:t>
            </w:r>
          </w:p>
        </w:tc>
        <w:tc>
          <w:tcPr>
            <w:tcW w:w="765" w:type="pct"/>
          </w:tcPr>
          <w:p w:rsidR="00C17738" w:rsidRDefault="008A17EC" w:rsidP="008F7BB0">
            <w:r>
              <w:rPr>
                <w:rFonts w:cstheme="minorHAnsi"/>
                <w:sz w:val="20"/>
                <w:szCs w:val="20"/>
              </w:rPr>
              <w:t>83.25</w:t>
            </w:r>
            <w:r w:rsidRPr="00193B9B">
              <w:rPr>
                <w:rFonts w:cstheme="minorHAnsi"/>
                <w:sz w:val="20"/>
                <w:szCs w:val="20"/>
              </w:rPr>
              <w:t>±</w:t>
            </w:r>
            <w:r>
              <w:rPr>
                <w:rFonts w:cstheme="minorHAnsi"/>
                <w:sz w:val="20"/>
                <w:szCs w:val="20"/>
              </w:rPr>
              <w:t>3.80</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0.547;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HF, normalized units</w:t>
            </w:r>
          </w:p>
        </w:tc>
        <w:tc>
          <w:tcPr>
            <w:tcW w:w="767" w:type="pct"/>
          </w:tcPr>
          <w:p w:rsidR="00C17738" w:rsidRDefault="008A17EC" w:rsidP="008F7BB0">
            <w:r>
              <w:rPr>
                <w:rFonts w:cstheme="minorHAnsi"/>
                <w:sz w:val="20"/>
                <w:szCs w:val="20"/>
              </w:rPr>
              <w:t>20.10</w:t>
            </w:r>
            <w:r w:rsidRPr="00193B9B">
              <w:rPr>
                <w:rFonts w:cstheme="minorHAnsi"/>
                <w:sz w:val="20"/>
                <w:szCs w:val="20"/>
              </w:rPr>
              <w:t>±</w:t>
            </w:r>
            <w:r>
              <w:rPr>
                <w:rFonts w:cstheme="minorHAnsi"/>
                <w:sz w:val="20"/>
                <w:szCs w:val="20"/>
              </w:rPr>
              <w:t>1.56</w:t>
            </w:r>
          </w:p>
        </w:tc>
        <w:tc>
          <w:tcPr>
            <w:tcW w:w="760" w:type="pct"/>
          </w:tcPr>
          <w:p w:rsidR="00C17738" w:rsidRDefault="008A17EC" w:rsidP="008F7BB0">
            <w:r>
              <w:rPr>
                <w:rFonts w:cstheme="minorHAnsi"/>
                <w:sz w:val="20"/>
                <w:szCs w:val="20"/>
              </w:rPr>
              <w:t>18.05</w:t>
            </w:r>
            <w:r w:rsidRPr="00193B9B">
              <w:rPr>
                <w:rFonts w:cstheme="minorHAnsi"/>
                <w:sz w:val="20"/>
                <w:szCs w:val="20"/>
              </w:rPr>
              <w:t>±</w:t>
            </w:r>
            <w:r>
              <w:rPr>
                <w:rFonts w:cstheme="minorHAnsi"/>
                <w:sz w:val="20"/>
                <w:szCs w:val="20"/>
              </w:rPr>
              <w:t>1.71</w:t>
            </w:r>
          </w:p>
        </w:tc>
        <w:tc>
          <w:tcPr>
            <w:tcW w:w="603" w:type="pct"/>
          </w:tcPr>
          <w:p w:rsidR="00C17738" w:rsidRDefault="008A17EC" w:rsidP="008F7BB0">
            <w:r>
              <w:rPr>
                <w:rFonts w:cstheme="minorHAnsi"/>
                <w:sz w:val="20"/>
                <w:szCs w:val="20"/>
              </w:rPr>
              <w:t>15.12</w:t>
            </w:r>
            <w:r w:rsidRPr="00193B9B">
              <w:rPr>
                <w:rFonts w:cstheme="minorHAnsi"/>
                <w:sz w:val="20"/>
                <w:szCs w:val="20"/>
              </w:rPr>
              <w:t>±</w:t>
            </w:r>
            <w:r>
              <w:rPr>
                <w:rFonts w:cstheme="minorHAnsi"/>
                <w:sz w:val="20"/>
                <w:szCs w:val="20"/>
              </w:rPr>
              <w:t>0.17</w:t>
            </w:r>
          </w:p>
        </w:tc>
        <w:tc>
          <w:tcPr>
            <w:tcW w:w="765" w:type="pct"/>
          </w:tcPr>
          <w:p w:rsidR="00C17738" w:rsidRDefault="008A17EC" w:rsidP="008F7BB0">
            <w:r>
              <w:rPr>
                <w:rFonts w:cstheme="minorHAnsi"/>
                <w:sz w:val="20"/>
                <w:szCs w:val="20"/>
              </w:rPr>
              <w:t>17.06</w:t>
            </w:r>
            <w:r w:rsidRPr="00193B9B">
              <w:rPr>
                <w:rFonts w:cstheme="minorHAnsi"/>
                <w:sz w:val="20"/>
                <w:szCs w:val="20"/>
              </w:rPr>
              <w:t>±</w:t>
            </w:r>
            <w:r>
              <w:rPr>
                <w:rFonts w:cstheme="minorHAnsi"/>
                <w:sz w:val="20"/>
                <w:szCs w:val="20"/>
              </w:rPr>
              <w:t>0.18</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0.001*;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LF/HF ratio</w:t>
            </w:r>
          </w:p>
        </w:tc>
        <w:tc>
          <w:tcPr>
            <w:tcW w:w="767" w:type="pct"/>
          </w:tcPr>
          <w:p w:rsidR="00C17738" w:rsidRDefault="008A17EC" w:rsidP="008F7BB0">
            <w:r>
              <w:rPr>
                <w:rFonts w:cstheme="minorHAnsi"/>
                <w:sz w:val="20"/>
                <w:szCs w:val="20"/>
              </w:rPr>
              <w:t>4.01</w:t>
            </w:r>
            <w:r w:rsidRPr="00193B9B">
              <w:rPr>
                <w:rFonts w:cstheme="minorHAnsi"/>
                <w:sz w:val="20"/>
                <w:szCs w:val="20"/>
              </w:rPr>
              <w:t>±</w:t>
            </w:r>
            <w:r>
              <w:rPr>
                <w:rFonts w:cstheme="minorHAnsi"/>
                <w:sz w:val="20"/>
                <w:szCs w:val="20"/>
              </w:rPr>
              <w:t>0.15</w:t>
            </w:r>
          </w:p>
        </w:tc>
        <w:tc>
          <w:tcPr>
            <w:tcW w:w="760" w:type="pct"/>
          </w:tcPr>
          <w:p w:rsidR="00C17738" w:rsidRDefault="008A17EC" w:rsidP="008F7BB0">
            <w:r>
              <w:rPr>
                <w:rFonts w:cstheme="minorHAnsi"/>
                <w:sz w:val="20"/>
                <w:szCs w:val="20"/>
              </w:rPr>
              <w:t>4.68</w:t>
            </w:r>
            <w:r w:rsidRPr="00193B9B">
              <w:rPr>
                <w:rFonts w:cstheme="minorHAnsi"/>
                <w:sz w:val="20"/>
                <w:szCs w:val="20"/>
              </w:rPr>
              <w:t>±</w:t>
            </w:r>
            <w:r>
              <w:rPr>
                <w:rFonts w:cstheme="minorHAnsi"/>
                <w:sz w:val="20"/>
                <w:szCs w:val="20"/>
              </w:rPr>
              <w:t>0.37</w:t>
            </w:r>
          </w:p>
        </w:tc>
        <w:tc>
          <w:tcPr>
            <w:tcW w:w="603" w:type="pct"/>
          </w:tcPr>
          <w:p w:rsidR="00C17738" w:rsidRDefault="008A17EC" w:rsidP="008F7BB0">
            <w:r>
              <w:rPr>
                <w:rFonts w:cstheme="minorHAnsi"/>
                <w:sz w:val="20"/>
                <w:szCs w:val="20"/>
              </w:rPr>
              <w:t>5.90</w:t>
            </w:r>
            <w:r w:rsidRPr="00193B9B">
              <w:rPr>
                <w:rFonts w:cstheme="minorHAnsi"/>
                <w:sz w:val="20"/>
                <w:szCs w:val="20"/>
              </w:rPr>
              <w:t>±</w:t>
            </w:r>
            <w:r>
              <w:rPr>
                <w:rFonts w:cstheme="minorHAnsi"/>
                <w:sz w:val="20"/>
                <w:szCs w:val="20"/>
              </w:rPr>
              <w:t>0.07</w:t>
            </w:r>
          </w:p>
        </w:tc>
        <w:tc>
          <w:tcPr>
            <w:tcW w:w="765" w:type="pct"/>
          </w:tcPr>
          <w:p w:rsidR="00C17738" w:rsidRDefault="008A17EC" w:rsidP="008F7BB0">
            <w:r>
              <w:rPr>
                <w:rFonts w:cstheme="minorHAnsi"/>
                <w:sz w:val="20"/>
                <w:szCs w:val="20"/>
              </w:rPr>
              <w:t>4.88</w:t>
            </w:r>
            <w:r w:rsidRPr="00193B9B">
              <w:rPr>
                <w:rFonts w:cstheme="minorHAnsi"/>
                <w:sz w:val="20"/>
                <w:szCs w:val="20"/>
              </w:rPr>
              <w:t>±</w:t>
            </w:r>
            <w:r>
              <w:rPr>
                <w:rFonts w:cstheme="minorHAnsi"/>
                <w:sz w:val="20"/>
                <w:szCs w:val="20"/>
              </w:rPr>
              <w:t>0.25</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 xml:space="preserve">0.002*; 0.001** </w:t>
            </w:r>
          </w:p>
        </w:tc>
      </w:tr>
      <w:tr w:rsidR="00984F77" w:rsidRPr="00C577C6" w:rsidTr="00C17738">
        <w:tc>
          <w:tcPr>
            <w:tcW w:w="1385" w:type="pct"/>
          </w:tcPr>
          <w:p w:rsidR="00C17738" w:rsidRPr="00E14F7A" w:rsidRDefault="008A17EC" w:rsidP="008F7BB0">
            <w:pPr>
              <w:rPr>
                <w:b/>
                <w:sz w:val="20"/>
                <w:szCs w:val="20"/>
                <w:lang w:val="en-US"/>
              </w:rPr>
            </w:pPr>
            <w:r w:rsidRPr="00E14F7A">
              <w:rPr>
                <w:rFonts w:cstheme="minorHAnsi"/>
                <w:b/>
                <w:sz w:val="20"/>
                <w:szCs w:val="20"/>
                <w:lang w:val="en-US"/>
              </w:rPr>
              <w:t>123I-MIBG myocardial scintigraphy parameters</w:t>
            </w:r>
          </w:p>
        </w:tc>
        <w:tc>
          <w:tcPr>
            <w:tcW w:w="767" w:type="pct"/>
          </w:tcPr>
          <w:p w:rsidR="00C17738" w:rsidRPr="00BA3B01" w:rsidRDefault="00C17738" w:rsidP="008F7BB0">
            <w:pPr>
              <w:rPr>
                <w:rFonts w:cstheme="minorHAnsi"/>
                <w:sz w:val="20"/>
                <w:szCs w:val="20"/>
                <w:lang w:val="en-US"/>
              </w:rPr>
            </w:pPr>
          </w:p>
        </w:tc>
        <w:tc>
          <w:tcPr>
            <w:tcW w:w="760" w:type="pct"/>
          </w:tcPr>
          <w:p w:rsidR="00C17738" w:rsidRPr="00BA3B01" w:rsidRDefault="00C17738" w:rsidP="008F7BB0">
            <w:pPr>
              <w:rPr>
                <w:rFonts w:cstheme="minorHAnsi"/>
                <w:sz w:val="20"/>
                <w:szCs w:val="20"/>
                <w:lang w:val="en-US"/>
              </w:rPr>
            </w:pPr>
          </w:p>
        </w:tc>
        <w:tc>
          <w:tcPr>
            <w:tcW w:w="603" w:type="pct"/>
          </w:tcPr>
          <w:p w:rsidR="00C17738" w:rsidRPr="00BA3B01" w:rsidRDefault="00C17738" w:rsidP="008F7BB0">
            <w:pPr>
              <w:rPr>
                <w:rFonts w:cstheme="minorHAnsi"/>
                <w:sz w:val="20"/>
                <w:szCs w:val="20"/>
                <w:lang w:val="en-US"/>
              </w:rPr>
            </w:pPr>
          </w:p>
        </w:tc>
        <w:tc>
          <w:tcPr>
            <w:tcW w:w="765" w:type="pct"/>
          </w:tcPr>
          <w:p w:rsidR="00C17738" w:rsidRPr="00BA3B01" w:rsidRDefault="00C17738" w:rsidP="008F7BB0">
            <w:pPr>
              <w:rPr>
                <w:rFonts w:cstheme="minorHAnsi"/>
                <w:sz w:val="20"/>
                <w:szCs w:val="20"/>
                <w:lang w:val="en-US"/>
              </w:rPr>
            </w:pPr>
          </w:p>
        </w:tc>
        <w:tc>
          <w:tcPr>
            <w:tcW w:w="719" w:type="pct"/>
          </w:tcPr>
          <w:p w:rsidR="00C17738" w:rsidRPr="00BA3B01" w:rsidRDefault="00C17738" w:rsidP="008F7BB0">
            <w:pPr>
              <w:autoSpaceDE w:val="0"/>
              <w:autoSpaceDN w:val="0"/>
              <w:adjustRightInd w:val="0"/>
              <w:rPr>
                <w:rFonts w:cstheme="minorHAnsi"/>
                <w:sz w:val="20"/>
                <w:szCs w:val="20"/>
                <w:lang w:val="en-US"/>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Heart to Mediastinum ratio</w:t>
            </w:r>
          </w:p>
        </w:tc>
        <w:tc>
          <w:tcPr>
            <w:tcW w:w="767" w:type="pct"/>
          </w:tcPr>
          <w:p w:rsidR="00C17738" w:rsidRDefault="008A17EC" w:rsidP="008F7BB0">
            <w:r>
              <w:rPr>
                <w:rFonts w:cstheme="minorHAnsi"/>
                <w:sz w:val="20"/>
                <w:szCs w:val="20"/>
              </w:rPr>
              <w:t>1.84</w:t>
            </w:r>
            <w:r w:rsidRPr="00AD331F">
              <w:rPr>
                <w:rFonts w:cstheme="minorHAnsi"/>
                <w:sz w:val="20"/>
                <w:szCs w:val="20"/>
              </w:rPr>
              <w:t>±</w:t>
            </w:r>
            <w:r>
              <w:rPr>
                <w:rFonts w:cstheme="minorHAnsi"/>
                <w:sz w:val="20"/>
                <w:szCs w:val="20"/>
              </w:rPr>
              <w:t>0.13</w:t>
            </w:r>
          </w:p>
        </w:tc>
        <w:tc>
          <w:tcPr>
            <w:tcW w:w="760" w:type="pct"/>
          </w:tcPr>
          <w:p w:rsidR="00C17738" w:rsidRDefault="008A17EC" w:rsidP="008F7BB0">
            <w:r>
              <w:rPr>
                <w:rFonts w:cstheme="minorHAnsi"/>
                <w:sz w:val="20"/>
                <w:szCs w:val="20"/>
              </w:rPr>
              <w:t>1.56</w:t>
            </w:r>
            <w:r w:rsidRPr="00AD331F">
              <w:rPr>
                <w:rFonts w:cstheme="minorHAnsi"/>
                <w:sz w:val="20"/>
                <w:szCs w:val="20"/>
              </w:rPr>
              <w:t>±</w:t>
            </w:r>
            <w:r>
              <w:rPr>
                <w:rFonts w:cstheme="minorHAnsi"/>
                <w:sz w:val="20"/>
                <w:szCs w:val="20"/>
              </w:rPr>
              <w:t>0.18</w:t>
            </w:r>
          </w:p>
        </w:tc>
        <w:tc>
          <w:tcPr>
            <w:tcW w:w="603" w:type="pct"/>
          </w:tcPr>
          <w:p w:rsidR="00C17738" w:rsidRDefault="008A17EC" w:rsidP="008F7BB0">
            <w:r>
              <w:rPr>
                <w:rFonts w:cstheme="minorHAnsi"/>
                <w:sz w:val="20"/>
                <w:szCs w:val="20"/>
              </w:rPr>
              <w:t>2.53</w:t>
            </w:r>
            <w:r w:rsidRPr="00AD331F">
              <w:rPr>
                <w:rFonts w:cstheme="minorHAnsi"/>
                <w:sz w:val="20"/>
                <w:szCs w:val="20"/>
              </w:rPr>
              <w:t>±</w:t>
            </w:r>
            <w:r>
              <w:rPr>
                <w:rFonts w:cstheme="minorHAnsi"/>
                <w:sz w:val="20"/>
                <w:szCs w:val="20"/>
              </w:rPr>
              <w:t>0.28</w:t>
            </w:r>
          </w:p>
        </w:tc>
        <w:tc>
          <w:tcPr>
            <w:tcW w:w="765" w:type="pct"/>
          </w:tcPr>
          <w:p w:rsidR="00C17738" w:rsidRDefault="008A17EC" w:rsidP="008F7BB0">
            <w:r>
              <w:rPr>
                <w:rFonts w:cstheme="minorHAnsi"/>
                <w:sz w:val="20"/>
                <w:szCs w:val="20"/>
              </w:rPr>
              <w:t>1.72</w:t>
            </w:r>
            <w:r w:rsidRPr="00AD331F">
              <w:rPr>
                <w:rFonts w:cstheme="minorHAnsi"/>
                <w:sz w:val="20"/>
                <w:szCs w:val="20"/>
              </w:rPr>
              <w:t>±</w:t>
            </w:r>
            <w:r>
              <w:rPr>
                <w:rFonts w:cstheme="minorHAnsi"/>
                <w:sz w:val="20"/>
                <w:szCs w:val="20"/>
              </w:rPr>
              <w:t>0.30</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0.012*; 0.004**</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Washout rate (%)</w:t>
            </w:r>
          </w:p>
        </w:tc>
        <w:tc>
          <w:tcPr>
            <w:tcW w:w="767" w:type="pct"/>
          </w:tcPr>
          <w:p w:rsidR="00C17738" w:rsidRDefault="008A17EC" w:rsidP="008F7BB0">
            <w:r>
              <w:rPr>
                <w:rFonts w:cstheme="minorHAnsi"/>
                <w:sz w:val="20"/>
                <w:szCs w:val="20"/>
              </w:rPr>
              <w:t>59.10</w:t>
            </w:r>
            <w:r w:rsidRPr="00AD331F">
              <w:rPr>
                <w:rFonts w:cstheme="minorHAnsi"/>
                <w:sz w:val="20"/>
                <w:szCs w:val="20"/>
              </w:rPr>
              <w:t>±</w:t>
            </w:r>
            <w:r>
              <w:rPr>
                <w:rFonts w:cstheme="minorHAnsi"/>
                <w:sz w:val="20"/>
                <w:szCs w:val="20"/>
              </w:rPr>
              <w:t>6.59</w:t>
            </w:r>
          </w:p>
        </w:tc>
        <w:tc>
          <w:tcPr>
            <w:tcW w:w="760" w:type="pct"/>
          </w:tcPr>
          <w:p w:rsidR="00C17738" w:rsidRDefault="008A17EC" w:rsidP="008F7BB0">
            <w:r>
              <w:rPr>
                <w:rFonts w:cstheme="minorHAnsi"/>
                <w:sz w:val="20"/>
                <w:szCs w:val="20"/>
              </w:rPr>
              <w:t>39.35</w:t>
            </w:r>
            <w:r w:rsidRPr="00AD331F">
              <w:rPr>
                <w:rFonts w:cstheme="minorHAnsi"/>
                <w:sz w:val="20"/>
                <w:szCs w:val="20"/>
              </w:rPr>
              <w:t>±</w:t>
            </w:r>
            <w:r>
              <w:rPr>
                <w:rFonts w:cstheme="minorHAnsi"/>
                <w:sz w:val="20"/>
                <w:szCs w:val="20"/>
              </w:rPr>
              <w:t>7.53</w:t>
            </w:r>
          </w:p>
        </w:tc>
        <w:tc>
          <w:tcPr>
            <w:tcW w:w="603" w:type="pct"/>
          </w:tcPr>
          <w:p w:rsidR="00C17738" w:rsidRDefault="008A17EC" w:rsidP="008F7BB0">
            <w:r>
              <w:rPr>
                <w:rFonts w:cstheme="minorHAnsi"/>
                <w:sz w:val="20"/>
                <w:szCs w:val="20"/>
              </w:rPr>
              <w:t>41.75</w:t>
            </w:r>
            <w:r w:rsidRPr="00AD331F">
              <w:rPr>
                <w:rFonts w:cstheme="minorHAnsi"/>
                <w:sz w:val="20"/>
                <w:szCs w:val="20"/>
              </w:rPr>
              <w:t>±</w:t>
            </w:r>
            <w:r>
              <w:rPr>
                <w:rFonts w:cstheme="minorHAnsi"/>
                <w:sz w:val="20"/>
                <w:szCs w:val="20"/>
              </w:rPr>
              <w:t>6.55</w:t>
            </w:r>
          </w:p>
        </w:tc>
        <w:tc>
          <w:tcPr>
            <w:tcW w:w="765" w:type="pct"/>
          </w:tcPr>
          <w:p w:rsidR="00C17738" w:rsidRDefault="008A17EC" w:rsidP="008F7BB0">
            <w:r>
              <w:rPr>
                <w:rFonts w:cstheme="minorHAnsi"/>
                <w:sz w:val="20"/>
                <w:szCs w:val="20"/>
              </w:rPr>
              <w:t>32.95</w:t>
            </w:r>
            <w:r w:rsidRPr="00AD331F">
              <w:rPr>
                <w:rFonts w:cstheme="minorHAnsi"/>
                <w:sz w:val="20"/>
                <w:szCs w:val="20"/>
              </w:rPr>
              <w:t>±</w:t>
            </w:r>
            <w:r>
              <w:rPr>
                <w:rFonts w:cstheme="minorHAnsi"/>
                <w:sz w:val="20"/>
                <w:szCs w:val="20"/>
              </w:rPr>
              <w:t>5.77</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0.004*; 0.012*</w:t>
            </w:r>
          </w:p>
        </w:tc>
      </w:tr>
      <w:tr w:rsidR="00984F77" w:rsidTr="00C17738">
        <w:tc>
          <w:tcPr>
            <w:tcW w:w="1385" w:type="pct"/>
          </w:tcPr>
          <w:p w:rsidR="00C17738" w:rsidRPr="00E14F7A" w:rsidRDefault="00C17738" w:rsidP="008F7BB0">
            <w:pPr>
              <w:rPr>
                <w:sz w:val="20"/>
                <w:szCs w:val="20"/>
              </w:rPr>
            </w:pPr>
          </w:p>
        </w:tc>
        <w:tc>
          <w:tcPr>
            <w:tcW w:w="767" w:type="pct"/>
          </w:tcPr>
          <w:p w:rsidR="00C17738" w:rsidRPr="00AD331F" w:rsidRDefault="00C17738" w:rsidP="008F7BB0">
            <w:pPr>
              <w:rPr>
                <w:rFonts w:cstheme="minorHAnsi"/>
                <w:sz w:val="20"/>
                <w:szCs w:val="20"/>
              </w:rPr>
            </w:pPr>
          </w:p>
        </w:tc>
        <w:tc>
          <w:tcPr>
            <w:tcW w:w="760" w:type="pct"/>
          </w:tcPr>
          <w:p w:rsidR="00C17738" w:rsidRPr="00AD331F" w:rsidRDefault="00C17738" w:rsidP="008F7BB0">
            <w:pPr>
              <w:rPr>
                <w:rFonts w:cstheme="minorHAnsi"/>
                <w:sz w:val="20"/>
                <w:szCs w:val="20"/>
              </w:rPr>
            </w:pPr>
          </w:p>
        </w:tc>
        <w:tc>
          <w:tcPr>
            <w:tcW w:w="603" w:type="pct"/>
          </w:tcPr>
          <w:p w:rsidR="00C17738" w:rsidRPr="00AD331F" w:rsidRDefault="00C17738" w:rsidP="008F7BB0">
            <w:pPr>
              <w:rPr>
                <w:rFonts w:cstheme="minorHAnsi"/>
                <w:sz w:val="20"/>
                <w:szCs w:val="20"/>
              </w:rPr>
            </w:pPr>
          </w:p>
        </w:tc>
        <w:tc>
          <w:tcPr>
            <w:tcW w:w="765" w:type="pct"/>
          </w:tcPr>
          <w:p w:rsidR="00C17738" w:rsidRPr="00AD331F"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b/>
                <w:sz w:val="20"/>
                <w:szCs w:val="20"/>
              </w:rPr>
            </w:pPr>
            <w:r>
              <w:rPr>
                <w:rFonts w:cstheme="minorHAnsi"/>
                <w:b/>
                <w:sz w:val="20"/>
                <w:szCs w:val="20"/>
              </w:rPr>
              <w:t xml:space="preserve">D) </w:t>
            </w:r>
            <w:r w:rsidRPr="006D728E">
              <w:rPr>
                <w:b/>
                <w:sz w:val="20"/>
                <w:szCs w:val="20"/>
              </w:rPr>
              <w:t>VASO-DEPRESSOR</w:t>
            </w:r>
            <w:r w:rsidRPr="00E14F7A">
              <w:rPr>
                <w:rFonts w:cstheme="minorHAnsi"/>
                <w:b/>
                <w:sz w:val="20"/>
                <w:szCs w:val="20"/>
              </w:rPr>
              <w:t xml:space="preserve"> SYNCOPE</w:t>
            </w: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b/>
                <w:sz w:val="20"/>
                <w:szCs w:val="20"/>
              </w:rPr>
            </w:pPr>
            <w:r w:rsidRPr="00E14F7A">
              <w:rPr>
                <w:rFonts w:cstheme="minorHAnsi"/>
                <w:b/>
                <w:sz w:val="20"/>
                <w:szCs w:val="20"/>
              </w:rPr>
              <w:t>Autonomic system parameters</w:t>
            </w: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autoSpaceDE w:val="0"/>
              <w:autoSpaceDN w:val="0"/>
              <w:adjustRightInd w:val="0"/>
              <w:rPr>
                <w:rFonts w:cstheme="minorHAnsi"/>
                <w:sz w:val="20"/>
                <w:szCs w:val="20"/>
              </w:rPr>
            </w:pPr>
            <w:r w:rsidRPr="00E14F7A">
              <w:rPr>
                <w:rFonts w:cstheme="minorHAnsi"/>
                <w:sz w:val="20"/>
                <w:szCs w:val="20"/>
              </w:rPr>
              <w:t>Heart rate</w:t>
            </w:r>
          </w:p>
        </w:tc>
        <w:tc>
          <w:tcPr>
            <w:tcW w:w="767" w:type="pct"/>
          </w:tcPr>
          <w:p w:rsidR="00C17738" w:rsidRDefault="008A17EC" w:rsidP="008F7BB0">
            <w:r>
              <w:rPr>
                <w:rFonts w:cstheme="minorHAnsi"/>
                <w:sz w:val="20"/>
                <w:szCs w:val="20"/>
              </w:rPr>
              <w:t>75.84</w:t>
            </w:r>
            <w:r w:rsidRPr="00597DDD">
              <w:rPr>
                <w:rFonts w:cstheme="minorHAnsi"/>
                <w:sz w:val="20"/>
                <w:szCs w:val="20"/>
              </w:rPr>
              <w:t>±</w:t>
            </w:r>
            <w:r>
              <w:rPr>
                <w:rFonts w:cstheme="minorHAnsi"/>
                <w:sz w:val="20"/>
                <w:szCs w:val="20"/>
              </w:rPr>
              <w:t>11.45</w:t>
            </w:r>
          </w:p>
        </w:tc>
        <w:tc>
          <w:tcPr>
            <w:tcW w:w="760" w:type="pct"/>
          </w:tcPr>
          <w:p w:rsidR="00C17738" w:rsidRDefault="008A17EC" w:rsidP="008F7BB0">
            <w:r>
              <w:rPr>
                <w:rFonts w:cstheme="minorHAnsi"/>
                <w:sz w:val="20"/>
                <w:szCs w:val="20"/>
              </w:rPr>
              <w:t>78.08</w:t>
            </w:r>
            <w:r w:rsidRPr="00597DDD">
              <w:rPr>
                <w:rFonts w:cstheme="minorHAnsi"/>
                <w:sz w:val="20"/>
                <w:szCs w:val="20"/>
              </w:rPr>
              <w:t>±</w:t>
            </w:r>
            <w:r>
              <w:rPr>
                <w:rFonts w:cstheme="minorHAnsi"/>
                <w:sz w:val="20"/>
                <w:szCs w:val="20"/>
              </w:rPr>
              <w:t>11.85</w:t>
            </w:r>
          </w:p>
        </w:tc>
        <w:tc>
          <w:tcPr>
            <w:tcW w:w="603" w:type="pct"/>
          </w:tcPr>
          <w:p w:rsidR="00C17738" w:rsidRDefault="008A17EC" w:rsidP="008F7BB0">
            <w:r>
              <w:rPr>
                <w:rFonts w:cstheme="minorHAnsi"/>
                <w:sz w:val="20"/>
                <w:szCs w:val="20"/>
              </w:rPr>
              <w:t>56.7</w:t>
            </w:r>
            <w:r w:rsidRPr="00597DDD">
              <w:rPr>
                <w:rFonts w:cstheme="minorHAnsi"/>
                <w:sz w:val="20"/>
                <w:szCs w:val="20"/>
              </w:rPr>
              <w:t>±</w:t>
            </w:r>
            <w:r>
              <w:rPr>
                <w:rFonts w:cstheme="minorHAnsi"/>
                <w:sz w:val="20"/>
                <w:szCs w:val="20"/>
              </w:rPr>
              <w:t>9.9</w:t>
            </w:r>
          </w:p>
        </w:tc>
        <w:tc>
          <w:tcPr>
            <w:tcW w:w="765" w:type="pct"/>
          </w:tcPr>
          <w:p w:rsidR="00C17738" w:rsidRDefault="008A17EC" w:rsidP="008F7BB0">
            <w:r>
              <w:rPr>
                <w:rFonts w:cstheme="minorHAnsi"/>
                <w:sz w:val="20"/>
                <w:szCs w:val="20"/>
              </w:rPr>
              <w:t>70.8</w:t>
            </w:r>
            <w:r w:rsidRPr="00597DDD">
              <w:rPr>
                <w:rFonts w:cstheme="minorHAnsi"/>
                <w:sz w:val="20"/>
                <w:szCs w:val="20"/>
              </w:rPr>
              <w:t>±</w:t>
            </w:r>
            <w:r>
              <w:rPr>
                <w:rFonts w:cstheme="minorHAnsi"/>
                <w:sz w:val="20"/>
                <w:szCs w:val="20"/>
              </w:rPr>
              <w:t>10.1</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0.389; 0.001**</w:t>
            </w:r>
          </w:p>
        </w:tc>
      </w:tr>
      <w:tr w:rsidR="00984F77" w:rsidTr="00C17738">
        <w:tc>
          <w:tcPr>
            <w:tcW w:w="1385" w:type="pct"/>
          </w:tcPr>
          <w:p w:rsidR="00C17738" w:rsidRPr="00E14F7A" w:rsidRDefault="008A17EC" w:rsidP="008F7BB0">
            <w:pPr>
              <w:rPr>
                <w:b/>
                <w:sz w:val="20"/>
                <w:szCs w:val="20"/>
                <w:lang w:val="en-US"/>
              </w:rPr>
            </w:pPr>
            <w:r w:rsidRPr="00E14F7A">
              <w:rPr>
                <w:b/>
                <w:sz w:val="20"/>
                <w:szCs w:val="20"/>
                <w:lang w:val="en-US"/>
              </w:rPr>
              <w:t>ECG Holter parameters</w:t>
            </w:r>
          </w:p>
        </w:tc>
        <w:tc>
          <w:tcPr>
            <w:tcW w:w="767" w:type="pct"/>
          </w:tcPr>
          <w:p w:rsidR="00C17738" w:rsidRDefault="00C17738" w:rsidP="008F7BB0">
            <w:pPr>
              <w:rPr>
                <w:rFonts w:cstheme="minorHAnsi"/>
                <w:sz w:val="20"/>
                <w:szCs w:val="20"/>
              </w:rPr>
            </w:pPr>
          </w:p>
        </w:tc>
        <w:tc>
          <w:tcPr>
            <w:tcW w:w="760" w:type="pct"/>
          </w:tcPr>
          <w:p w:rsidR="00C17738" w:rsidRDefault="00C17738" w:rsidP="008F7BB0">
            <w:pPr>
              <w:rPr>
                <w:rFonts w:cstheme="minorHAnsi"/>
                <w:sz w:val="20"/>
                <w:szCs w:val="20"/>
              </w:rPr>
            </w:pPr>
          </w:p>
        </w:tc>
        <w:tc>
          <w:tcPr>
            <w:tcW w:w="603" w:type="pct"/>
          </w:tcPr>
          <w:p w:rsidR="00C17738" w:rsidRDefault="00C17738" w:rsidP="008F7BB0">
            <w:pPr>
              <w:rPr>
                <w:rFonts w:cstheme="minorHAnsi"/>
                <w:sz w:val="20"/>
                <w:szCs w:val="20"/>
              </w:rPr>
            </w:pPr>
          </w:p>
        </w:tc>
        <w:tc>
          <w:tcPr>
            <w:tcW w:w="765" w:type="pct"/>
          </w:tcPr>
          <w:p w:rsidR="00C17738" w:rsidRDefault="00C17738" w:rsidP="008F7BB0">
            <w:pPr>
              <w:rPr>
                <w:rFonts w:cstheme="minorHAnsi"/>
                <w:sz w:val="20"/>
                <w:szCs w:val="20"/>
              </w:rPr>
            </w:pPr>
          </w:p>
        </w:tc>
        <w:tc>
          <w:tcPr>
            <w:tcW w:w="719" w:type="pct"/>
          </w:tcPr>
          <w:p w:rsidR="00C17738" w:rsidRDefault="00C17738" w:rsidP="008F7BB0">
            <w:pPr>
              <w:autoSpaceDE w:val="0"/>
              <w:autoSpaceDN w:val="0"/>
              <w:adjustRightInd w:val="0"/>
              <w:rPr>
                <w:rFonts w:cstheme="minorHAnsi"/>
                <w:sz w:val="20"/>
                <w:szCs w:val="20"/>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 normalized units</w:t>
            </w:r>
          </w:p>
        </w:tc>
        <w:tc>
          <w:tcPr>
            <w:tcW w:w="767" w:type="pct"/>
          </w:tcPr>
          <w:p w:rsidR="00C17738" w:rsidRDefault="008A17EC" w:rsidP="008F7BB0">
            <w:r>
              <w:rPr>
                <w:rFonts w:cstheme="minorHAnsi"/>
                <w:sz w:val="20"/>
                <w:szCs w:val="20"/>
              </w:rPr>
              <w:t>81.67</w:t>
            </w:r>
            <w:r w:rsidRPr="003553C6">
              <w:rPr>
                <w:rFonts w:cstheme="minorHAnsi"/>
                <w:sz w:val="20"/>
                <w:szCs w:val="20"/>
              </w:rPr>
              <w:t>±</w:t>
            </w:r>
            <w:r>
              <w:rPr>
                <w:rFonts w:cstheme="minorHAnsi"/>
                <w:sz w:val="20"/>
                <w:szCs w:val="20"/>
              </w:rPr>
              <w:t>5.69</w:t>
            </w:r>
          </w:p>
        </w:tc>
        <w:tc>
          <w:tcPr>
            <w:tcW w:w="760" w:type="pct"/>
          </w:tcPr>
          <w:p w:rsidR="00C17738" w:rsidRDefault="008A17EC" w:rsidP="008F7BB0">
            <w:r>
              <w:rPr>
                <w:rFonts w:cstheme="minorHAnsi"/>
                <w:sz w:val="20"/>
                <w:szCs w:val="20"/>
              </w:rPr>
              <w:t>83.07</w:t>
            </w:r>
            <w:r w:rsidRPr="003553C6">
              <w:rPr>
                <w:rFonts w:cstheme="minorHAnsi"/>
                <w:sz w:val="20"/>
                <w:szCs w:val="20"/>
              </w:rPr>
              <w:t>±</w:t>
            </w:r>
            <w:r>
              <w:rPr>
                <w:rFonts w:cstheme="minorHAnsi"/>
                <w:sz w:val="20"/>
                <w:szCs w:val="20"/>
              </w:rPr>
              <w:t>4.53</w:t>
            </w:r>
          </w:p>
        </w:tc>
        <w:tc>
          <w:tcPr>
            <w:tcW w:w="603" w:type="pct"/>
          </w:tcPr>
          <w:p w:rsidR="00C17738" w:rsidRDefault="008A17EC" w:rsidP="008F7BB0">
            <w:r>
              <w:rPr>
                <w:rFonts w:cstheme="minorHAnsi"/>
                <w:sz w:val="20"/>
                <w:szCs w:val="20"/>
              </w:rPr>
              <w:t>88.71</w:t>
            </w:r>
            <w:r w:rsidRPr="003553C6">
              <w:rPr>
                <w:rFonts w:cstheme="minorHAnsi"/>
                <w:sz w:val="20"/>
                <w:szCs w:val="20"/>
              </w:rPr>
              <w:t>±</w:t>
            </w:r>
            <w:r>
              <w:rPr>
                <w:rFonts w:cstheme="minorHAnsi"/>
                <w:sz w:val="20"/>
                <w:szCs w:val="20"/>
              </w:rPr>
              <w:t>3.89</w:t>
            </w:r>
          </w:p>
        </w:tc>
        <w:tc>
          <w:tcPr>
            <w:tcW w:w="765" w:type="pct"/>
          </w:tcPr>
          <w:p w:rsidR="00C17738" w:rsidRDefault="008A17EC" w:rsidP="008F7BB0">
            <w:r>
              <w:rPr>
                <w:rFonts w:cstheme="minorHAnsi"/>
                <w:sz w:val="20"/>
                <w:szCs w:val="20"/>
              </w:rPr>
              <w:t>85.04</w:t>
            </w:r>
            <w:r w:rsidRPr="003553C6">
              <w:rPr>
                <w:rFonts w:cstheme="minorHAnsi"/>
                <w:sz w:val="20"/>
                <w:szCs w:val="20"/>
              </w:rPr>
              <w:t>±</w:t>
            </w:r>
            <w:r>
              <w:rPr>
                <w:rFonts w:cstheme="minorHAnsi"/>
                <w:sz w:val="20"/>
                <w:szCs w:val="20"/>
              </w:rPr>
              <w:t>4.19</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0.003*;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HF, normalized units</w:t>
            </w:r>
          </w:p>
        </w:tc>
        <w:tc>
          <w:tcPr>
            <w:tcW w:w="767" w:type="pct"/>
          </w:tcPr>
          <w:p w:rsidR="00C17738" w:rsidRDefault="008A17EC" w:rsidP="008F7BB0">
            <w:r>
              <w:rPr>
                <w:rFonts w:cstheme="minorHAnsi"/>
                <w:sz w:val="20"/>
                <w:szCs w:val="20"/>
              </w:rPr>
              <w:t>19.01</w:t>
            </w:r>
            <w:r w:rsidRPr="003553C6">
              <w:rPr>
                <w:rFonts w:cstheme="minorHAnsi"/>
                <w:sz w:val="20"/>
                <w:szCs w:val="20"/>
              </w:rPr>
              <w:t>±</w:t>
            </w:r>
            <w:r>
              <w:rPr>
                <w:rFonts w:cstheme="minorHAnsi"/>
                <w:sz w:val="20"/>
                <w:szCs w:val="20"/>
              </w:rPr>
              <w:t>1.24</w:t>
            </w:r>
          </w:p>
        </w:tc>
        <w:tc>
          <w:tcPr>
            <w:tcW w:w="760" w:type="pct"/>
          </w:tcPr>
          <w:p w:rsidR="00C17738" w:rsidRDefault="008A17EC" w:rsidP="008F7BB0">
            <w:r>
              <w:rPr>
                <w:rFonts w:cstheme="minorHAnsi"/>
                <w:sz w:val="20"/>
                <w:szCs w:val="20"/>
              </w:rPr>
              <w:t>18.96</w:t>
            </w:r>
            <w:r w:rsidRPr="003553C6">
              <w:rPr>
                <w:rFonts w:cstheme="minorHAnsi"/>
                <w:sz w:val="20"/>
                <w:szCs w:val="20"/>
              </w:rPr>
              <w:t>±</w:t>
            </w:r>
            <w:r>
              <w:rPr>
                <w:rFonts w:cstheme="minorHAnsi"/>
                <w:sz w:val="20"/>
                <w:szCs w:val="20"/>
              </w:rPr>
              <w:t>1.25</w:t>
            </w:r>
          </w:p>
        </w:tc>
        <w:tc>
          <w:tcPr>
            <w:tcW w:w="603" w:type="pct"/>
          </w:tcPr>
          <w:p w:rsidR="00C17738" w:rsidRDefault="008A17EC" w:rsidP="008F7BB0">
            <w:r>
              <w:rPr>
                <w:rFonts w:cstheme="minorHAnsi"/>
                <w:sz w:val="20"/>
                <w:szCs w:val="20"/>
              </w:rPr>
              <w:t>15.38</w:t>
            </w:r>
            <w:r w:rsidRPr="003553C6">
              <w:rPr>
                <w:rFonts w:cstheme="minorHAnsi"/>
                <w:sz w:val="20"/>
                <w:szCs w:val="20"/>
              </w:rPr>
              <w:t>±</w:t>
            </w:r>
            <w:r>
              <w:rPr>
                <w:rFonts w:cstheme="minorHAnsi"/>
                <w:sz w:val="20"/>
                <w:szCs w:val="20"/>
              </w:rPr>
              <w:t>0.80</w:t>
            </w:r>
          </w:p>
        </w:tc>
        <w:tc>
          <w:tcPr>
            <w:tcW w:w="765" w:type="pct"/>
          </w:tcPr>
          <w:p w:rsidR="00C17738" w:rsidRDefault="008A17EC" w:rsidP="008F7BB0">
            <w:r>
              <w:rPr>
                <w:rFonts w:cstheme="minorHAnsi"/>
                <w:sz w:val="20"/>
                <w:szCs w:val="20"/>
              </w:rPr>
              <w:t>17.34</w:t>
            </w:r>
            <w:r w:rsidRPr="003553C6">
              <w:rPr>
                <w:rFonts w:cstheme="minorHAnsi"/>
                <w:sz w:val="20"/>
                <w:szCs w:val="20"/>
              </w:rPr>
              <w:t>±</w:t>
            </w:r>
            <w:r>
              <w:rPr>
                <w:rFonts w:cstheme="minorHAnsi"/>
                <w:sz w:val="20"/>
                <w:szCs w:val="20"/>
              </w:rPr>
              <w:t>0.93</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0.0016*; 0.001**</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LF/HF ratio</w:t>
            </w:r>
          </w:p>
        </w:tc>
        <w:tc>
          <w:tcPr>
            <w:tcW w:w="767" w:type="pct"/>
          </w:tcPr>
          <w:p w:rsidR="00C17738" w:rsidRDefault="008A17EC" w:rsidP="008F7BB0">
            <w:r>
              <w:rPr>
                <w:rFonts w:cstheme="minorHAnsi"/>
                <w:sz w:val="20"/>
                <w:szCs w:val="20"/>
              </w:rPr>
              <w:t>4.31</w:t>
            </w:r>
            <w:r w:rsidRPr="003553C6">
              <w:rPr>
                <w:rFonts w:cstheme="minorHAnsi"/>
                <w:sz w:val="20"/>
                <w:szCs w:val="20"/>
              </w:rPr>
              <w:t>±</w:t>
            </w:r>
            <w:r>
              <w:rPr>
                <w:rFonts w:cstheme="minorHAnsi"/>
                <w:sz w:val="20"/>
                <w:szCs w:val="20"/>
              </w:rPr>
              <w:t>0.34</w:t>
            </w:r>
          </w:p>
        </w:tc>
        <w:tc>
          <w:tcPr>
            <w:tcW w:w="760" w:type="pct"/>
          </w:tcPr>
          <w:p w:rsidR="00C17738" w:rsidRDefault="008A17EC" w:rsidP="008F7BB0">
            <w:r>
              <w:rPr>
                <w:rFonts w:cstheme="minorHAnsi"/>
                <w:sz w:val="20"/>
                <w:szCs w:val="20"/>
              </w:rPr>
              <w:t>4.39</w:t>
            </w:r>
            <w:r w:rsidRPr="003553C6">
              <w:rPr>
                <w:rFonts w:cstheme="minorHAnsi"/>
                <w:sz w:val="20"/>
                <w:szCs w:val="20"/>
              </w:rPr>
              <w:t>±</w:t>
            </w:r>
            <w:r>
              <w:rPr>
                <w:rFonts w:cstheme="minorHAnsi"/>
                <w:sz w:val="20"/>
                <w:szCs w:val="20"/>
              </w:rPr>
              <w:t>0.39</w:t>
            </w:r>
          </w:p>
        </w:tc>
        <w:tc>
          <w:tcPr>
            <w:tcW w:w="603" w:type="pct"/>
          </w:tcPr>
          <w:p w:rsidR="00C17738" w:rsidRDefault="008A17EC" w:rsidP="008F7BB0">
            <w:r>
              <w:rPr>
                <w:rFonts w:cstheme="minorHAnsi"/>
                <w:sz w:val="20"/>
                <w:szCs w:val="20"/>
              </w:rPr>
              <w:t>5.78</w:t>
            </w:r>
            <w:r w:rsidRPr="003553C6">
              <w:rPr>
                <w:rFonts w:cstheme="minorHAnsi"/>
                <w:sz w:val="20"/>
                <w:szCs w:val="20"/>
              </w:rPr>
              <w:t>±</w:t>
            </w:r>
            <w:r>
              <w:rPr>
                <w:rFonts w:cstheme="minorHAnsi"/>
                <w:sz w:val="20"/>
                <w:szCs w:val="20"/>
              </w:rPr>
              <w:t>0.41</w:t>
            </w:r>
          </w:p>
        </w:tc>
        <w:tc>
          <w:tcPr>
            <w:tcW w:w="765" w:type="pct"/>
          </w:tcPr>
          <w:p w:rsidR="00C17738" w:rsidRDefault="008A17EC" w:rsidP="008F7BB0">
            <w:r>
              <w:rPr>
                <w:rFonts w:cstheme="minorHAnsi"/>
                <w:sz w:val="20"/>
                <w:szCs w:val="20"/>
              </w:rPr>
              <w:t>4.92</w:t>
            </w:r>
            <w:r w:rsidRPr="003553C6">
              <w:rPr>
                <w:rFonts w:cstheme="minorHAnsi"/>
                <w:sz w:val="20"/>
                <w:szCs w:val="20"/>
              </w:rPr>
              <w:t>±</w:t>
            </w:r>
            <w:r>
              <w:rPr>
                <w:rFonts w:cstheme="minorHAnsi"/>
                <w:sz w:val="20"/>
                <w:szCs w:val="20"/>
              </w:rPr>
              <w:t>0.37</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0.301; 0.001**</w:t>
            </w:r>
          </w:p>
        </w:tc>
      </w:tr>
      <w:tr w:rsidR="00984F77" w:rsidRPr="00C577C6" w:rsidTr="00C17738">
        <w:tc>
          <w:tcPr>
            <w:tcW w:w="1385" w:type="pct"/>
          </w:tcPr>
          <w:p w:rsidR="00C17738" w:rsidRPr="00E14F7A" w:rsidRDefault="008A17EC" w:rsidP="008F7BB0">
            <w:pPr>
              <w:rPr>
                <w:b/>
                <w:sz w:val="20"/>
                <w:szCs w:val="20"/>
                <w:lang w:val="en-US"/>
              </w:rPr>
            </w:pPr>
            <w:r w:rsidRPr="00E14F7A">
              <w:rPr>
                <w:rFonts w:cstheme="minorHAnsi"/>
                <w:b/>
                <w:sz w:val="20"/>
                <w:szCs w:val="20"/>
                <w:lang w:val="en-US"/>
              </w:rPr>
              <w:lastRenderedPageBreak/>
              <w:t>123I-MIBG myocardial scintigraphy parameters</w:t>
            </w:r>
          </w:p>
        </w:tc>
        <w:tc>
          <w:tcPr>
            <w:tcW w:w="767" w:type="pct"/>
          </w:tcPr>
          <w:p w:rsidR="00C17738" w:rsidRPr="00BA3B01" w:rsidRDefault="00C17738" w:rsidP="008F7BB0">
            <w:pPr>
              <w:rPr>
                <w:rFonts w:cstheme="minorHAnsi"/>
                <w:sz w:val="20"/>
                <w:szCs w:val="20"/>
                <w:lang w:val="en-US"/>
              </w:rPr>
            </w:pPr>
          </w:p>
        </w:tc>
        <w:tc>
          <w:tcPr>
            <w:tcW w:w="760" w:type="pct"/>
          </w:tcPr>
          <w:p w:rsidR="00C17738" w:rsidRPr="00BA3B01" w:rsidRDefault="00C17738" w:rsidP="008F7BB0">
            <w:pPr>
              <w:rPr>
                <w:rFonts w:cstheme="minorHAnsi"/>
                <w:sz w:val="20"/>
                <w:szCs w:val="20"/>
                <w:lang w:val="en-US"/>
              </w:rPr>
            </w:pPr>
          </w:p>
        </w:tc>
        <w:tc>
          <w:tcPr>
            <w:tcW w:w="603" w:type="pct"/>
          </w:tcPr>
          <w:p w:rsidR="00C17738" w:rsidRPr="00BA3B01" w:rsidRDefault="00C17738" w:rsidP="008F7BB0">
            <w:pPr>
              <w:rPr>
                <w:rFonts w:cstheme="minorHAnsi"/>
                <w:sz w:val="20"/>
                <w:szCs w:val="20"/>
                <w:lang w:val="en-US"/>
              </w:rPr>
            </w:pPr>
          </w:p>
        </w:tc>
        <w:tc>
          <w:tcPr>
            <w:tcW w:w="765" w:type="pct"/>
          </w:tcPr>
          <w:p w:rsidR="00C17738" w:rsidRPr="00BA3B01" w:rsidRDefault="00C17738" w:rsidP="008F7BB0">
            <w:pPr>
              <w:rPr>
                <w:rFonts w:cstheme="minorHAnsi"/>
                <w:sz w:val="20"/>
                <w:szCs w:val="20"/>
                <w:lang w:val="en-US"/>
              </w:rPr>
            </w:pPr>
          </w:p>
        </w:tc>
        <w:tc>
          <w:tcPr>
            <w:tcW w:w="719" w:type="pct"/>
          </w:tcPr>
          <w:p w:rsidR="00C17738" w:rsidRPr="00BA3B01" w:rsidRDefault="00C17738" w:rsidP="008F7BB0">
            <w:pPr>
              <w:autoSpaceDE w:val="0"/>
              <w:autoSpaceDN w:val="0"/>
              <w:adjustRightInd w:val="0"/>
              <w:rPr>
                <w:rFonts w:cstheme="minorHAnsi"/>
                <w:sz w:val="20"/>
                <w:szCs w:val="20"/>
                <w:lang w:val="en-US"/>
              </w:rPr>
            </w:pP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Heart to Mediastinum ratio</w:t>
            </w:r>
          </w:p>
        </w:tc>
        <w:tc>
          <w:tcPr>
            <w:tcW w:w="767" w:type="pct"/>
          </w:tcPr>
          <w:p w:rsidR="00C17738" w:rsidRDefault="008A17EC" w:rsidP="008F7BB0">
            <w:r>
              <w:rPr>
                <w:rFonts w:cstheme="minorHAnsi"/>
                <w:sz w:val="20"/>
                <w:szCs w:val="20"/>
              </w:rPr>
              <w:t>1.95</w:t>
            </w:r>
            <w:r w:rsidRPr="00AD0B3F">
              <w:rPr>
                <w:rFonts w:cstheme="minorHAnsi"/>
                <w:sz w:val="20"/>
                <w:szCs w:val="20"/>
              </w:rPr>
              <w:t>±</w:t>
            </w:r>
            <w:r>
              <w:rPr>
                <w:rFonts w:cstheme="minorHAnsi"/>
                <w:sz w:val="20"/>
                <w:szCs w:val="20"/>
              </w:rPr>
              <w:t>0.09</w:t>
            </w:r>
          </w:p>
        </w:tc>
        <w:tc>
          <w:tcPr>
            <w:tcW w:w="760" w:type="pct"/>
          </w:tcPr>
          <w:p w:rsidR="00C17738" w:rsidRDefault="008A17EC" w:rsidP="008F7BB0">
            <w:r>
              <w:rPr>
                <w:rFonts w:cstheme="minorHAnsi"/>
                <w:sz w:val="20"/>
                <w:szCs w:val="20"/>
              </w:rPr>
              <w:t>2.23</w:t>
            </w:r>
            <w:r w:rsidRPr="00AD0B3F">
              <w:rPr>
                <w:rFonts w:cstheme="minorHAnsi"/>
                <w:sz w:val="20"/>
                <w:szCs w:val="20"/>
              </w:rPr>
              <w:t>±</w:t>
            </w:r>
            <w:r>
              <w:rPr>
                <w:rFonts w:cstheme="minorHAnsi"/>
                <w:sz w:val="20"/>
                <w:szCs w:val="20"/>
              </w:rPr>
              <w:t>0.46</w:t>
            </w:r>
          </w:p>
        </w:tc>
        <w:tc>
          <w:tcPr>
            <w:tcW w:w="603" w:type="pct"/>
          </w:tcPr>
          <w:p w:rsidR="00C17738" w:rsidRDefault="008A17EC" w:rsidP="008F7BB0">
            <w:r>
              <w:rPr>
                <w:rFonts w:cstheme="minorHAnsi"/>
                <w:sz w:val="20"/>
                <w:szCs w:val="20"/>
              </w:rPr>
              <w:t>2.38</w:t>
            </w:r>
            <w:r w:rsidRPr="00AD0B3F">
              <w:rPr>
                <w:rFonts w:cstheme="minorHAnsi"/>
                <w:sz w:val="20"/>
                <w:szCs w:val="20"/>
              </w:rPr>
              <w:t>±</w:t>
            </w:r>
            <w:r>
              <w:rPr>
                <w:rFonts w:cstheme="minorHAnsi"/>
                <w:sz w:val="20"/>
                <w:szCs w:val="20"/>
              </w:rPr>
              <w:t>0.32</w:t>
            </w:r>
          </w:p>
        </w:tc>
        <w:tc>
          <w:tcPr>
            <w:tcW w:w="765" w:type="pct"/>
          </w:tcPr>
          <w:p w:rsidR="00C17738" w:rsidRDefault="008A17EC" w:rsidP="008F7BB0">
            <w:r>
              <w:rPr>
                <w:rFonts w:cstheme="minorHAnsi"/>
                <w:sz w:val="20"/>
                <w:szCs w:val="20"/>
              </w:rPr>
              <w:t>2.07</w:t>
            </w:r>
            <w:r w:rsidRPr="00AD0B3F">
              <w:rPr>
                <w:rFonts w:cstheme="minorHAnsi"/>
                <w:sz w:val="20"/>
                <w:szCs w:val="20"/>
              </w:rPr>
              <w:t>±</w:t>
            </w:r>
            <w:r>
              <w:rPr>
                <w:rFonts w:cstheme="minorHAnsi"/>
                <w:sz w:val="20"/>
                <w:szCs w:val="20"/>
              </w:rPr>
              <w:t>0.37</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0.002*; 0.012**</w:t>
            </w:r>
          </w:p>
        </w:tc>
      </w:tr>
      <w:tr w:rsidR="00984F77" w:rsidTr="00C17738">
        <w:tc>
          <w:tcPr>
            <w:tcW w:w="1385" w:type="pct"/>
          </w:tcPr>
          <w:p w:rsidR="00C17738" w:rsidRPr="00E14F7A" w:rsidRDefault="008A17EC" w:rsidP="008F7BB0">
            <w:pPr>
              <w:rPr>
                <w:sz w:val="20"/>
                <w:szCs w:val="20"/>
                <w:lang w:val="en-US"/>
              </w:rPr>
            </w:pPr>
            <w:r w:rsidRPr="00E14F7A">
              <w:rPr>
                <w:sz w:val="20"/>
                <w:szCs w:val="20"/>
                <w:lang w:val="en-US"/>
              </w:rPr>
              <w:t>Washout rate (%)</w:t>
            </w:r>
          </w:p>
        </w:tc>
        <w:tc>
          <w:tcPr>
            <w:tcW w:w="767" w:type="pct"/>
          </w:tcPr>
          <w:p w:rsidR="00C17738" w:rsidRDefault="008A17EC" w:rsidP="008F7BB0">
            <w:r>
              <w:rPr>
                <w:rFonts w:cstheme="minorHAnsi"/>
                <w:sz w:val="20"/>
                <w:szCs w:val="20"/>
              </w:rPr>
              <w:t>46.19</w:t>
            </w:r>
            <w:r w:rsidRPr="00AD0B3F">
              <w:rPr>
                <w:rFonts w:cstheme="minorHAnsi"/>
                <w:sz w:val="20"/>
                <w:szCs w:val="20"/>
              </w:rPr>
              <w:t>±</w:t>
            </w:r>
            <w:r>
              <w:rPr>
                <w:rFonts w:cstheme="minorHAnsi"/>
                <w:sz w:val="20"/>
                <w:szCs w:val="20"/>
              </w:rPr>
              <w:t>6.11</w:t>
            </w:r>
          </w:p>
        </w:tc>
        <w:tc>
          <w:tcPr>
            <w:tcW w:w="760" w:type="pct"/>
          </w:tcPr>
          <w:p w:rsidR="00C17738" w:rsidRDefault="008A17EC" w:rsidP="008F7BB0">
            <w:r>
              <w:rPr>
                <w:rFonts w:cstheme="minorHAnsi"/>
                <w:sz w:val="20"/>
                <w:szCs w:val="20"/>
              </w:rPr>
              <w:t>41.40</w:t>
            </w:r>
            <w:r w:rsidRPr="00AD0B3F">
              <w:rPr>
                <w:rFonts w:cstheme="minorHAnsi"/>
                <w:sz w:val="20"/>
                <w:szCs w:val="20"/>
              </w:rPr>
              <w:t>±</w:t>
            </w:r>
            <w:r>
              <w:rPr>
                <w:rFonts w:cstheme="minorHAnsi"/>
                <w:sz w:val="20"/>
                <w:szCs w:val="20"/>
              </w:rPr>
              <w:t>8.43</w:t>
            </w:r>
          </w:p>
        </w:tc>
        <w:tc>
          <w:tcPr>
            <w:tcW w:w="603" w:type="pct"/>
          </w:tcPr>
          <w:p w:rsidR="00C17738" w:rsidRDefault="008A17EC" w:rsidP="008F7BB0">
            <w:r>
              <w:rPr>
                <w:rFonts w:cstheme="minorHAnsi"/>
                <w:sz w:val="20"/>
                <w:szCs w:val="20"/>
              </w:rPr>
              <w:t>26.69</w:t>
            </w:r>
            <w:r w:rsidRPr="00AD0B3F">
              <w:rPr>
                <w:rFonts w:cstheme="minorHAnsi"/>
                <w:sz w:val="20"/>
                <w:szCs w:val="20"/>
              </w:rPr>
              <w:t>±</w:t>
            </w:r>
            <w:r>
              <w:rPr>
                <w:rFonts w:cstheme="minorHAnsi"/>
                <w:sz w:val="20"/>
                <w:szCs w:val="20"/>
              </w:rPr>
              <w:t>4.59</w:t>
            </w:r>
          </w:p>
        </w:tc>
        <w:tc>
          <w:tcPr>
            <w:tcW w:w="765" w:type="pct"/>
          </w:tcPr>
          <w:p w:rsidR="00C17738" w:rsidRDefault="008A17EC" w:rsidP="008F7BB0">
            <w:r>
              <w:rPr>
                <w:rFonts w:cstheme="minorHAnsi"/>
                <w:sz w:val="20"/>
                <w:szCs w:val="20"/>
              </w:rPr>
              <w:t>37.26</w:t>
            </w:r>
            <w:r w:rsidRPr="00AD0B3F">
              <w:rPr>
                <w:rFonts w:cstheme="minorHAnsi"/>
                <w:sz w:val="20"/>
                <w:szCs w:val="20"/>
              </w:rPr>
              <w:t>±</w:t>
            </w:r>
            <w:r>
              <w:rPr>
                <w:rFonts w:cstheme="minorHAnsi"/>
                <w:sz w:val="20"/>
                <w:szCs w:val="20"/>
              </w:rPr>
              <w:t>8.89</w:t>
            </w:r>
          </w:p>
        </w:tc>
        <w:tc>
          <w:tcPr>
            <w:tcW w:w="719" w:type="pct"/>
          </w:tcPr>
          <w:p w:rsidR="00C17738" w:rsidRDefault="008A17EC" w:rsidP="008F7BB0">
            <w:pPr>
              <w:autoSpaceDE w:val="0"/>
              <w:autoSpaceDN w:val="0"/>
              <w:adjustRightInd w:val="0"/>
              <w:rPr>
                <w:rFonts w:cstheme="minorHAnsi"/>
                <w:sz w:val="20"/>
                <w:szCs w:val="20"/>
              </w:rPr>
            </w:pPr>
            <w:r>
              <w:rPr>
                <w:rFonts w:cstheme="minorHAnsi"/>
                <w:sz w:val="20"/>
                <w:szCs w:val="20"/>
              </w:rPr>
              <w:t>0.007*; 0.001**</w:t>
            </w:r>
          </w:p>
        </w:tc>
      </w:tr>
    </w:tbl>
    <w:p w:rsidR="00C17738" w:rsidRDefault="00C17738" w:rsidP="00C17738">
      <w:pPr>
        <w:autoSpaceDE w:val="0"/>
        <w:autoSpaceDN w:val="0"/>
        <w:adjustRightInd w:val="0"/>
        <w:spacing w:after="0" w:line="400" w:lineRule="atLeast"/>
        <w:rPr>
          <w:rFonts w:ascii="Times New Roman" w:hAnsi="Times New Roman" w:cs="Times New Roman"/>
          <w:sz w:val="24"/>
          <w:szCs w:val="24"/>
          <w:lang w:val="en-US"/>
        </w:rPr>
      </w:pPr>
    </w:p>
    <w:p w:rsidR="000F21C6" w:rsidRDefault="000F21C6" w:rsidP="00C17738">
      <w:pPr>
        <w:autoSpaceDE w:val="0"/>
        <w:autoSpaceDN w:val="0"/>
        <w:adjustRightInd w:val="0"/>
        <w:spacing w:after="0" w:line="400" w:lineRule="atLeast"/>
        <w:rPr>
          <w:rFonts w:cstheme="minorHAnsi"/>
          <w:b/>
          <w:sz w:val="24"/>
          <w:szCs w:val="24"/>
          <w:lang w:val="en-US"/>
        </w:rPr>
      </w:pPr>
    </w:p>
    <w:p w:rsidR="000F21C6" w:rsidRDefault="002C7F1C" w:rsidP="000F21C6">
      <w:pPr>
        <w:autoSpaceDE w:val="0"/>
        <w:autoSpaceDN w:val="0"/>
        <w:adjustRightInd w:val="0"/>
        <w:spacing w:after="0" w:line="240" w:lineRule="auto"/>
        <w:rPr>
          <w:rFonts w:cstheme="minorHAnsi"/>
          <w:b/>
          <w:sz w:val="24"/>
          <w:szCs w:val="24"/>
          <w:lang w:val="en-US"/>
        </w:rPr>
      </w:pPr>
      <w:r w:rsidRPr="002C7F1C">
        <w:rPr>
          <w:rFonts w:cstheme="minorHAnsi"/>
          <w:b/>
          <w:sz w:val="24"/>
          <w:szCs w:val="24"/>
          <w:lang w:val="en-US"/>
        </w:rPr>
        <w:t>Supplementary table 2.</w:t>
      </w:r>
      <w:r w:rsidR="000F21C6">
        <w:rPr>
          <w:rFonts w:cstheme="minorHAnsi"/>
          <w:b/>
          <w:sz w:val="24"/>
          <w:szCs w:val="24"/>
          <w:lang w:val="en-US"/>
        </w:rPr>
        <w:t xml:space="preserve"> Correlation analysis for study variables and delta values of heart rate, LF/</w:t>
      </w:r>
      <w:proofErr w:type="spellStart"/>
      <w:r w:rsidR="000F21C6">
        <w:rPr>
          <w:rFonts w:cstheme="minorHAnsi"/>
          <w:b/>
          <w:sz w:val="24"/>
          <w:szCs w:val="24"/>
          <w:lang w:val="en-US"/>
        </w:rPr>
        <w:t>HFr</w:t>
      </w:r>
      <w:proofErr w:type="spellEnd"/>
      <w:r w:rsidR="000F21C6">
        <w:rPr>
          <w:rFonts w:cstheme="minorHAnsi"/>
          <w:b/>
          <w:sz w:val="24"/>
          <w:szCs w:val="24"/>
          <w:lang w:val="en-US"/>
        </w:rPr>
        <w:t xml:space="preserve">, </w:t>
      </w:r>
      <w:r w:rsidR="000F21C6" w:rsidRPr="000F21C6">
        <w:rPr>
          <w:rFonts w:cstheme="minorHAnsi"/>
          <w:b/>
          <w:sz w:val="24"/>
          <w:szCs w:val="24"/>
          <w:lang w:val="en-US"/>
        </w:rPr>
        <w:t>Heart to Mediastinum ratio</w:t>
      </w:r>
      <w:r w:rsidR="000F21C6">
        <w:rPr>
          <w:rFonts w:cstheme="minorHAnsi"/>
          <w:b/>
          <w:sz w:val="24"/>
          <w:szCs w:val="24"/>
          <w:lang w:val="en-US"/>
        </w:rPr>
        <w:t xml:space="preserve">, and </w:t>
      </w:r>
      <w:r w:rsidR="000F21C6" w:rsidRPr="000F21C6">
        <w:rPr>
          <w:rFonts w:cstheme="minorHAnsi"/>
          <w:b/>
          <w:sz w:val="24"/>
          <w:szCs w:val="24"/>
          <w:lang w:val="en-US"/>
        </w:rPr>
        <w:t>Washout rate</w:t>
      </w:r>
      <w:r w:rsidR="000F21C6">
        <w:rPr>
          <w:rFonts w:cstheme="minorHAnsi"/>
          <w:b/>
          <w:sz w:val="24"/>
          <w:szCs w:val="24"/>
          <w:lang w:val="en-US"/>
        </w:rPr>
        <w:t>.</w:t>
      </w:r>
    </w:p>
    <w:p w:rsidR="000F21C6" w:rsidRDefault="000F21C6" w:rsidP="000F21C6">
      <w:pPr>
        <w:autoSpaceDE w:val="0"/>
        <w:autoSpaceDN w:val="0"/>
        <w:adjustRightInd w:val="0"/>
        <w:spacing w:after="0" w:line="240" w:lineRule="auto"/>
        <w:rPr>
          <w:rFonts w:cstheme="minorHAnsi"/>
          <w:b/>
          <w:sz w:val="24"/>
          <w:szCs w:val="24"/>
          <w:lang w:val="en-US"/>
        </w:rPr>
      </w:pPr>
    </w:p>
    <w:tbl>
      <w:tblPr>
        <w:tblStyle w:val="Grigliatabella"/>
        <w:tblW w:w="5000" w:type="pct"/>
        <w:tblLook w:val="04A0" w:firstRow="1" w:lastRow="0" w:firstColumn="1" w:lastColumn="0" w:noHBand="0" w:noVBand="1"/>
      </w:tblPr>
      <w:tblGrid>
        <w:gridCol w:w="2533"/>
        <w:gridCol w:w="1154"/>
        <w:gridCol w:w="1129"/>
        <w:gridCol w:w="2330"/>
        <w:gridCol w:w="1267"/>
        <w:gridCol w:w="1215"/>
      </w:tblGrid>
      <w:tr w:rsidR="002C7F1C" w:rsidRPr="000F21C6" w:rsidTr="002C7F1C">
        <w:tc>
          <w:tcPr>
            <w:tcW w:w="1315" w:type="pct"/>
          </w:tcPr>
          <w:p w:rsidR="002C7F1C" w:rsidRPr="000F21C6" w:rsidRDefault="002C7F1C" w:rsidP="002C7F1C">
            <w:pPr>
              <w:rPr>
                <w:b/>
                <w:sz w:val="24"/>
                <w:szCs w:val="24"/>
              </w:rPr>
            </w:pPr>
            <w:r w:rsidRPr="000F21C6">
              <w:rPr>
                <w:b/>
                <w:sz w:val="24"/>
                <w:szCs w:val="24"/>
              </w:rPr>
              <w:t>HEART RATE (</w:t>
            </w:r>
            <w:r w:rsidRPr="000F21C6">
              <w:rPr>
                <w:rFonts w:cstheme="minorHAnsi"/>
                <w:b/>
                <w:sz w:val="24"/>
                <w:szCs w:val="24"/>
              </w:rPr>
              <w:t xml:space="preserve">Δ </w:t>
            </w:r>
            <w:proofErr w:type="spellStart"/>
            <w:r w:rsidRPr="000F21C6">
              <w:rPr>
                <w:b/>
                <w:sz w:val="24"/>
                <w:szCs w:val="24"/>
              </w:rPr>
              <w:t>values</w:t>
            </w:r>
            <w:proofErr w:type="spellEnd"/>
            <w:r w:rsidRPr="000F21C6">
              <w:rPr>
                <w:b/>
                <w:sz w:val="24"/>
                <w:szCs w:val="24"/>
              </w:rPr>
              <w:t>)</w:t>
            </w:r>
          </w:p>
        </w:tc>
        <w:tc>
          <w:tcPr>
            <w:tcW w:w="599" w:type="pct"/>
          </w:tcPr>
          <w:p w:rsidR="002C7F1C" w:rsidRPr="000F21C6" w:rsidRDefault="002C7F1C" w:rsidP="002C7F1C">
            <w:pPr>
              <w:rPr>
                <w:b/>
                <w:sz w:val="24"/>
                <w:szCs w:val="24"/>
              </w:rPr>
            </w:pPr>
          </w:p>
        </w:tc>
        <w:tc>
          <w:tcPr>
            <w:tcW w:w="586" w:type="pct"/>
          </w:tcPr>
          <w:p w:rsidR="002C7F1C" w:rsidRPr="000F21C6" w:rsidRDefault="002C7F1C" w:rsidP="002C7F1C">
            <w:pPr>
              <w:rPr>
                <w:b/>
                <w:sz w:val="24"/>
                <w:szCs w:val="24"/>
              </w:rPr>
            </w:pPr>
          </w:p>
        </w:tc>
        <w:tc>
          <w:tcPr>
            <w:tcW w:w="1210" w:type="pct"/>
          </w:tcPr>
          <w:p w:rsidR="002C7F1C" w:rsidRPr="000F21C6" w:rsidRDefault="002C7F1C" w:rsidP="002C7F1C">
            <w:pPr>
              <w:rPr>
                <w:b/>
                <w:sz w:val="24"/>
                <w:szCs w:val="24"/>
              </w:rPr>
            </w:pPr>
            <w:r w:rsidRPr="000F21C6">
              <w:rPr>
                <w:b/>
                <w:sz w:val="24"/>
                <w:szCs w:val="24"/>
              </w:rPr>
              <w:t>LF/</w:t>
            </w:r>
            <w:proofErr w:type="spellStart"/>
            <w:r w:rsidRPr="000F21C6">
              <w:rPr>
                <w:b/>
                <w:sz w:val="24"/>
                <w:szCs w:val="24"/>
              </w:rPr>
              <w:t>HF</w:t>
            </w:r>
            <w:r w:rsidR="000F21C6" w:rsidRPr="000F21C6">
              <w:rPr>
                <w:b/>
                <w:sz w:val="24"/>
                <w:szCs w:val="24"/>
              </w:rPr>
              <w:t>r</w:t>
            </w:r>
            <w:proofErr w:type="spellEnd"/>
            <w:r w:rsidRPr="000F21C6">
              <w:rPr>
                <w:b/>
                <w:sz w:val="24"/>
                <w:szCs w:val="24"/>
              </w:rPr>
              <w:t xml:space="preserve"> (</w:t>
            </w:r>
            <w:r w:rsidRPr="000F21C6">
              <w:rPr>
                <w:rFonts w:cstheme="minorHAnsi"/>
                <w:b/>
                <w:sz w:val="24"/>
                <w:szCs w:val="24"/>
              </w:rPr>
              <w:t xml:space="preserve">Δ </w:t>
            </w:r>
            <w:proofErr w:type="spellStart"/>
            <w:r w:rsidRPr="000F21C6">
              <w:rPr>
                <w:b/>
                <w:sz w:val="24"/>
                <w:szCs w:val="24"/>
              </w:rPr>
              <w:t>values</w:t>
            </w:r>
            <w:proofErr w:type="spellEnd"/>
            <w:r w:rsidRPr="000F21C6">
              <w:rPr>
                <w:b/>
                <w:sz w:val="24"/>
                <w:szCs w:val="24"/>
              </w:rPr>
              <w:t>)</w:t>
            </w:r>
          </w:p>
          <w:p w:rsidR="002C7F1C" w:rsidRPr="000F21C6" w:rsidRDefault="002C7F1C" w:rsidP="002C7F1C">
            <w:pPr>
              <w:rPr>
                <w:b/>
                <w:sz w:val="24"/>
                <w:szCs w:val="24"/>
              </w:rPr>
            </w:pPr>
          </w:p>
        </w:tc>
        <w:tc>
          <w:tcPr>
            <w:tcW w:w="658" w:type="pct"/>
          </w:tcPr>
          <w:p w:rsidR="002C7F1C" w:rsidRPr="000F21C6" w:rsidRDefault="002C7F1C" w:rsidP="002C7F1C">
            <w:pPr>
              <w:rPr>
                <w:b/>
                <w:sz w:val="24"/>
                <w:szCs w:val="24"/>
              </w:rPr>
            </w:pPr>
          </w:p>
        </w:tc>
        <w:tc>
          <w:tcPr>
            <w:tcW w:w="631" w:type="pct"/>
          </w:tcPr>
          <w:p w:rsidR="002C7F1C" w:rsidRPr="000F21C6" w:rsidRDefault="002C7F1C" w:rsidP="002C7F1C">
            <w:pPr>
              <w:rPr>
                <w:b/>
                <w:sz w:val="24"/>
                <w:szCs w:val="24"/>
              </w:rPr>
            </w:pPr>
          </w:p>
        </w:tc>
      </w:tr>
      <w:tr w:rsidR="002C7F1C" w:rsidRPr="000F21C6" w:rsidTr="002C7F1C">
        <w:tc>
          <w:tcPr>
            <w:tcW w:w="1315" w:type="pct"/>
          </w:tcPr>
          <w:p w:rsidR="002C7F1C" w:rsidRPr="000F21C6" w:rsidRDefault="002C7F1C" w:rsidP="002C7F1C">
            <w:pPr>
              <w:rPr>
                <w:b/>
                <w:sz w:val="20"/>
                <w:szCs w:val="20"/>
              </w:rPr>
            </w:pPr>
            <w:proofErr w:type="spellStart"/>
            <w:r w:rsidRPr="000F21C6">
              <w:rPr>
                <w:b/>
                <w:sz w:val="20"/>
                <w:szCs w:val="20"/>
              </w:rPr>
              <w:t>Study</w:t>
            </w:r>
            <w:proofErr w:type="spellEnd"/>
            <w:r w:rsidRPr="000F21C6">
              <w:rPr>
                <w:b/>
                <w:sz w:val="20"/>
                <w:szCs w:val="20"/>
              </w:rPr>
              <w:t xml:space="preserve"> </w:t>
            </w:r>
            <w:proofErr w:type="spellStart"/>
            <w:r w:rsidRPr="000F21C6">
              <w:rPr>
                <w:b/>
                <w:sz w:val="20"/>
                <w:szCs w:val="20"/>
              </w:rPr>
              <w:t>variables</w:t>
            </w:r>
            <w:proofErr w:type="spellEnd"/>
          </w:p>
        </w:tc>
        <w:tc>
          <w:tcPr>
            <w:tcW w:w="599" w:type="pct"/>
          </w:tcPr>
          <w:p w:rsidR="002C7F1C" w:rsidRPr="000F21C6" w:rsidRDefault="002C7F1C" w:rsidP="002C7F1C">
            <w:pPr>
              <w:rPr>
                <w:b/>
                <w:sz w:val="20"/>
                <w:szCs w:val="20"/>
              </w:rPr>
            </w:pPr>
            <w:r w:rsidRPr="000F21C6">
              <w:rPr>
                <w:b/>
                <w:sz w:val="20"/>
                <w:szCs w:val="20"/>
              </w:rPr>
              <w:t xml:space="preserve">R </w:t>
            </w:r>
            <w:proofErr w:type="spellStart"/>
            <w:r w:rsidRPr="000F21C6">
              <w:rPr>
                <w:b/>
                <w:sz w:val="20"/>
                <w:szCs w:val="20"/>
              </w:rPr>
              <w:t>value</w:t>
            </w:r>
            <w:proofErr w:type="spellEnd"/>
          </w:p>
        </w:tc>
        <w:tc>
          <w:tcPr>
            <w:tcW w:w="586" w:type="pct"/>
          </w:tcPr>
          <w:p w:rsidR="002C7F1C" w:rsidRPr="000F21C6" w:rsidRDefault="002C7F1C" w:rsidP="002C7F1C">
            <w:pPr>
              <w:rPr>
                <w:b/>
                <w:sz w:val="20"/>
                <w:szCs w:val="20"/>
              </w:rPr>
            </w:pPr>
            <w:r w:rsidRPr="000F21C6">
              <w:rPr>
                <w:b/>
                <w:sz w:val="20"/>
                <w:szCs w:val="20"/>
              </w:rPr>
              <w:t xml:space="preserve">P </w:t>
            </w:r>
            <w:proofErr w:type="spellStart"/>
            <w:r w:rsidRPr="000F21C6">
              <w:rPr>
                <w:b/>
                <w:sz w:val="20"/>
                <w:szCs w:val="20"/>
              </w:rPr>
              <w:t>value</w:t>
            </w:r>
            <w:proofErr w:type="spellEnd"/>
          </w:p>
        </w:tc>
        <w:tc>
          <w:tcPr>
            <w:tcW w:w="1210" w:type="pct"/>
          </w:tcPr>
          <w:p w:rsidR="002C7F1C" w:rsidRPr="000F21C6" w:rsidRDefault="002C7F1C" w:rsidP="002C7F1C">
            <w:pPr>
              <w:rPr>
                <w:b/>
                <w:sz w:val="20"/>
                <w:szCs w:val="20"/>
              </w:rPr>
            </w:pPr>
            <w:proofErr w:type="spellStart"/>
            <w:r w:rsidRPr="000F21C6">
              <w:rPr>
                <w:b/>
                <w:sz w:val="20"/>
                <w:szCs w:val="20"/>
              </w:rPr>
              <w:t>Study</w:t>
            </w:r>
            <w:proofErr w:type="spellEnd"/>
            <w:r w:rsidRPr="000F21C6">
              <w:rPr>
                <w:b/>
                <w:sz w:val="20"/>
                <w:szCs w:val="20"/>
              </w:rPr>
              <w:t xml:space="preserve"> </w:t>
            </w:r>
            <w:proofErr w:type="spellStart"/>
            <w:r w:rsidRPr="000F21C6">
              <w:rPr>
                <w:b/>
                <w:sz w:val="20"/>
                <w:szCs w:val="20"/>
              </w:rPr>
              <w:t>variables</w:t>
            </w:r>
            <w:proofErr w:type="spellEnd"/>
          </w:p>
        </w:tc>
        <w:tc>
          <w:tcPr>
            <w:tcW w:w="658" w:type="pct"/>
          </w:tcPr>
          <w:p w:rsidR="002C7F1C" w:rsidRPr="000F21C6" w:rsidRDefault="002C7F1C" w:rsidP="002C7F1C">
            <w:pPr>
              <w:rPr>
                <w:b/>
                <w:sz w:val="20"/>
                <w:szCs w:val="20"/>
              </w:rPr>
            </w:pPr>
            <w:r w:rsidRPr="000F21C6">
              <w:rPr>
                <w:b/>
                <w:sz w:val="20"/>
                <w:szCs w:val="20"/>
              </w:rPr>
              <w:t xml:space="preserve">R </w:t>
            </w:r>
            <w:proofErr w:type="spellStart"/>
            <w:r w:rsidRPr="000F21C6">
              <w:rPr>
                <w:b/>
                <w:sz w:val="20"/>
                <w:szCs w:val="20"/>
              </w:rPr>
              <w:t>value</w:t>
            </w:r>
            <w:proofErr w:type="spellEnd"/>
          </w:p>
        </w:tc>
        <w:tc>
          <w:tcPr>
            <w:tcW w:w="631" w:type="pct"/>
          </w:tcPr>
          <w:p w:rsidR="002C7F1C" w:rsidRPr="000F21C6" w:rsidRDefault="002C7F1C" w:rsidP="002C7F1C">
            <w:pPr>
              <w:rPr>
                <w:b/>
                <w:sz w:val="20"/>
                <w:szCs w:val="20"/>
              </w:rPr>
            </w:pPr>
            <w:r w:rsidRPr="000F21C6">
              <w:rPr>
                <w:b/>
                <w:sz w:val="20"/>
                <w:szCs w:val="20"/>
              </w:rPr>
              <w:t xml:space="preserve">P </w:t>
            </w:r>
            <w:proofErr w:type="spellStart"/>
            <w:r w:rsidRPr="000F21C6">
              <w:rPr>
                <w:b/>
                <w:sz w:val="20"/>
                <w:szCs w:val="20"/>
              </w:rPr>
              <w:t>value</w:t>
            </w:r>
            <w:proofErr w:type="spellEnd"/>
          </w:p>
        </w:tc>
      </w:tr>
      <w:tr w:rsidR="002C7F1C" w:rsidRPr="000F21C6" w:rsidTr="002C7F1C">
        <w:tc>
          <w:tcPr>
            <w:tcW w:w="1315" w:type="pct"/>
          </w:tcPr>
          <w:p w:rsidR="002C7F1C" w:rsidRPr="000F21C6" w:rsidRDefault="002C7F1C" w:rsidP="002C7F1C">
            <w:pPr>
              <w:rPr>
                <w:sz w:val="20"/>
                <w:szCs w:val="20"/>
              </w:rPr>
            </w:pPr>
            <w:r w:rsidRPr="000F21C6">
              <w:rPr>
                <w:sz w:val="20"/>
                <w:szCs w:val="20"/>
              </w:rPr>
              <w:t>CRP</w:t>
            </w:r>
          </w:p>
        </w:tc>
        <w:tc>
          <w:tcPr>
            <w:tcW w:w="599" w:type="pct"/>
          </w:tcPr>
          <w:p w:rsidR="002C7F1C" w:rsidRPr="000F21C6" w:rsidRDefault="002C7F1C" w:rsidP="002C7F1C">
            <w:pPr>
              <w:rPr>
                <w:sz w:val="20"/>
                <w:szCs w:val="20"/>
              </w:rPr>
            </w:pPr>
            <w:r w:rsidRPr="000F21C6">
              <w:rPr>
                <w:sz w:val="20"/>
                <w:szCs w:val="20"/>
              </w:rPr>
              <w:t>0.069</w:t>
            </w:r>
          </w:p>
        </w:tc>
        <w:tc>
          <w:tcPr>
            <w:tcW w:w="586" w:type="pct"/>
          </w:tcPr>
          <w:p w:rsidR="002C7F1C" w:rsidRPr="000F21C6" w:rsidRDefault="002C7F1C" w:rsidP="002C7F1C">
            <w:pPr>
              <w:rPr>
                <w:sz w:val="20"/>
                <w:szCs w:val="20"/>
              </w:rPr>
            </w:pPr>
            <w:r w:rsidRPr="000F21C6">
              <w:rPr>
                <w:sz w:val="20"/>
                <w:szCs w:val="20"/>
              </w:rPr>
              <w:t>0.094</w:t>
            </w:r>
          </w:p>
        </w:tc>
        <w:tc>
          <w:tcPr>
            <w:tcW w:w="1210" w:type="pct"/>
          </w:tcPr>
          <w:p w:rsidR="002C7F1C" w:rsidRPr="000F21C6" w:rsidRDefault="002C7F1C" w:rsidP="002C7F1C">
            <w:pPr>
              <w:rPr>
                <w:sz w:val="20"/>
                <w:szCs w:val="20"/>
              </w:rPr>
            </w:pPr>
            <w:r w:rsidRPr="000F21C6">
              <w:rPr>
                <w:sz w:val="20"/>
                <w:szCs w:val="20"/>
              </w:rPr>
              <w:t>CRP</w:t>
            </w:r>
          </w:p>
        </w:tc>
        <w:tc>
          <w:tcPr>
            <w:tcW w:w="658" w:type="pct"/>
          </w:tcPr>
          <w:p w:rsidR="002C7F1C" w:rsidRPr="000F21C6" w:rsidRDefault="002C7F1C" w:rsidP="002C7F1C">
            <w:pPr>
              <w:rPr>
                <w:sz w:val="20"/>
                <w:szCs w:val="20"/>
              </w:rPr>
            </w:pPr>
            <w:r w:rsidRPr="000F21C6">
              <w:rPr>
                <w:sz w:val="20"/>
                <w:szCs w:val="20"/>
              </w:rPr>
              <w:t>-0.119</w:t>
            </w:r>
          </w:p>
        </w:tc>
        <w:tc>
          <w:tcPr>
            <w:tcW w:w="631" w:type="pct"/>
          </w:tcPr>
          <w:p w:rsidR="002C7F1C" w:rsidRPr="000F21C6" w:rsidRDefault="002C7F1C" w:rsidP="002C7F1C">
            <w:pPr>
              <w:rPr>
                <w:sz w:val="20"/>
                <w:szCs w:val="20"/>
              </w:rPr>
            </w:pPr>
            <w:r w:rsidRPr="000F21C6">
              <w:rPr>
                <w:sz w:val="20"/>
                <w:szCs w:val="20"/>
              </w:rPr>
              <w:t>0.004*</w:t>
            </w:r>
          </w:p>
        </w:tc>
      </w:tr>
      <w:tr w:rsidR="002C7F1C" w:rsidRPr="000F21C6" w:rsidTr="002C7F1C">
        <w:tc>
          <w:tcPr>
            <w:tcW w:w="1315" w:type="pct"/>
          </w:tcPr>
          <w:p w:rsidR="002C7F1C" w:rsidRPr="000F21C6" w:rsidRDefault="002C7F1C" w:rsidP="002C7F1C">
            <w:pPr>
              <w:rPr>
                <w:sz w:val="20"/>
                <w:szCs w:val="20"/>
              </w:rPr>
            </w:pPr>
            <w:proofErr w:type="spellStart"/>
            <w:r w:rsidRPr="000F21C6">
              <w:rPr>
                <w:sz w:val="20"/>
                <w:szCs w:val="20"/>
              </w:rPr>
              <w:t>Glycemia</w:t>
            </w:r>
            <w:proofErr w:type="spellEnd"/>
          </w:p>
        </w:tc>
        <w:tc>
          <w:tcPr>
            <w:tcW w:w="599" w:type="pct"/>
          </w:tcPr>
          <w:p w:rsidR="002C7F1C" w:rsidRPr="000F21C6" w:rsidRDefault="002C7F1C" w:rsidP="002C7F1C">
            <w:pPr>
              <w:rPr>
                <w:sz w:val="20"/>
                <w:szCs w:val="20"/>
              </w:rPr>
            </w:pPr>
            <w:r w:rsidRPr="000F21C6">
              <w:rPr>
                <w:sz w:val="20"/>
                <w:szCs w:val="20"/>
              </w:rPr>
              <w:t>0.150</w:t>
            </w:r>
          </w:p>
        </w:tc>
        <w:tc>
          <w:tcPr>
            <w:tcW w:w="586" w:type="pct"/>
          </w:tcPr>
          <w:p w:rsidR="002C7F1C" w:rsidRPr="000F21C6" w:rsidRDefault="002C7F1C" w:rsidP="002C7F1C">
            <w:pPr>
              <w:rPr>
                <w:sz w:val="20"/>
                <w:szCs w:val="20"/>
              </w:rPr>
            </w:pPr>
            <w:r w:rsidRPr="000F21C6">
              <w:rPr>
                <w:sz w:val="20"/>
                <w:szCs w:val="20"/>
              </w:rPr>
              <w:t>0.001*</w:t>
            </w:r>
          </w:p>
        </w:tc>
        <w:tc>
          <w:tcPr>
            <w:tcW w:w="1210" w:type="pct"/>
          </w:tcPr>
          <w:p w:rsidR="002C7F1C" w:rsidRPr="000F21C6" w:rsidRDefault="002C7F1C" w:rsidP="002C7F1C">
            <w:pPr>
              <w:rPr>
                <w:sz w:val="20"/>
                <w:szCs w:val="20"/>
              </w:rPr>
            </w:pPr>
            <w:proofErr w:type="spellStart"/>
            <w:r w:rsidRPr="000F21C6">
              <w:rPr>
                <w:sz w:val="20"/>
                <w:szCs w:val="20"/>
              </w:rPr>
              <w:t>Glycemia</w:t>
            </w:r>
            <w:proofErr w:type="spellEnd"/>
          </w:p>
        </w:tc>
        <w:tc>
          <w:tcPr>
            <w:tcW w:w="658" w:type="pct"/>
          </w:tcPr>
          <w:p w:rsidR="002C7F1C" w:rsidRPr="000F21C6" w:rsidRDefault="002C7F1C" w:rsidP="002C7F1C">
            <w:pPr>
              <w:rPr>
                <w:sz w:val="20"/>
                <w:szCs w:val="20"/>
              </w:rPr>
            </w:pPr>
            <w:r w:rsidRPr="000F21C6">
              <w:rPr>
                <w:sz w:val="20"/>
                <w:szCs w:val="20"/>
              </w:rPr>
              <w:t>-0.111</w:t>
            </w:r>
          </w:p>
        </w:tc>
        <w:tc>
          <w:tcPr>
            <w:tcW w:w="631" w:type="pct"/>
          </w:tcPr>
          <w:p w:rsidR="002C7F1C" w:rsidRPr="000F21C6" w:rsidRDefault="002C7F1C" w:rsidP="002C7F1C">
            <w:pPr>
              <w:rPr>
                <w:sz w:val="20"/>
                <w:szCs w:val="20"/>
              </w:rPr>
            </w:pPr>
            <w:r w:rsidRPr="000F21C6">
              <w:rPr>
                <w:sz w:val="20"/>
                <w:szCs w:val="20"/>
              </w:rPr>
              <w:t>0.006*</w:t>
            </w:r>
          </w:p>
        </w:tc>
      </w:tr>
      <w:tr w:rsidR="002C7F1C" w:rsidRPr="000F21C6" w:rsidTr="002C7F1C">
        <w:tc>
          <w:tcPr>
            <w:tcW w:w="1315" w:type="pct"/>
          </w:tcPr>
          <w:p w:rsidR="002C7F1C" w:rsidRPr="000F21C6" w:rsidRDefault="002C7F1C" w:rsidP="002C7F1C">
            <w:pPr>
              <w:rPr>
                <w:sz w:val="20"/>
                <w:szCs w:val="20"/>
              </w:rPr>
            </w:pPr>
            <w:r w:rsidRPr="000F21C6">
              <w:rPr>
                <w:sz w:val="20"/>
                <w:szCs w:val="20"/>
              </w:rPr>
              <w:t>LVEF</w:t>
            </w:r>
          </w:p>
        </w:tc>
        <w:tc>
          <w:tcPr>
            <w:tcW w:w="599" w:type="pct"/>
          </w:tcPr>
          <w:p w:rsidR="002C7F1C" w:rsidRPr="000F21C6" w:rsidRDefault="002C7F1C" w:rsidP="002C7F1C">
            <w:pPr>
              <w:rPr>
                <w:sz w:val="20"/>
                <w:szCs w:val="20"/>
              </w:rPr>
            </w:pPr>
            <w:r w:rsidRPr="000F21C6">
              <w:rPr>
                <w:sz w:val="20"/>
                <w:szCs w:val="20"/>
              </w:rPr>
              <w:t>-0.027</w:t>
            </w:r>
          </w:p>
        </w:tc>
        <w:tc>
          <w:tcPr>
            <w:tcW w:w="586" w:type="pct"/>
          </w:tcPr>
          <w:p w:rsidR="002C7F1C" w:rsidRPr="000F21C6" w:rsidRDefault="002C7F1C" w:rsidP="002C7F1C">
            <w:pPr>
              <w:rPr>
                <w:sz w:val="20"/>
                <w:szCs w:val="20"/>
              </w:rPr>
            </w:pPr>
            <w:r w:rsidRPr="000F21C6">
              <w:rPr>
                <w:sz w:val="20"/>
                <w:szCs w:val="20"/>
              </w:rPr>
              <w:t>0.503</w:t>
            </w:r>
          </w:p>
        </w:tc>
        <w:tc>
          <w:tcPr>
            <w:tcW w:w="1210" w:type="pct"/>
          </w:tcPr>
          <w:p w:rsidR="002C7F1C" w:rsidRPr="000F21C6" w:rsidRDefault="002C7F1C" w:rsidP="002C7F1C">
            <w:pPr>
              <w:rPr>
                <w:sz w:val="20"/>
                <w:szCs w:val="20"/>
              </w:rPr>
            </w:pPr>
            <w:r w:rsidRPr="000F21C6">
              <w:rPr>
                <w:sz w:val="20"/>
                <w:szCs w:val="20"/>
              </w:rPr>
              <w:t>LVEF</w:t>
            </w:r>
          </w:p>
        </w:tc>
        <w:tc>
          <w:tcPr>
            <w:tcW w:w="658" w:type="pct"/>
          </w:tcPr>
          <w:p w:rsidR="002C7F1C" w:rsidRPr="000F21C6" w:rsidRDefault="002C7F1C" w:rsidP="002C7F1C">
            <w:pPr>
              <w:rPr>
                <w:sz w:val="20"/>
                <w:szCs w:val="20"/>
              </w:rPr>
            </w:pPr>
            <w:r w:rsidRPr="000F21C6">
              <w:rPr>
                <w:sz w:val="20"/>
                <w:szCs w:val="20"/>
              </w:rPr>
              <w:t>-0.052</w:t>
            </w:r>
          </w:p>
        </w:tc>
        <w:tc>
          <w:tcPr>
            <w:tcW w:w="631" w:type="pct"/>
          </w:tcPr>
          <w:p w:rsidR="002C7F1C" w:rsidRPr="000F21C6" w:rsidRDefault="002C7F1C" w:rsidP="002C7F1C">
            <w:pPr>
              <w:rPr>
                <w:sz w:val="20"/>
                <w:szCs w:val="20"/>
              </w:rPr>
            </w:pPr>
            <w:r w:rsidRPr="000F21C6">
              <w:rPr>
                <w:sz w:val="20"/>
                <w:szCs w:val="20"/>
              </w:rPr>
              <w:t>0.202</w:t>
            </w:r>
          </w:p>
        </w:tc>
      </w:tr>
      <w:tr w:rsidR="002C7F1C" w:rsidRPr="000F21C6" w:rsidTr="002C7F1C">
        <w:tc>
          <w:tcPr>
            <w:tcW w:w="1315" w:type="pct"/>
          </w:tcPr>
          <w:p w:rsidR="002C7F1C" w:rsidRPr="000F21C6" w:rsidRDefault="002C7F1C" w:rsidP="002C7F1C">
            <w:pPr>
              <w:rPr>
                <w:sz w:val="20"/>
                <w:szCs w:val="20"/>
              </w:rPr>
            </w:pPr>
            <w:r w:rsidRPr="000F21C6">
              <w:rPr>
                <w:sz w:val="20"/>
                <w:szCs w:val="20"/>
              </w:rPr>
              <w:t>Noradrenaline</w:t>
            </w:r>
          </w:p>
        </w:tc>
        <w:tc>
          <w:tcPr>
            <w:tcW w:w="599" w:type="pct"/>
          </w:tcPr>
          <w:p w:rsidR="002C7F1C" w:rsidRPr="000F21C6" w:rsidRDefault="002C7F1C" w:rsidP="002C7F1C">
            <w:pPr>
              <w:rPr>
                <w:sz w:val="20"/>
                <w:szCs w:val="20"/>
              </w:rPr>
            </w:pPr>
            <w:r w:rsidRPr="000F21C6">
              <w:rPr>
                <w:sz w:val="20"/>
                <w:szCs w:val="20"/>
              </w:rPr>
              <w:t>0.948</w:t>
            </w:r>
          </w:p>
        </w:tc>
        <w:tc>
          <w:tcPr>
            <w:tcW w:w="586" w:type="pct"/>
          </w:tcPr>
          <w:p w:rsidR="002C7F1C" w:rsidRPr="000F21C6" w:rsidRDefault="002C7F1C" w:rsidP="002C7F1C">
            <w:pPr>
              <w:rPr>
                <w:sz w:val="20"/>
                <w:szCs w:val="20"/>
              </w:rPr>
            </w:pPr>
            <w:r w:rsidRPr="000F21C6">
              <w:rPr>
                <w:sz w:val="20"/>
                <w:szCs w:val="20"/>
              </w:rPr>
              <w:t>0.003*</w:t>
            </w:r>
          </w:p>
        </w:tc>
        <w:tc>
          <w:tcPr>
            <w:tcW w:w="1210" w:type="pct"/>
          </w:tcPr>
          <w:p w:rsidR="002C7F1C" w:rsidRPr="000F21C6" w:rsidRDefault="002C7F1C" w:rsidP="002C7F1C">
            <w:pPr>
              <w:rPr>
                <w:sz w:val="20"/>
                <w:szCs w:val="20"/>
              </w:rPr>
            </w:pPr>
            <w:r w:rsidRPr="000F21C6">
              <w:rPr>
                <w:sz w:val="20"/>
                <w:szCs w:val="20"/>
              </w:rPr>
              <w:t>Noradrenaline</w:t>
            </w:r>
          </w:p>
        </w:tc>
        <w:tc>
          <w:tcPr>
            <w:tcW w:w="658" w:type="pct"/>
          </w:tcPr>
          <w:p w:rsidR="002C7F1C" w:rsidRPr="000F21C6" w:rsidRDefault="002C7F1C" w:rsidP="002C7F1C">
            <w:pPr>
              <w:rPr>
                <w:sz w:val="20"/>
                <w:szCs w:val="20"/>
              </w:rPr>
            </w:pPr>
            <w:r w:rsidRPr="000F21C6">
              <w:rPr>
                <w:sz w:val="20"/>
                <w:szCs w:val="20"/>
              </w:rPr>
              <w:t>-0.105</w:t>
            </w:r>
          </w:p>
        </w:tc>
        <w:tc>
          <w:tcPr>
            <w:tcW w:w="631" w:type="pct"/>
          </w:tcPr>
          <w:p w:rsidR="002C7F1C" w:rsidRPr="000F21C6" w:rsidRDefault="002C7F1C" w:rsidP="002C7F1C">
            <w:pPr>
              <w:rPr>
                <w:sz w:val="20"/>
                <w:szCs w:val="20"/>
              </w:rPr>
            </w:pPr>
            <w:r w:rsidRPr="000F21C6">
              <w:rPr>
                <w:sz w:val="20"/>
                <w:szCs w:val="20"/>
              </w:rPr>
              <w:t>0.009*</w:t>
            </w:r>
          </w:p>
        </w:tc>
      </w:tr>
      <w:tr w:rsidR="002C7F1C" w:rsidRPr="000F21C6" w:rsidTr="002C7F1C">
        <w:tc>
          <w:tcPr>
            <w:tcW w:w="1315" w:type="pct"/>
            <w:tcBorders>
              <w:bottom w:val="single" w:sz="4" w:space="0" w:color="auto"/>
            </w:tcBorders>
          </w:tcPr>
          <w:p w:rsidR="002C7F1C" w:rsidRPr="000F21C6" w:rsidRDefault="002C7F1C" w:rsidP="002C7F1C">
            <w:pPr>
              <w:rPr>
                <w:sz w:val="20"/>
                <w:szCs w:val="20"/>
              </w:rPr>
            </w:pPr>
            <w:proofErr w:type="spellStart"/>
            <w:r w:rsidRPr="000F21C6">
              <w:rPr>
                <w:sz w:val="20"/>
                <w:szCs w:val="20"/>
              </w:rPr>
              <w:t>Systolic</w:t>
            </w:r>
            <w:proofErr w:type="spellEnd"/>
            <w:r w:rsidRPr="000F21C6">
              <w:rPr>
                <w:sz w:val="20"/>
                <w:szCs w:val="20"/>
              </w:rPr>
              <w:t xml:space="preserve"> </w:t>
            </w:r>
            <w:proofErr w:type="spellStart"/>
            <w:r w:rsidRPr="000F21C6">
              <w:rPr>
                <w:sz w:val="20"/>
                <w:szCs w:val="20"/>
              </w:rPr>
              <w:t>blood</w:t>
            </w:r>
            <w:proofErr w:type="spellEnd"/>
            <w:r w:rsidRPr="000F21C6">
              <w:rPr>
                <w:sz w:val="20"/>
                <w:szCs w:val="20"/>
              </w:rPr>
              <w:t xml:space="preserve"> pressure</w:t>
            </w:r>
          </w:p>
        </w:tc>
        <w:tc>
          <w:tcPr>
            <w:tcW w:w="599" w:type="pct"/>
            <w:tcBorders>
              <w:bottom w:val="single" w:sz="4" w:space="0" w:color="auto"/>
            </w:tcBorders>
          </w:tcPr>
          <w:p w:rsidR="002C7F1C" w:rsidRPr="000F21C6" w:rsidRDefault="002C7F1C" w:rsidP="002C7F1C">
            <w:pPr>
              <w:rPr>
                <w:sz w:val="20"/>
                <w:szCs w:val="20"/>
              </w:rPr>
            </w:pPr>
            <w:r w:rsidRPr="000F21C6">
              <w:rPr>
                <w:sz w:val="20"/>
                <w:szCs w:val="20"/>
              </w:rPr>
              <w:t>0.059</w:t>
            </w:r>
          </w:p>
        </w:tc>
        <w:tc>
          <w:tcPr>
            <w:tcW w:w="586" w:type="pct"/>
            <w:tcBorders>
              <w:bottom w:val="single" w:sz="4" w:space="0" w:color="auto"/>
            </w:tcBorders>
          </w:tcPr>
          <w:p w:rsidR="002C7F1C" w:rsidRPr="000F21C6" w:rsidRDefault="002C7F1C" w:rsidP="002C7F1C">
            <w:pPr>
              <w:rPr>
                <w:sz w:val="20"/>
                <w:szCs w:val="20"/>
              </w:rPr>
            </w:pPr>
            <w:r w:rsidRPr="000F21C6">
              <w:rPr>
                <w:sz w:val="20"/>
                <w:szCs w:val="20"/>
              </w:rPr>
              <w:t>0.148</w:t>
            </w:r>
          </w:p>
        </w:tc>
        <w:tc>
          <w:tcPr>
            <w:tcW w:w="1210" w:type="pct"/>
            <w:tcBorders>
              <w:bottom w:val="single" w:sz="4" w:space="0" w:color="auto"/>
            </w:tcBorders>
          </w:tcPr>
          <w:p w:rsidR="002C7F1C" w:rsidRPr="000F21C6" w:rsidRDefault="002C7F1C" w:rsidP="002C7F1C">
            <w:pPr>
              <w:rPr>
                <w:sz w:val="20"/>
                <w:szCs w:val="20"/>
              </w:rPr>
            </w:pPr>
            <w:proofErr w:type="spellStart"/>
            <w:r w:rsidRPr="000F21C6">
              <w:rPr>
                <w:sz w:val="20"/>
                <w:szCs w:val="20"/>
              </w:rPr>
              <w:t>Systolic</w:t>
            </w:r>
            <w:proofErr w:type="spellEnd"/>
            <w:r w:rsidRPr="000F21C6">
              <w:rPr>
                <w:sz w:val="20"/>
                <w:szCs w:val="20"/>
              </w:rPr>
              <w:t xml:space="preserve"> </w:t>
            </w:r>
            <w:proofErr w:type="spellStart"/>
            <w:r w:rsidRPr="000F21C6">
              <w:rPr>
                <w:sz w:val="20"/>
                <w:szCs w:val="20"/>
              </w:rPr>
              <w:t>blood</w:t>
            </w:r>
            <w:proofErr w:type="spellEnd"/>
            <w:r w:rsidRPr="000F21C6">
              <w:rPr>
                <w:sz w:val="20"/>
                <w:szCs w:val="20"/>
              </w:rPr>
              <w:t xml:space="preserve"> pressure</w:t>
            </w:r>
          </w:p>
        </w:tc>
        <w:tc>
          <w:tcPr>
            <w:tcW w:w="658" w:type="pct"/>
            <w:tcBorders>
              <w:bottom w:val="single" w:sz="4" w:space="0" w:color="auto"/>
            </w:tcBorders>
          </w:tcPr>
          <w:p w:rsidR="002C7F1C" w:rsidRPr="000F21C6" w:rsidRDefault="002C7F1C" w:rsidP="002C7F1C">
            <w:pPr>
              <w:rPr>
                <w:sz w:val="20"/>
                <w:szCs w:val="20"/>
              </w:rPr>
            </w:pPr>
            <w:r w:rsidRPr="000F21C6">
              <w:rPr>
                <w:sz w:val="20"/>
                <w:szCs w:val="20"/>
              </w:rPr>
              <w:t>-0.051</w:t>
            </w:r>
          </w:p>
        </w:tc>
        <w:tc>
          <w:tcPr>
            <w:tcW w:w="631" w:type="pct"/>
            <w:tcBorders>
              <w:bottom w:val="single" w:sz="4" w:space="0" w:color="auto"/>
            </w:tcBorders>
          </w:tcPr>
          <w:p w:rsidR="002C7F1C" w:rsidRPr="000F21C6" w:rsidRDefault="002C7F1C" w:rsidP="002C7F1C">
            <w:pPr>
              <w:rPr>
                <w:sz w:val="20"/>
                <w:szCs w:val="20"/>
              </w:rPr>
            </w:pPr>
            <w:r w:rsidRPr="000F21C6">
              <w:rPr>
                <w:sz w:val="20"/>
                <w:szCs w:val="20"/>
              </w:rPr>
              <w:t>0.209</w:t>
            </w:r>
          </w:p>
        </w:tc>
      </w:tr>
      <w:tr w:rsidR="002C7F1C" w:rsidRPr="000F21C6" w:rsidTr="002C7F1C">
        <w:tc>
          <w:tcPr>
            <w:tcW w:w="1315" w:type="pct"/>
            <w:tcBorders>
              <w:right w:val="nil"/>
            </w:tcBorders>
          </w:tcPr>
          <w:p w:rsidR="002C7F1C" w:rsidRPr="000F21C6" w:rsidRDefault="002C7F1C" w:rsidP="002C7F1C">
            <w:pPr>
              <w:rPr>
                <w:sz w:val="24"/>
                <w:szCs w:val="24"/>
              </w:rPr>
            </w:pPr>
          </w:p>
        </w:tc>
        <w:tc>
          <w:tcPr>
            <w:tcW w:w="599" w:type="pct"/>
            <w:tcBorders>
              <w:left w:val="nil"/>
              <w:right w:val="nil"/>
            </w:tcBorders>
          </w:tcPr>
          <w:p w:rsidR="002C7F1C" w:rsidRPr="000F21C6" w:rsidRDefault="002C7F1C" w:rsidP="002C7F1C">
            <w:pPr>
              <w:rPr>
                <w:sz w:val="24"/>
                <w:szCs w:val="24"/>
              </w:rPr>
            </w:pPr>
          </w:p>
        </w:tc>
        <w:tc>
          <w:tcPr>
            <w:tcW w:w="586" w:type="pct"/>
            <w:tcBorders>
              <w:left w:val="nil"/>
              <w:right w:val="nil"/>
            </w:tcBorders>
          </w:tcPr>
          <w:p w:rsidR="002C7F1C" w:rsidRPr="000F21C6" w:rsidRDefault="002C7F1C" w:rsidP="002C7F1C">
            <w:pPr>
              <w:rPr>
                <w:sz w:val="24"/>
                <w:szCs w:val="24"/>
              </w:rPr>
            </w:pPr>
          </w:p>
        </w:tc>
        <w:tc>
          <w:tcPr>
            <w:tcW w:w="1210" w:type="pct"/>
            <w:tcBorders>
              <w:left w:val="nil"/>
              <w:right w:val="nil"/>
            </w:tcBorders>
          </w:tcPr>
          <w:p w:rsidR="002C7F1C" w:rsidRPr="000F21C6" w:rsidRDefault="002C7F1C" w:rsidP="002C7F1C">
            <w:pPr>
              <w:rPr>
                <w:sz w:val="24"/>
                <w:szCs w:val="24"/>
              </w:rPr>
            </w:pPr>
          </w:p>
        </w:tc>
        <w:tc>
          <w:tcPr>
            <w:tcW w:w="658" w:type="pct"/>
            <w:tcBorders>
              <w:left w:val="nil"/>
              <w:right w:val="nil"/>
            </w:tcBorders>
          </w:tcPr>
          <w:p w:rsidR="002C7F1C" w:rsidRPr="000F21C6" w:rsidRDefault="002C7F1C" w:rsidP="002C7F1C">
            <w:pPr>
              <w:rPr>
                <w:sz w:val="24"/>
                <w:szCs w:val="24"/>
              </w:rPr>
            </w:pPr>
          </w:p>
        </w:tc>
        <w:tc>
          <w:tcPr>
            <w:tcW w:w="631" w:type="pct"/>
            <w:tcBorders>
              <w:left w:val="nil"/>
            </w:tcBorders>
          </w:tcPr>
          <w:p w:rsidR="002C7F1C" w:rsidRPr="000F21C6" w:rsidRDefault="002C7F1C" w:rsidP="002C7F1C">
            <w:pPr>
              <w:rPr>
                <w:sz w:val="24"/>
                <w:szCs w:val="24"/>
              </w:rPr>
            </w:pPr>
          </w:p>
        </w:tc>
      </w:tr>
      <w:tr w:rsidR="002C7F1C" w:rsidRPr="000F21C6" w:rsidTr="002C7F1C">
        <w:tc>
          <w:tcPr>
            <w:tcW w:w="1315" w:type="pct"/>
          </w:tcPr>
          <w:p w:rsidR="002C7F1C" w:rsidRPr="000F21C6" w:rsidRDefault="000F21C6" w:rsidP="002C7F1C">
            <w:pPr>
              <w:rPr>
                <w:b/>
                <w:sz w:val="24"/>
                <w:szCs w:val="24"/>
                <w:lang w:val="en-US"/>
              </w:rPr>
            </w:pPr>
            <w:r w:rsidRPr="000F21C6">
              <w:rPr>
                <w:rFonts w:cstheme="minorHAnsi"/>
                <w:b/>
                <w:sz w:val="24"/>
                <w:szCs w:val="24"/>
                <w:lang w:val="en-US"/>
              </w:rPr>
              <w:t xml:space="preserve">Heart to Mediastinum ratio </w:t>
            </w:r>
            <w:r w:rsidR="002C7F1C" w:rsidRPr="000F21C6">
              <w:rPr>
                <w:b/>
                <w:sz w:val="24"/>
                <w:szCs w:val="24"/>
                <w:lang w:val="en-US"/>
              </w:rPr>
              <w:t>(</w:t>
            </w:r>
            <w:r w:rsidR="002C7F1C" w:rsidRPr="000F21C6">
              <w:rPr>
                <w:rFonts w:cstheme="minorHAnsi"/>
                <w:b/>
                <w:sz w:val="24"/>
                <w:szCs w:val="24"/>
              </w:rPr>
              <w:t>Δ</w:t>
            </w:r>
            <w:r w:rsidR="002C7F1C" w:rsidRPr="000F21C6">
              <w:rPr>
                <w:rFonts w:cstheme="minorHAnsi"/>
                <w:b/>
                <w:sz w:val="24"/>
                <w:szCs w:val="24"/>
                <w:lang w:val="en-US"/>
              </w:rPr>
              <w:t xml:space="preserve"> </w:t>
            </w:r>
            <w:r w:rsidR="002C7F1C" w:rsidRPr="000F21C6">
              <w:rPr>
                <w:b/>
                <w:sz w:val="24"/>
                <w:szCs w:val="24"/>
                <w:lang w:val="en-US"/>
              </w:rPr>
              <w:t>values)</w:t>
            </w:r>
          </w:p>
          <w:p w:rsidR="002C7F1C" w:rsidRPr="000F21C6" w:rsidRDefault="002C7F1C" w:rsidP="002C7F1C">
            <w:pPr>
              <w:rPr>
                <w:b/>
                <w:sz w:val="24"/>
                <w:szCs w:val="24"/>
                <w:lang w:val="en-US"/>
              </w:rPr>
            </w:pPr>
          </w:p>
        </w:tc>
        <w:tc>
          <w:tcPr>
            <w:tcW w:w="599" w:type="pct"/>
          </w:tcPr>
          <w:p w:rsidR="002C7F1C" w:rsidRPr="000F21C6" w:rsidRDefault="002C7F1C" w:rsidP="002C7F1C">
            <w:pPr>
              <w:rPr>
                <w:b/>
                <w:sz w:val="24"/>
                <w:szCs w:val="24"/>
                <w:lang w:val="en-US"/>
              </w:rPr>
            </w:pPr>
          </w:p>
        </w:tc>
        <w:tc>
          <w:tcPr>
            <w:tcW w:w="586" w:type="pct"/>
          </w:tcPr>
          <w:p w:rsidR="002C7F1C" w:rsidRPr="000F21C6" w:rsidRDefault="002C7F1C" w:rsidP="002C7F1C">
            <w:pPr>
              <w:rPr>
                <w:b/>
                <w:sz w:val="24"/>
                <w:szCs w:val="24"/>
                <w:lang w:val="en-US"/>
              </w:rPr>
            </w:pPr>
          </w:p>
        </w:tc>
        <w:tc>
          <w:tcPr>
            <w:tcW w:w="1210" w:type="pct"/>
          </w:tcPr>
          <w:p w:rsidR="002C7F1C" w:rsidRPr="000F21C6" w:rsidRDefault="000F21C6" w:rsidP="000F21C6">
            <w:pPr>
              <w:rPr>
                <w:b/>
                <w:sz w:val="24"/>
                <w:szCs w:val="24"/>
                <w:lang w:val="en-US"/>
              </w:rPr>
            </w:pPr>
            <w:r w:rsidRPr="000F21C6">
              <w:rPr>
                <w:rFonts w:cstheme="minorHAnsi"/>
                <w:b/>
                <w:sz w:val="24"/>
                <w:szCs w:val="24"/>
                <w:lang w:val="en-US"/>
              </w:rPr>
              <w:t>Washout rate</w:t>
            </w:r>
            <w:r w:rsidR="002C7F1C" w:rsidRPr="000F21C6">
              <w:rPr>
                <w:b/>
                <w:sz w:val="24"/>
                <w:szCs w:val="24"/>
                <w:lang w:val="en-US"/>
              </w:rPr>
              <w:t xml:space="preserve"> (</w:t>
            </w:r>
            <w:r w:rsidR="002C7F1C" w:rsidRPr="000F21C6">
              <w:rPr>
                <w:rFonts w:cstheme="minorHAnsi"/>
                <w:b/>
                <w:sz w:val="24"/>
                <w:szCs w:val="24"/>
              </w:rPr>
              <w:t>Δ</w:t>
            </w:r>
            <w:r w:rsidR="002C7F1C" w:rsidRPr="000F21C6">
              <w:rPr>
                <w:rFonts w:cstheme="minorHAnsi"/>
                <w:b/>
                <w:sz w:val="24"/>
                <w:szCs w:val="24"/>
                <w:lang w:val="en-US"/>
              </w:rPr>
              <w:t xml:space="preserve"> </w:t>
            </w:r>
            <w:r w:rsidR="002C7F1C" w:rsidRPr="000F21C6">
              <w:rPr>
                <w:b/>
                <w:sz w:val="24"/>
                <w:szCs w:val="24"/>
                <w:lang w:val="en-US"/>
              </w:rPr>
              <w:t>values)</w:t>
            </w:r>
          </w:p>
        </w:tc>
        <w:tc>
          <w:tcPr>
            <w:tcW w:w="658" w:type="pct"/>
          </w:tcPr>
          <w:p w:rsidR="002C7F1C" w:rsidRPr="000F21C6" w:rsidRDefault="002C7F1C" w:rsidP="002C7F1C">
            <w:pPr>
              <w:rPr>
                <w:b/>
                <w:sz w:val="24"/>
                <w:szCs w:val="24"/>
                <w:lang w:val="en-US"/>
              </w:rPr>
            </w:pPr>
          </w:p>
        </w:tc>
        <w:tc>
          <w:tcPr>
            <w:tcW w:w="631" w:type="pct"/>
          </w:tcPr>
          <w:p w:rsidR="002C7F1C" w:rsidRPr="000F21C6" w:rsidRDefault="002C7F1C" w:rsidP="002C7F1C">
            <w:pPr>
              <w:rPr>
                <w:b/>
                <w:sz w:val="24"/>
                <w:szCs w:val="24"/>
                <w:lang w:val="en-US"/>
              </w:rPr>
            </w:pPr>
          </w:p>
        </w:tc>
      </w:tr>
      <w:tr w:rsidR="002C7F1C" w:rsidRPr="000F21C6" w:rsidTr="002C7F1C">
        <w:tc>
          <w:tcPr>
            <w:tcW w:w="1315" w:type="pct"/>
          </w:tcPr>
          <w:p w:rsidR="002C7F1C" w:rsidRPr="000F21C6" w:rsidRDefault="002C7F1C" w:rsidP="002C7F1C">
            <w:pPr>
              <w:rPr>
                <w:b/>
                <w:sz w:val="20"/>
                <w:szCs w:val="20"/>
              </w:rPr>
            </w:pPr>
            <w:proofErr w:type="spellStart"/>
            <w:r w:rsidRPr="000F21C6">
              <w:rPr>
                <w:b/>
                <w:sz w:val="20"/>
                <w:szCs w:val="20"/>
              </w:rPr>
              <w:t>Study</w:t>
            </w:r>
            <w:proofErr w:type="spellEnd"/>
            <w:r w:rsidRPr="000F21C6">
              <w:rPr>
                <w:b/>
                <w:sz w:val="20"/>
                <w:szCs w:val="20"/>
              </w:rPr>
              <w:t xml:space="preserve"> </w:t>
            </w:r>
            <w:proofErr w:type="spellStart"/>
            <w:r w:rsidRPr="000F21C6">
              <w:rPr>
                <w:b/>
                <w:sz w:val="20"/>
                <w:szCs w:val="20"/>
              </w:rPr>
              <w:t>variables</w:t>
            </w:r>
            <w:proofErr w:type="spellEnd"/>
          </w:p>
        </w:tc>
        <w:tc>
          <w:tcPr>
            <w:tcW w:w="599" w:type="pct"/>
          </w:tcPr>
          <w:p w:rsidR="002C7F1C" w:rsidRPr="000F21C6" w:rsidRDefault="002C7F1C" w:rsidP="002C7F1C">
            <w:pPr>
              <w:rPr>
                <w:b/>
                <w:sz w:val="20"/>
                <w:szCs w:val="20"/>
              </w:rPr>
            </w:pPr>
            <w:r w:rsidRPr="000F21C6">
              <w:rPr>
                <w:b/>
                <w:sz w:val="20"/>
                <w:szCs w:val="20"/>
              </w:rPr>
              <w:t xml:space="preserve">R </w:t>
            </w:r>
            <w:proofErr w:type="spellStart"/>
            <w:r w:rsidRPr="000F21C6">
              <w:rPr>
                <w:b/>
                <w:sz w:val="20"/>
                <w:szCs w:val="20"/>
              </w:rPr>
              <w:t>value</w:t>
            </w:r>
            <w:proofErr w:type="spellEnd"/>
          </w:p>
        </w:tc>
        <w:tc>
          <w:tcPr>
            <w:tcW w:w="586" w:type="pct"/>
          </w:tcPr>
          <w:p w:rsidR="002C7F1C" w:rsidRPr="000F21C6" w:rsidRDefault="002C7F1C" w:rsidP="002C7F1C">
            <w:pPr>
              <w:rPr>
                <w:b/>
                <w:sz w:val="20"/>
                <w:szCs w:val="20"/>
              </w:rPr>
            </w:pPr>
            <w:r w:rsidRPr="000F21C6">
              <w:rPr>
                <w:b/>
                <w:sz w:val="20"/>
                <w:szCs w:val="20"/>
              </w:rPr>
              <w:t xml:space="preserve">P </w:t>
            </w:r>
            <w:proofErr w:type="spellStart"/>
            <w:r w:rsidRPr="000F21C6">
              <w:rPr>
                <w:b/>
                <w:sz w:val="20"/>
                <w:szCs w:val="20"/>
              </w:rPr>
              <w:t>value</w:t>
            </w:r>
            <w:proofErr w:type="spellEnd"/>
          </w:p>
        </w:tc>
        <w:tc>
          <w:tcPr>
            <w:tcW w:w="1210" w:type="pct"/>
          </w:tcPr>
          <w:p w:rsidR="002C7F1C" w:rsidRPr="000F21C6" w:rsidRDefault="002C7F1C" w:rsidP="002C7F1C">
            <w:pPr>
              <w:rPr>
                <w:b/>
                <w:sz w:val="20"/>
                <w:szCs w:val="20"/>
              </w:rPr>
            </w:pPr>
            <w:proofErr w:type="spellStart"/>
            <w:r w:rsidRPr="000F21C6">
              <w:rPr>
                <w:b/>
                <w:sz w:val="20"/>
                <w:szCs w:val="20"/>
              </w:rPr>
              <w:t>Study</w:t>
            </w:r>
            <w:proofErr w:type="spellEnd"/>
            <w:r w:rsidRPr="000F21C6">
              <w:rPr>
                <w:b/>
                <w:sz w:val="20"/>
                <w:szCs w:val="20"/>
              </w:rPr>
              <w:t xml:space="preserve"> </w:t>
            </w:r>
            <w:proofErr w:type="spellStart"/>
            <w:r w:rsidRPr="000F21C6">
              <w:rPr>
                <w:b/>
                <w:sz w:val="20"/>
                <w:szCs w:val="20"/>
              </w:rPr>
              <w:t>variables</w:t>
            </w:r>
            <w:proofErr w:type="spellEnd"/>
          </w:p>
        </w:tc>
        <w:tc>
          <w:tcPr>
            <w:tcW w:w="658" w:type="pct"/>
          </w:tcPr>
          <w:p w:rsidR="002C7F1C" w:rsidRPr="000F21C6" w:rsidRDefault="002C7F1C" w:rsidP="002C7F1C">
            <w:pPr>
              <w:rPr>
                <w:b/>
                <w:sz w:val="20"/>
                <w:szCs w:val="20"/>
              </w:rPr>
            </w:pPr>
            <w:r w:rsidRPr="000F21C6">
              <w:rPr>
                <w:b/>
                <w:sz w:val="20"/>
                <w:szCs w:val="20"/>
              </w:rPr>
              <w:t xml:space="preserve">R </w:t>
            </w:r>
            <w:proofErr w:type="spellStart"/>
            <w:r w:rsidRPr="000F21C6">
              <w:rPr>
                <w:b/>
                <w:sz w:val="20"/>
                <w:szCs w:val="20"/>
              </w:rPr>
              <w:t>value</w:t>
            </w:r>
            <w:proofErr w:type="spellEnd"/>
          </w:p>
        </w:tc>
        <w:tc>
          <w:tcPr>
            <w:tcW w:w="631" w:type="pct"/>
          </w:tcPr>
          <w:p w:rsidR="002C7F1C" w:rsidRPr="000F21C6" w:rsidRDefault="002C7F1C" w:rsidP="002C7F1C">
            <w:pPr>
              <w:rPr>
                <w:b/>
                <w:sz w:val="20"/>
                <w:szCs w:val="20"/>
              </w:rPr>
            </w:pPr>
            <w:r w:rsidRPr="000F21C6">
              <w:rPr>
                <w:b/>
                <w:sz w:val="20"/>
                <w:szCs w:val="20"/>
              </w:rPr>
              <w:t xml:space="preserve">P </w:t>
            </w:r>
            <w:proofErr w:type="spellStart"/>
            <w:r w:rsidRPr="000F21C6">
              <w:rPr>
                <w:b/>
                <w:sz w:val="20"/>
                <w:szCs w:val="20"/>
              </w:rPr>
              <w:t>value</w:t>
            </w:r>
            <w:proofErr w:type="spellEnd"/>
          </w:p>
        </w:tc>
      </w:tr>
      <w:tr w:rsidR="002C7F1C" w:rsidRPr="000F21C6" w:rsidTr="002C7F1C">
        <w:tc>
          <w:tcPr>
            <w:tcW w:w="1315" w:type="pct"/>
          </w:tcPr>
          <w:p w:rsidR="002C7F1C" w:rsidRPr="000F21C6" w:rsidRDefault="002C7F1C" w:rsidP="002C7F1C">
            <w:pPr>
              <w:rPr>
                <w:sz w:val="20"/>
                <w:szCs w:val="20"/>
              </w:rPr>
            </w:pPr>
            <w:r w:rsidRPr="000F21C6">
              <w:rPr>
                <w:sz w:val="20"/>
                <w:szCs w:val="20"/>
              </w:rPr>
              <w:t>CRP</w:t>
            </w:r>
          </w:p>
        </w:tc>
        <w:tc>
          <w:tcPr>
            <w:tcW w:w="599" w:type="pct"/>
          </w:tcPr>
          <w:p w:rsidR="002C7F1C" w:rsidRPr="000F21C6" w:rsidRDefault="002C7F1C" w:rsidP="002C7F1C">
            <w:pPr>
              <w:rPr>
                <w:sz w:val="20"/>
                <w:szCs w:val="20"/>
              </w:rPr>
            </w:pPr>
            <w:r w:rsidRPr="000F21C6">
              <w:rPr>
                <w:sz w:val="20"/>
                <w:szCs w:val="20"/>
              </w:rPr>
              <w:t>-0.129</w:t>
            </w:r>
          </w:p>
        </w:tc>
        <w:tc>
          <w:tcPr>
            <w:tcW w:w="586" w:type="pct"/>
          </w:tcPr>
          <w:p w:rsidR="002C7F1C" w:rsidRPr="000F21C6" w:rsidRDefault="002C7F1C" w:rsidP="002C7F1C">
            <w:pPr>
              <w:rPr>
                <w:sz w:val="20"/>
                <w:szCs w:val="20"/>
              </w:rPr>
            </w:pPr>
            <w:r w:rsidRPr="000F21C6">
              <w:rPr>
                <w:sz w:val="20"/>
                <w:szCs w:val="20"/>
              </w:rPr>
              <w:t>0.001*</w:t>
            </w:r>
          </w:p>
        </w:tc>
        <w:tc>
          <w:tcPr>
            <w:tcW w:w="1210" w:type="pct"/>
          </w:tcPr>
          <w:p w:rsidR="002C7F1C" w:rsidRPr="000F21C6" w:rsidRDefault="002C7F1C" w:rsidP="002C7F1C">
            <w:pPr>
              <w:rPr>
                <w:sz w:val="20"/>
                <w:szCs w:val="20"/>
              </w:rPr>
            </w:pPr>
            <w:r w:rsidRPr="000F21C6">
              <w:rPr>
                <w:sz w:val="20"/>
                <w:szCs w:val="20"/>
              </w:rPr>
              <w:t>CRP</w:t>
            </w:r>
          </w:p>
        </w:tc>
        <w:tc>
          <w:tcPr>
            <w:tcW w:w="658" w:type="pct"/>
          </w:tcPr>
          <w:p w:rsidR="002C7F1C" w:rsidRPr="000F21C6" w:rsidRDefault="002C7F1C" w:rsidP="002C7F1C">
            <w:pPr>
              <w:rPr>
                <w:sz w:val="20"/>
                <w:szCs w:val="20"/>
              </w:rPr>
            </w:pPr>
            <w:r w:rsidRPr="000F21C6">
              <w:rPr>
                <w:sz w:val="20"/>
                <w:szCs w:val="20"/>
              </w:rPr>
              <w:t>0.042</w:t>
            </w:r>
          </w:p>
        </w:tc>
        <w:tc>
          <w:tcPr>
            <w:tcW w:w="631" w:type="pct"/>
          </w:tcPr>
          <w:p w:rsidR="002C7F1C" w:rsidRPr="000F21C6" w:rsidRDefault="002C7F1C" w:rsidP="002C7F1C">
            <w:pPr>
              <w:rPr>
                <w:sz w:val="20"/>
                <w:szCs w:val="20"/>
              </w:rPr>
            </w:pPr>
            <w:r w:rsidRPr="000F21C6">
              <w:rPr>
                <w:sz w:val="20"/>
                <w:szCs w:val="20"/>
              </w:rPr>
              <w:t>0.553</w:t>
            </w:r>
          </w:p>
        </w:tc>
      </w:tr>
      <w:tr w:rsidR="002C7F1C" w:rsidRPr="000F21C6" w:rsidTr="002C7F1C">
        <w:tc>
          <w:tcPr>
            <w:tcW w:w="1315" w:type="pct"/>
          </w:tcPr>
          <w:p w:rsidR="002C7F1C" w:rsidRPr="000F21C6" w:rsidRDefault="002C7F1C" w:rsidP="002C7F1C">
            <w:pPr>
              <w:rPr>
                <w:sz w:val="20"/>
                <w:szCs w:val="20"/>
              </w:rPr>
            </w:pPr>
            <w:proofErr w:type="spellStart"/>
            <w:r w:rsidRPr="000F21C6">
              <w:rPr>
                <w:sz w:val="20"/>
                <w:szCs w:val="20"/>
              </w:rPr>
              <w:t>Glycemia</w:t>
            </w:r>
            <w:proofErr w:type="spellEnd"/>
          </w:p>
        </w:tc>
        <w:tc>
          <w:tcPr>
            <w:tcW w:w="599" w:type="pct"/>
          </w:tcPr>
          <w:p w:rsidR="002C7F1C" w:rsidRPr="000F21C6" w:rsidRDefault="002C7F1C" w:rsidP="002C7F1C">
            <w:pPr>
              <w:rPr>
                <w:sz w:val="20"/>
                <w:szCs w:val="20"/>
              </w:rPr>
            </w:pPr>
            <w:r w:rsidRPr="000F21C6">
              <w:rPr>
                <w:sz w:val="20"/>
                <w:szCs w:val="20"/>
              </w:rPr>
              <w:t>-0.409</w:t>
            </w:r>
          </w:p>
        </w:tc>
        <w:tc>
          <w:tcPr>
            <w:tcW w:w="586" w:type="pct"/>
          </w:tcPr>
          <w:p w:rsidR="002C7F1C" w:rsidRPr="000F21C6" w:rsidRDefault="002C7F1C" w:rsidP="002C7F1C">
            <w:pPr>
              <w:rPr>
                <w:sz w:val="20"/>
                <w:szCs w:val="20"/>
              </w:rPr>
            </w:pPr>
            <w:r w:rsidRPr="000F21C6">
              <w:rPr>
                <w:sz w:val="20"/>
                <w:szCs w:val="20"/>
              </w:rPr>
              <w:t>0.001*</w:t>
            </w:r>
          </w:p>
        </w:tc>
        <w:tc>
          <w:tcPr>
            <w:tcW w:w="1210" w:type="pct"/>
          </w:tcPr>
          <w:p w:rsidR="002C7F1C" w:rsidRPr="000F21C6" w:rsidRDefault="002C7F1C" w:rsidP="002C7F1C">
            <w:pPr>
              <w:rPr>
                <w:sz w:val="20"/>
                <w:szCs w:val="20"/>
              </w:rPr>
            </w:pPr>
            <w:proofErr w:type="spellStart"/>
            <w:r w:rsidRPr="000F21C6">
              <w:rPr>
                <w:sz w:val="20"/>
                <w:szCs w:val="20"/>
              </w:rPr>
              <w:t>Glycemia</w:t>
            </w:r>
            <w:proofErr w:type="spellEnd"/>
          </w:p>
        </w:tc>
        <w:tc>
          <w:tcPr>
            <w:tcW w:w="658" w:type="pct"/>
          </w:tcPr>
          <w:p w:rsidR="002C7F1C" w:rsidRPr="000F21C6" w:rsidRDefault="002C7F1C" w:rsidP="002C7F1C">
            <w:pPr>
              <w:rPr>
                <w:sz w:val="20"/>
                <w:szCs w:val="20"/>
              </w:rPr>
            </w:pPr>
            <w:r w:rsidRPr="000F21C6">
              <w:rPr>
                <w:sz w:val="20"/>
                <w:szCs w:val="20"/>
              </w:rPr>
              <w:t>0.029</w:t>
            </w:r>
          </w:p>
        </w:tc>
        <w:tc>
          <w:tcPr>
            <w:tcW w:w="631" w:type="pct"/>
          </w:tcPr>
          <w:p w:rsidR="002C7F1C" w:rsidRPr="000F21C6" w:rsidRDefault="002C7F1C" w:rsidP="002C7F1C">
            <w:pPr>
              <w:rPr>
                <w:sz w:val="20"/>
                <w:szCs w:val="20"/>
              </w:rPr>
            </w:pPr>
            <w:r w:rsidRPr="000F21C6">
              <w:rPr>
                <w:sz w:val="20"/>
                <w:szCs w:val="20"/>
              </w:rPr>
              <w:t>0.679</w:t>
            </w:r>
          </w:p>
        </w:tc>
      </w:tr>
      <w:tr w:rsidR="002C7F1C" w:rsidRPr="000F21C6" w:rsidTr="002C7F1C">
        <w:tc>
          <w:tcPr>
            <w:tcW w:w="1315" w:type="pct"/>
          </w:tcPr>
          <w:p w:rsidR="002C7F1C" w:rsidRPr="000F21C6" w:rsidRDefault="002C7F1C" w:rsidP="002C7F1C">
            <w:pPr>
              <w:rPr>
                <w:sz w:val="20"/>
                <w:szCs w:val="20"/>
              </w:rPr>
            </w:pPr>
            <w:r w:rsidRPr="000F21C6">
              <w:rPr>
                <w:sz w:val="20"/>
                <w:szCs w:val="20"/>
              </w:rPr>
              <w:t>LVEF</w:t>
            </w:r>
          </w:p>
        </w:tc>
        <w:tc>
          <w:tcPr>
            <w:tcW w:w="599" w:type="pct"/>
          </w:tcPr>
          <w:p w:rsidR="002C7F1C" w:rsidRPr="000F21C6" w:rsidRDefault="002C7F1C" w:rsidP="002C7F1C">
            <w:pPr>
              <w:rPr>
                <w:sz w:val="20"/>
                <w:szCs w:val="20"/>
              </w:rPr>
            </w:pPr>
            <w:r w:rsidRPr="000F21C6">
              <w:rPr>
                <w:sz w:val="20"/>
                <w:szCs w:val="20"/>
              </w:rPr>
              <w:t>0.108</w:t>
            </w:r>
          </w:p>
        </w:tc>
        <w:tc>
          <w:tcPr>
            <w:tcW w:w="586" w:type="pct"/>
          </w:tcPr>
          <w:p w:rsidR="002C7F1C" w:rsidRPr="000F21C6" w:rsidRDefault="002C7F1C" w:rsidP="002C7F1C">
            <w:pPr>
              <w:rPr>
                <w:sz w:val="20"/>
                <w:szCs w:val="20"/>
              </w:rPr>
            </w:pPr>
            <w:r w:rsidRPr="000F21C6">
              <w:rPr>
                <w:sz w:val="20"/>
                <w:szCs w:val="20"/>
              </w:rPr>
              <w:t>0.055</w:t>
            </w:r>
          </w:p>
        </w:tc>
        <w:tc>
          <w:tcPr>
            <w:tcW w:w="1210" w:type="pct"/>
          </w:tcPr>
          <w:p w:rsidR="002C7F1C" w:rsidRPr="000F21C6" w:rsidRDefault="002C7F1C" w:rsidP="002C7F1C">
            <w:pPr>
              <w:rPr>
                <w:sz w:val="20"/>
                <w:szCs w:val="20"/>
              </w:rPr>
            </w:pPr>
            <w:r w:rsidRPr="000F21C6">
              <w:rPr>
                <w:sz w:val="20"/>
                <w:szCs w:val="20"/>
              </w:rPr>
              <w:t>LVEF</w:t>
            </w:r>
          </w:p>
        </w:tc>
        <w:tc>
          <w:tcPr>
            <w:tcW w:w="658" w:type="pct"/>
          </w:tcPr>
          <w:p w:rsidR="002C7F1C" w:rsidRPr="000F21C6" w:rsidRDefault="002C7F1C" w:rsidP="002C7F1C">
            <w:pPr>
              <w:rPr>
                <w:sz w:val="20"/>
                <w:szCs w:val="20"/>
              </w:rPr>
            </w:pPr>
            <w:r w:rsidRPr="000F21C6">
              <w:rPr>
                <w:sz w:val="20"/>
                <w:szCs w:val="20"/>
              </w:rPr>
              <w:t>0.024</w:t>
            </w:r>
          </w:p>
        </w:tc>
        <w:tc>
          <w:tcPr>
            <w:tcW w:w="631" w:type="pct"/>
          </w:tcPr>
          <w:p w:rsidR="002C7F1C" w:rsidRPr="000F21C6" w:rsidRDefault="002C7F1C" w:rsidP="002C7F1C">
            <w:pPr>
              <w:rPr>
                <w:sz w:val="20"/>
                <w:szCs w:val="20"/>
              </w:rPr>
            </w:pPr>
            <w:r w:rsidRPr="000F21C6">
              <w:rPr>
                <w:sz w:val="20"/>
                <w:szCs w:val="20"/>
              </w:rPr>
              <w:t>0.736</w:t>
            </w:r>
          </w:p>
        </w:tc>
      </w:tr>
      <w:tr w:rsidR="002C7F1C" w:rsidRPr="000F21C6" w:rsidTr="002C7F1C">
        <w:tc>
          <w:tcPr>
            <w:tcW w:w="1315" w:type="pct"/>
          </w:tcPr>
          <w:p w:rsidR="002C7F1C" w:rsidRPr="000F21C6" w:rsidRDefault="002C7F1C" w:rsidP="002C7F1C">
            <w:pPr>
              <w:rPr>
                <w:sz w:val="20"/>
                <w:szCs w:val="20"/>
              </w:rPr>
            </w:pPr>
            <w:r w:rsidRPr="000F21C6">
              <w:rPr>
                <w:sz w:val="20"/>
                <w:szCs w:val="20"/>
              </w:rPr>
              <w:t>Noradrenaline</w:t>
            </w:r>
          </w:p>
        </w:tc>
        <w:tc>
          <w:tcPr>
            <w:tcW w:w="599" w:type="pct"/>
          </w:tcPr>
          <w:p w:rsidR="002C7F1C" w:rsidRPr="000F21C6" w:rsidRDefault="002C7F1C" w:rsidP="002C7F1C">
            <w:pPr>
              <w:rPr>
                <w:sz w:val="20"/>
                <w:szCs w:val="20"/>
              </w:rPr>
            </w:pPr>
            <w:r w:rsidRPr="000F21C6">
              <w:rPr>
                <w:sz w:val="20"/>
                <w:szCs w:val="20"/>
              </w:rPr>
              <w:t>-0.185</w:t>
            </w:r>
          </w:p>
        </w:tc>
        <w:tc>
          <w:tcPr>
            <w:tcW w:w="586" w:type="pct"/>
          </w:tcPr>
          <w:p w:rsidR="002C7F1C" w:rsidRPr="000F21C6" w:rsidRDefault="002C7F1C" w:rsidP="002C7F1C">
            <w:pPr>
              <w:rPr>
                <w:sz w:val="20"/>
                <w:szCs w:val="20"/>
              </w:rPr>
            </w:pPr>
            <w:r w:rsidRPr="000F21C6">
              <w:rPr>
                <w:sz w:val="20"/>
                <w:szCs w:val="20"/>
              </w:rPr>
              <w:t>0.001*</w:t>
            </w:r>
          </w:p>
        </w:tc>
        <w:tc>
          <w:tcPr>
            <w:tcW w:w="1210" w:type="pct"/>
          </w:tcPr>
          <w:p w:rsidR="002C7F1C" w:rsidRPr="000F21C6" w:rsidRDefault="002C7F1C" w:rsidP="002C7F1C">
            <w:pPr>
              <w:rPr>
                <w:sz w:val="20"/>
                <w:szCs w:val="20"/>
              </w:rPr>
            </w:pPr>
            <w:r w:rsidRPr="000F21C6">
              <w:rPr>
                <w:sz w:val="20"/>
                <w:szCs w:val="20"/>
              </w:rPr>
              <w:t>Noradrenaline</w:t>
            </w:r>
          </w:p>
        </w:tc>
        <w:tc>
          <w:tcPr>
            <w:tcW w:w="658" w:type="pct"/>
          </w:tcPr>
          <w:p w:rsidR="002C7F1C" w:rsidRPr="000F21C6" w:rsidRDefault="002C7F1C" w:rsidP="002C7F1C">
            <w:pPr>
              <w:rPr>
                <w:sz w:val="20"/>
                <w:szCs w:val="20"/>
              </w:rPr>
            </w:pPr>
            <w:r w:rsidRPr="000F21C6">
              <w:rPr>
                <w:sz w:val="20"/>
                <w:szCs w:val="20"/>
              </w:rPr>
              <w:t>-0.020</w:t>
            </w:r>
          </w:p>
        </w:tc>
        <w:tc>
          <w:tcPr>
            <w:tcW w:w="631" w:type="pct"/>
          </w:tcPr>
          <w:p w:rsidR="002C7F1C" w:rsidRPr="000F21C6" w:rsidRDefault="002C7F1C" w:rsidP="002C7F1C">
            <w:pPr>
              <w:rPr>
                <w:sz w:val="20"/>
                <w:szCs w:val="20"/>
              </w:rPr>
            </w:pPr>
            <w:r w:rsidRPr="000F21C6">
              <w:rPr>
                <w:sz w:val="20"/>
                <w:szCs w:val="20"/>
              </w:rPr>
              <w:t>0.782</w:t>
            </w:r>
          </w:p>
        </w:tc>
      </w:tr>
      <w:tr w:rsidR="002C7F1C" w:rsidRPr="000F21C6" w:rsidTr="002C7F1C">
        <w:tc>
          <w:tcPr>
            <w:tcW w:w="1315" w:type="pct"/>
          </w:tcPr>
          <w:p w:rsidR="002C7F1C" w:rsidRPr="000F21C6" w:rsidRDefault="002C7F1C" w:rsidP="002C7F1C">
            <w:pPr>
              <w:rPr>
                <w:sz w:val="20"/>
                <w:szCs w:val="20"/>
              </w:rPr>
            </w:pPr>
            <w:proofErr w:type="spellStart"/>
            <w:r w:rsidRPr="000F21C6">
              <w:rPr>
                <w:sz w:val="20"/>
                <w:szCs w:val="20"/>
              </w:rPr>
              <w:t>Systolic</w:t>
            </w:r>
            <w:proofErr w:type="spellEnd"/>
            <w:r w:rsidRPr="000F21C6">
              <w:rPr>
                <w:sz w:val="20"/>
                <w:szCs w:val="20"/>
              </w:rPr>
              <w:t xml:space="preserve"> </w:t>
            </w:r>
            <w:proofErr w:type="spellStart"/>
            <w:r w:rsidRPr="000F21C6">
              <w:rPr>
                <w:sz w:val="20"/>
                <w:szCs w:val="20"/>
              </w:rPr>
              <w:t>blood</w:t>
            </w:r>
            <w:proofErr w:type="spellEnd"/>
            <w:r w:rsidRPr="000F21C6">
              <w:rPr>
                <w:sz w:val="20"/>
                <w:szCs w:val="20"/>
              </w:rPr>
              <w:t xml:space="preserve"> pressure</w:t>
            </w:r>
          </w:p>
        </w:tc>
        <w:tc>
          <w:tcPr>
            <w:tcW w:w="599" w:type="pct"/>
          </w:tcPr>
          <w:p w:rsidR="002C7F1C" w:rsidRPr="000F21C6" w:rsidRDefault="002C7F1C" w:rsidP="002C7F1C">
            <w:pPr>
              <w:rPr>
                <w:sz w:val="20"/>
                <w:szCs w:val="20"/>
              </w:rPr>
            </w:pPr>
            <w:r w:rsidRPr="000F21C6">
              <w:rPr>
                <w:sz w:val="20"/>
                <w:szCs w:val="20"/>
              </w:rPr>
              <w:t>-0.033</w:t>
            </w:r>
          </w:p>
        </w:tc>
        <w:tc>
          <w:tcPr>
            <w:tcW w:w="586" w:type="pct"/>
          </w:tcPr>
          <w:p w:rsidR="002C7F1C" w:rsidRPr="000F21C6" w:rsidRDefault="002C7F1C" w:rsidP="002C7F1C">
            <w:pPr>
              <w:rPr>
                <w:sz w:val="20"/>
                <w:szCs w:val="20"/>
              </w:rPr>
            </w:pPr>
            <w:r w:rsidRPr="000F21C6">
              <w:rPr>
                <w:sz w:val="20"/>
                <w:szCs w:val="20"/>
              </w:rPr>
              <w:t>0.551</w:t>
            </w:r>
          </w:p>
        </w:tc>
        <w:tc>
          <w:tcPr>
            <w:tcW w:w="1210" w:type="pct"/>
          </w:tcPr>
          <w:p w:rsidR="002C7F1C" w:rsidRPr="000F21C6" w:rsidRDefault="002C7F1C" w:rsidP="002C7F1C">
            <w:pPr>
              <w:rPr>
                <w:sz w:val="20"/>
                <w:szCs w:val="20"/>
              </w:rPr>
            </w:pPr>
            <w:proofErr w:type="spellStart"/>
            <w:r w:rsidRPr="000F21C6">
              <w:rPr>
                <w:sz w:val="20"/>
                <w:szCs w:val="20"/>
              </w:rPr>
              <w:t>Systolic</w:t>
            </w:r>
            <w:proofErr w:type="spellEnd"/>
            <w:r w:rsidRPr="000F21C6">
              <w:rPr>
                <w:sz w:val="20"/>
                <w:szCs w:val="20"/>
              </w:rPr>
              <w:t xml:space="preserve"> </w:t>
            </w:r>
            <w:proofErr w:type="spellStart"/>
            <w:r w:rsidRPr="000F21C6">
              <w:rPr>
                <w:sz w:val="20"/>
                <w:szCs w:val="20"/>
              </w:rPr>
              <w:t>blood</w:t>
            </w:r>
            <w:proofErr w:type="spellEnd"/>
            <w:r w:rsidRPr="000F21C6">
              <w:rPr>
                <w:sz w:val="20"/>
                <w:szCs w:val="20"/>
              </w:rPr>
              <w:t xml:space="preserve"> pressure</w:t>
            </w:r>
          </w:p>
        </w:tc>
        <w:tc>
          <w:tcPr>
            <w:tcW w:w="658" w:type="pct"/>
          </w:tcPr>
          <w:p w:rsidR="002C7F1C" w:rsidRPr="000F21C6" w:rsidRDefault="002C7F1C" w:rsidP="002C7F1C">
            <w:pPr>
              <w:rPr>
                <w:sz w:val="20"/>
                <w:szCs w:val="20"/>
              </w:rPr>
            </w:pPr>
            <w:r w:rsidRPr="000F21C6">
              <w:rPr>
                <w:sz w:val="20"/>
                <w:szCs w:val="20"/>
              </w:rPr>
              <w:t>-0.048</w:t>
            </w:r>
          </w:p>
        </w:tc>
        <w:tc>
          <w:tcPr>
            <w:tcW w:w="631" w:type="pct"/>
          </w:tcPr>
          <w:p w:rsidR="002C7F1C" w:rsidRPr="000F21C6" w:rsidRDefault="002C7F1C" w:rsidP="002C7F1C">
            <w:pPr>
              <w:rPr>
                <w:sz w:val="20"/>
                <w:szCs w:val="20"/>
              </w:rPr>
            </w:pPr>
            <w:r w:rsidRPr="000F21C6">
              <w:rPr>
                <w:sz w:val="20"/>
                <w:szCs w:val="20"/>
              </w:rPr>
              <w:t>0.497</w:t>
            </w:r>
          </w:p>
        </w:tc>
      </w:tr>
    </w:tbl>
    <w:p w:rsidR="00C17738" w:rsidRDefault="00C17738" w:rsidP="000F21C6">
      <w:pPr>
        <w:rPr>
          <w:lang w:val="en-US"/>
        </w:rPr>
      </w:pPr>
    </w:p>
    <w:sectPr w:rsidR="00C1773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A6" w:rsidRDefault="009D1AA6" w:rsidP="007B512D">
      <w:pPr>
        <w:spacing w:after="0" w:line="240" w:lineRule="auto"/>
      </w:pPr>
      <w:r>
        <w:separator/>
      </w:r>
    </w:p>
  </w:endnote>
  <w:endnote w:type="continuationSeparator" w:id="0">
    <w:p w:rsidR="009D1AA6" w:rsidRDefault="009D1AA6" w:rsidP="007B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510453"/>
      <w:docPartObj>
        <w:docPartGallery w:val="Page Numbers (Bottom of Page)"/>
        <w:docPartUnique/>
      </w:docPartObj>
    </w:sdtPr>
    <w:sdtEndPr/>
    <w:sdtContent>
      <w:p w:rsidR="002C7F1C" w:rsidRDefault="002C7F1C">
        <w:pPr>
          <w:pStyle w:val="Pidipagina"/>
          <w:jc w:val="right"/>
        </w:pPr>
        <w:r>
          <w:fldChar w:fldCharType="begin"/>
        </w:r>
        <w:r>
          <w:instrText>PAGE   \* MERGEFORMAT</w:instrText>
        </w:r>
        <w:r>
          <w:fldChar w:fldCharType="separate"/>
        </w:r>
        <w:r w:rsidR="00C577C6">
          <w:rPr>
            <w:noProof/>
          </w:rPr>
          <w:t>12</w:t>
        </w:r>
        <w:r>
          <w:fldChar w:fldCharType="end"/>
        </w:r>
      </w:p>
    </w:sdtContent>
  </w:sdt>
  <w:p w:rsidR="002C7F1C" w:rsidRDefault="002C7F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A6" w:rsidRDefault="009D1AA6" w:rsidP="007B512D">
      <w:pPr>
        <w:spacing w:after="0" w:line="240" w:lineRule="auto"/>
      </w:pPr>
      <w:r>
        <w:separator/>
      </w:r>
    </w:p>
  </w:footnote>
  <w:footnote w:type="continuationSeparator" w:id="0">
    <w:p w:rsidR="009D1AA6" w:rsidRDefault="009D1AA6" w:rsidP="007B5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F4"/>
    <w:multiLevelType w:val="hybridMultilevel"/>
    <w:tmpl w:val="DC2ABB96"/>
    <w:lvl w:ilvl="0" w:tplc="65E43958">
      <w:start w:val="1"/>
      <w:numFmt w:val="decimal"/>
      <w:lvlText w:val="%1."/>
      <w:lvlJc w:val="left"/>
      <w:pPr>
        <w:ind w:left="720" w:hanging="360"/>
      </w:pPr>
      <w:rPr>
        <w:rFonts w:asciiTheme="minorHAnsi" w:eastAsiaTheme="minorHAnsi" w:hAnsiTheme="minorHAnsi" w:cstheme="minorHAnsi"/>
        <w:b w:val="0"/>
        <w:color w:val="auto"/>
      </w:rPr>
    </w:lvl>
    <w:lvl w:ilvl="1" w:tplc="4FDC1330" w:tentative="1">
      <w:start w:val="1"/>
      <w:numFmt w:val="lowerLetter"/>
      <w:lvlText w:val="%2."/>
      <w:lvlJc w:val="left"/>
      <w:pPr>
        <w:ind w:left="1440" w:hanging="360"/>
      </w:pPr>
    </w:lvl>
    <w:lvl w:ilvl="2" w:tplc="96303308" w:tentative="1">
      <w:start w:val="1"/>
      <w:numFmt w:val="lowerRoman"/>
      <w:lvlText w:val="%3."/>
      <w:lvlJc w:val="right"/>
      <w:pPr>
        <w:ind w:left="2160" w:hanging="180"/>
      </w:pPr>
    </w:lvl>
    <w:lvl w:ilvl="3" w:tplc="17A220C0" w:tentative="1">
      <w:start w:val="1"/>
      <w:numFmt w:val="decimal"/>
      <w:lvlText w:val="%4."/>
      <w:lvlJc w:val="left"/>
      <w:pPr>
        <w:ind w:left="2880" w:hanging="360"/>
      </w:pPr>
    </w:lvl>
    <w:lvl w:ilvl="4" w:tplc="AD4267D4" w:tentative="1">
      <w:start w:val="1"/>
      <w:numFmt w:val="lowerLetter"/>
      <w:lvlText w:val="%5."/>
      <w:lvlJc w:val="left"/>
      <w:pPr>
        <w:ind w:left="3600" w:hanging="360"/>
      </w:pPr>
    </w:lvl>
    <w:lvl w:ilvl="5" w:tplc="9D44BA76" w:tentative="1">
      <w:start w:val="1"/>
      <w:numFmt w:val="lowerRoman"/>
      <w:lvlText w:val="%6."/>
      <w:lvlJc w:val="right"/>
      <w:pPr>
        <w:ind w:left="4320" w:hanging="180"/>
      </w:pPr>
    </w:lvl>
    <w:lvl w:ilvl="6" w:tplc="CDD64124" w:tentative="1">
      <w:start w:val="1"/>
      <w:numFmt w:val="decimal"/>
      <w:lvlText w:val="%7."/>
      <w:lvlJc w:val="left"/>
      <w:pPr>
        <w:ind w:left="5040" w:hanging="360"/>
      </w:pPr>
    </w:lvl>
    <w:lvl w:ilvl="7" w:tplc="8F3C5F3C" w:tentative="1">
      <w:start w:val="1"/>
      <w:numFmt w:val="lowerLetter"/>
      <w:lvlText w:val="%8."/>
      <w:lvlJc w:val="left"/>
      <w:pPr>
        <w:ind w:left="5760" w:hanging="360"/>
      </w:pPr>
    </w:lvl>
    <w:lvl w:ilvl="8" w:tplc="09BA921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A4"/>
    <w:rsid w:val="000019D4"/>
    <w:rsid w:val="00007269"/>
    <w:rsid w:val="000256B2"/>
    <w:rsid w:val="00050D05"/>
    <w:rsid w:val="000544C0"/>
    <w:rsid w:val="00082609"/>
    <w:rsid w:val="000C6DAC"/>
    <w:rsid w:val="000C7302"/>
    <w:rsid w:val="000F21C6"/>
    <w:rsid w:val="00132389"/>
    <w:rsid w:val="0015137E"/>
    <w:rsid w:val="0018578E"/>
    <w:rsid w:val="00193B9B"/>
    <w:rsid w:val="00196FF5"/>
    <w:rsid w:val="001A7495"/>
    <w:rsid w:val="001D196E"/>
    <w:rsid w:val="00251A8B"/>
    <w:rsid w:val="002544CC"/>
    <w:rsid w:val="002638BB"/>
    <w:rsid w:val="002746D5"/>
    <w:rsid w:val="002A3C8A"/>
    <w:rsid w:val="002A459A"/>
    <w:rsid w:val="002C7F1C"/>
    <w:rsid w:val="002D2C50"/>
    <w:rsid w:val="003449BE"/>
    <w:rsid w:val="003553C6"/>
    <w:rsid w:val="003F01FE"/>
    <w:rsid w:val="00413A6C"/>
    <w:rsid w:val="00476B34"/>
    <w:rsid w:val="00487155"/>
    <w:rsid w:val="004A4EF2"/>
    <w:rsid w:val="004E5C0C"/>
    <w:rsid w:val="005005B9"/>
    <w:rsid w:val="00545AAE"/>
    <w:rsid w:val="00597DDD"/>
    <w:rsid w:val="005A181C"/>
    <w:rsid w:val="005B08C2"/>
    <w:rsid w:val="005C56BA"/>
    <w:rsid w:val="00605F3D"/>
    <w:rsid w:val="006C693D"/>
    <w:rsid w:val="006D71FC"/>
    <w:rsid w:val="006D728E"/>
    <w:rsid w:val="007B512D"/>
    <w:rsid w:val="007C6B58"/>
    <w:rsid w:val="00815544"/>
    <w:rsid w:val="00825359"/>
    <w:rsid w:val="00826FA4"/>
    <w:rsid w:val="008456A7"/>
    <w:rsid w:val="00865AB9"/>
    <w:rsid w:val="00880B43"/>
    <w:rsid w:val="008A17EC"/>
    <w:rsid w:val="008A672C"/>
    <w:rsid w:val="008C31C9"/>
    <w:rsid w:val="008C3FAA"/>
    <w:rsid w:val="008F320A"/>
    <w:rsid w:val="008F7BB0"/>
    <w:rsid w:val="009316B4"/>
    <w:rsid w:val="00932502"/>
    <w:rsid w:val="00984F77"/>
    <w:rsid w:val="009D1AA6"/>
    <w:rsid w:val="009E0DA4"/>
    <w:rsid w:val="009F7A69"/>
    <w:rsid w:val="00A03009"/>
    <w:rsid w:val="00A21AE6"/>
    <w:rsid w:val="00A31909"/>
    <w:rsid w:val="00A64022"/>
    <w:rsid w:val="00A716C1"/>
    <w:rsid w:val="00A85F45"/>
    <w:rsid w:val="00A961AF"/>
    <w:rsid w:val="00AD0B3F"/>
    <w:rsid w:val="00AD331F"/>
    <w:rsid w:val="00AE433E"/>
    <w:rsid w:val="00AE54CE"/>
    <w:rsid w:val="00B25F74"/>
    <w:rsid w:val="00B51F47"/>
    <w:rsid w:val="00B547BF"/>
    <w:rsid w:val="00B6482E"/>
    <w:rsid w:val="00B66BA6"/>
    <w:rsid w:val="00BA3B01"/>
    <w:rsid w:val="00BB0493"/>
    <w:rsid w:val="00BC4ED9"/>
    <w:rsid w:val="00BC78B5"/>
    <w:rsid w:val="00BD609D"/>
    <w:rsid w:val="00BE3555"/>
    <w:rsid w:val="00BE59C4"/>
    <w:rsid w:val="00C0250C"/>
    <w:rsid w:val="00C17738"/>
    <w:rsid w:val="00C35EF1"/>
    <w:rsid w:val="00C46BE9"/>
    <w:rsid w:val="00C56D1D"/>
    <w:rsid w:val="00C577C6"/>
    <w:rsid w:val="00CD28D3"/>
    <w:rsid w:val="00CE449D"/>
    <w:rsid w:val="00CF39F2"/>
    <w:rsid w:val="00D548C0"/>
    <w:rsid w:val="00D62CEA"/>
    <w:rsid w:val="00D7054B"/>
    <w:rsid w:val="00E14F7A"/>
    <w:rsid w:val="00E374E7"/>
    <w:rsid w:val="00E43372"/>
    <w:rsid w:val="00E53E14"/>
    <w:rsid w:val="00E70DAC"/>
    <w:rsid w:val="00EA20C3"/>
    <w:rsid w:val="00EF1E64"/>
    <w:rsid w:val="00F44CB7"/>
    <w:rsid w:val="00F665C0"/>
    <w:rsid w:val="00F72532"/>
    <w:rsid w:val="00F96A87"/>
    <w:rsid w:val="00FB60BD"/>
    <w:rsid w:val="00FD7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D4EA9-556D-46E3-B19E-B8CB9140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21C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17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F7A69"/>
    <w:rPr>
      <w:color w:val="0563C1" w:themeColor="hyperlink"/>
      <w:u w:val="single"/>
    </w:rPr>
  </w:style>
  <w:style w:type="paragraph" w:styleId="Paragrafoelenco">
    <w:name w:val="List Paragraph"/>
    <w:basedOn w:val="Normale"/>
    <w:uiPriority w:val="34"/>
    <w:qFormat/>
    <w:rsid w:val="00A03009"/>
    <w:pPr>
      <w:ind w:left="720"/>
      <w:contextualSpacing/>
    </w:pPr>
  </w:style>
  <w:style w:type="paragraph" w:styleId="Testofumetto">
    <w:name w:val="Balloon Text"/>
    <w:basedOn w:val="Normale"/>
    <w:link w:val="TestofumettoCarattere"/>
    <w:uiPriority w:val="99"/>
    <w:semiHidden/>
    <w:unhideWhenUsed/>
    <w:rsid w:val="00F44C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4CB7"/>
    <w:rPr>
      <w:rFonts w:ascii="Segoe UI" w:hAnsi="Segoe UI" w:cs="Segoe UI"/>
      <w:sz w:val="18"/>
      <w:szCs w:val="18"/>
    </w:rPr>
  </w:style>
  <w:style w:type="paragraph" w:styleId="Intestazione">
    <w:name w:val="header"/>
    <w:basedOn w:val="Normale"/>
    <w:link w:val="IntestazioneCarattere"/>
    <w:uiPriority w:val="99"/>
    <w:unhideWhenUsed/>
    <w:rsid w:val="007B51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512D"/>
  </w:style>
  <w:style w:type="paragraph" w:styleId="Pidipagina">
    <w:name w:val="footer"/>
    <w:basedOn w:val="Normale"/>
    <w:link w:val="PidipaginaCarattere"/>
    <w:uiPriority w:val="99"/>
    <w:unhideWhenUsed/>
    <w:rsid w:val="007B51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arducel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53397-B3ED-4D3E-8A75-32E96A58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12</Pages>
  <Words>2920</Words>
  <Characters>16645</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18</cp:revision>
  <cp:lastPrinted>2021-11-11T11:02:00Z</cp:lastPrinted>
  <dcterms:created xsi:type="dcterms:W3CDTF">2021-11-10T13:17:00Z</dcterms:created>
  <dcterms:modified xsi:type="dcterms:W3CDTF">2021-12-22T11:55:00Z</dcterms:modified>
</cp:coreProperties>
</file>