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0269" w:rsidRPr="00C34627" w:rsidRDefault="00DE0269" w:rsidP="00DE0269">
      <w:pPr>
        <w:spacing w:before="100" w:beforeAutospacing="1" w:after="100" w:afterAutospacing="1"/>
        <w:rPr>
          <w:b/>
          <w:sz w:val="22"/>
          <w:szCs w:val="22"/>
        </w:rPr>
      </w:pPr>
      <w:r w:rsidRPr="00C34627">
        <w:rPr>
          <w:b/>
          <w:sz w:val="22"/>
          <w:szCs w:val="22"/>
        </w:rPr>
        <w:t>Research feasibility and ethics in Scottish new-born blood spot archive.</w:t>
      </w:r>
    </w:p>
    <w:p w:rsidR="00DE0269" w:rsidRPr="00C34627" w:rsidRDefault="00DE0269" w:rsidP="00DE0269">
      <w:pPr>
        <w:spacing w:before="100" w:beforeAutospacing="1" w:after="100" w:afterAutospacing="1"/>
        <w:rPr>
          <w:b/>
          <w:sz w:val="22"/>
          <w:szCs w:val="22"/>
        </w:rPr>
      </w:pPr>
      <w:r w:rsidRPr="00C34627">
        <w:rPr>
          <w:b/>
          <w:sz w:val="22"/>
          <w:szCs w:val="22"/>
        </w:rPr>
        <w:t>Supplementary information</w:t>
      </w:r>
      <w:r>
        <w:rPr>
          <w:b/>
          <w:sz w:val="22"/>
          <w:szCs w:val="22"/>
        </w:rPr>
        <w:t xml:space="preserve"> Methods</w:t>
      </w:r>
    </w:p>
    <w:p w:rsidR="00DE0269" w:rsidRDefault="00DE0269" w:rsidP="00DE0269">
      <w:pPr>
        <w:spacing w:before="100" w:beforeAutospacing="1" w:after="100" w:afterAutospacing="1" w:line="360" w:lineRule="auto"/>
        <w:rPr>
          <w:b/>
          <w:sz w:val="22"/>
          <w:szCs w:val="22"/>
        </w:rPr>
      </w:pPr>
      <w:r w:rsidRPr="00831A71">
        <w:rPr>
          <w:b/>
          <w:sz w:val="22"/>
          <w:szCs w:val="22"/>
        </w:rPr>
        <w:t>Citizens Jury</w:t>
      </w:r>
    </w:p>
    <w:p w:rsidR="00DE0269" w:rsidRDefault="00DE0269" w:rsidP="00DE0269">
      <w:pPr>
        <w:spacing w:before="100" w:beforeAutospacing="1" w:after="100" w:afterAutospacing="1" w:line="360" w:lineRule="auto"/>
        <w:rPr>
          <w:b/>
          <w:sz w:val="22"/>
          <w:szCs w:val="22"/>
          <w:highlight w:val="yellow"/>
        </w:rPr>
      </w:pPr>
      <w:r>
        <w:rPr>
          <w:sz w:val="22"/>
          <w:szCs w:val="22"/>
        </w:rPr>
        <w:t>SI Table 1 summarises the Jurors consensus views on terms of access to the Guthrie card archive.  This information was shared at the Stakeholders event and will inform the Public Consultation planned by Scottish Government Chief Scientist’s Office.</w:t>
      </w:r>
    </w:p>
    <w:p w:rsidR="00DE0269" w:rsidRDefault="00DE0269" w:rsidP="00DE0269">
      <w:pPr>
        <w:spacing w:before="100" w:beforeAutospacing="1" w:after="100" w:afterAutospacing="1" w:line="360" w:lineRule="auto"/>
        <w:rPr>
          <w:b/>
          <w:sz w:val="22"/>
          <w:szCs w:val="22"/>
        </w:rPr>
      </w:pPr>
      <w:r w:rsidRPr="00831A71">
        <w:rPr>
          <w:b/>
          <w:sz w:val="22"/>
          <w:szCs w:val="22"/>
        </w:rPr>
        <w:t>Guthrie card box contents</w:t>
      </w:r>
    </w:p>
    <w:p w:rsidR="00DE0269" w:rsidRDefault="00DE0269" w:rsidP="00DE0269">
      <w:pPr>
        <w:spacing w:before="100" w:beforeAutospacing="1" w:after="100" w:afterAutospacing="1" w:line="360" w:lineRule="auto"/>
        <w:rPr>
          <w:sz w:val="22"/>
          <w:szCs w:val="22"/>
        </w:rPr>
      </w:pPr>
      <w:r w:rsidRPr="00831A71">
        <w:rPr>
          <w:sz w:val="22"/>
          <w:szCs w:val="22"/>
        </w:rPr>
        <w:t xml:space="preserve">SI Figure 1 </w:t>
      </w:r>
      <w:r>
        <w:rPr>
          <w:sz w:val="22"/>
          <w:szCs w:val="22"/>
        </w:rPr>
        <w:t>illustrates how the Scottish Guthrie card archive has been stored (boxes, sub-boxes and card bundles contents).</w:t>
      </w:r>
    </w:p>
    <w:p w:rsidR="00DE0269" w:rsidRPr="00831A71" w:rsidRDefault="00DE0269" w:rsidP="00DE0269">
      <w:pPr>
        <w:spacing w:before="100" w:beforeAutospacing="1" w:after="100" w:afterAutospacing="1" w:line="360" w:lineRule="auto"/>
        <w:rPr>
          <w:sz w:val="22"/>
          <w:szCs w:val="22"/>
        </w:rPr>
      </w:pPr>
      <w:r>
        <w:rPr>
          <w:sz w:val="22"/>
          <w:szCs w:val="22"/>
        </w:rPr>
        <w:t xml:space="preserve">SI Figure </w:t>
      </w:r>
      <w:r w:rsidRPr="00831A71">
        <w:rPr>
          <w:sz w:val="22"/>
          <w:szCs w:val="22"/>
        </w:rPr>
        <w:t>2</w:t>
      </w:r>
      <w:r>
        <w:rPr>
          <w:sz w:val="22"/>
          <w:szCs w:val="22"/>
        </w:rPr>
        <w:t xml:space="preserve"> illustrates representative cards (with personal details masked) to show a card that was not useable under the restrictions placed by the Caldicott Guardians on only approving samples be taken that would leave at least one blood spot intact (SI Figure 2A) and another card where punches could be taken for testing (SI Figure 2B).</w:t>
      </w:r>
    </w:p>
    <w:p w:rsidR="00DE0269" w:rsidRPr="00922065" w:rsidRDefault="00DE0269" w:rsidP="00DE0269">
      <w:pPr>
        <w:spacing w:before="100" w:beforeAutospacing="1" w:after="100" w:afterAutospacing="1" w:line="360" w:lineRule="auto"/>
        <w:rPr>
          <w:b/>
          <w:sz w:val="22"/>
          <w:szCs w:val="22"/>
        </w:rPr>
      </w:pPr>
      <w:r w:rsidRPr="00922065">
        <w:rPr>
          <w:b/>
          <w:sz w:val="22"/>
          <w:szCs w:val="22"/>
        </w:rPr>
        <w:t>DNA methylation analysis</w:t>
      </w:r>
    </w:p>
    <w:p w:rsidR="00DE0269" w:rsidRDefault="00DE0269" w:rsidP="00DE0269">
      <w:pPr>
        <w:spacing w:before="100" w:beforeAutospacing="1" w:after="100" w:afterAutospacing="1" w:line="360" w:lineRule="auto"/>
        <w:rPr>
          <w:b/>
          <w:sz w:val="22"/>
          <w:szCs w:val="22"/>
          <w:u w:val="single"/>
        </w:rPr>
      </w:pPr>
      <w:r w:rsidRPr="0097146D">
        <w:rPr>
          <w:sz w:val="22"/>
          <w:szCs w:val="22"/>
        </w:rPr>
        <w:t xml:space="preserve">To </w:t>
      </w:r>
      <w:r>
        <w:rPr>
          <w:sz w:val="22"/>
          <w:szCs w:val="22"/>
        </w:rPr>
        <w:t>analyse whether</w:t>
      </w:r>
      <w:r w:rsidRPr="0097146D">
        <w:rPr>
          <w:sz w:val="22"/>
          <w:szCs w:val="22"/>
        </w:rPr>
        <w:t xml:space="preserve"> all samples matched their reported sex, multiple dimensional scaling was performed on X chromosome probes, reducing DNAm data from 15316 CpGs to two coordinates for each sample. After plotting, there were two clusters corresponding to sex. Annotating each data point by reported sex revealed no mismatches (</w:t>
      </w:r>
      <w:r w:rsidRPr="003F4827">
        <w:rPr>
          <w:sz w:val="22"/>
          <w:szCs w:val="22"/>
        </w:rPr>
        <w:t>SI Figure 3</w:t>
      </w:r>
      <w:r w:rsidRPr="0097146D">
        <w:rPr>
          <w:sz w:val="22"/>
          <w:szCs w:val="22"/>
        </w:rPr>
        <w:t>). Using “rs” probes on the EPIC array, estimated genotypes were checked against those generated at baseline using a SNP array. At these probes it is possible to observe a unimodal, bi-modal or tri-modal distribution depending on genotype (AA/AB/BB). DNAm levels at these probes were plotted against hard-called genotypes (i.e. SNP array). Tight clustering of DNAm levels was observed according to genotype (</w:t>
      </w:r>
      <w:r w:rsidRPr="003F4827">
        <w:rPr>
          <w:sz w:val="22"/>
          <w:szCs w:val="22"/>
        </w:rPr>
        <w:t>SI Figure 4</w:t>
      </w:r>
      <w:r w:rsidRPr="0097146D">
        <w:rPr>
          <w:sz w:val="22"/>
          <w:szCs w:val="22"/>
        </w:rPr>
        <w:t xml:space="preserve">). Average methylation levels by genotype are summarised in </w:t>
      </w:r>
      <w:r w:rsidRPr="003F4827">
        <w:rPr>
          <w:sz w:val="22"/>
          <w:szCs w:val="22"/>
        </w:rPr>
        <w:t>SI Table 2.</w:t>
      </w:r>
    </w:p>
    <w:p w:rsidR="00DE0269" w:rsidRDefault="00DE0269" w:rsidP="00DE0269">
      <w:pPr>
        <w:rPr>
          <w:b/>
          <w:sz w:val="22"/>
          <w:szCs w:val="22"/>
          <w:lang w:val="en-US"/>
        </w:rPr>
      </w:pPr>
      <w:r>
        <w:rPr>
          <w:b/>
          <w:sz w:val="22"/>
          <w:szCs w:val="22"/>
          <w:lang w:val="en-US"/>
        </w:rPr>
        <w:br w:type="page"/>
      </w:r>
    </w:p>
    <w:p w:rsidR="00DE0269" w:rsidRPr="00AE2348" w:rsidRDefault="00DE0269" w:rsidP="00DE0269">
      <w:pPr>
        <w:spacing w:before="100" w:beforeAutospacing="1" w:after="100" w:afterAutospacing="1" w:line="360" w:lineRule="auto"/>
        <w:rPr>
          <w:b/>
          <w:sz w:val="22"/>
          <w:szCs w:val="22"/>
        </w:rPr>
      </w:pPr>
      <w:r w:rsidRPr="00AE2348">
        <w:rPr>
          <w:b/>
          <w:sz w:val="22"/>
          <w:szCs w:val="22"/>
        </w:rPr>
        <w:lastRenderedPageBreak/>
        <w:t>Supplementary information</w:t>
      </w:r>
      <w:r>
        <w:rPr>
          <w:b/>
          <w:sz w:val="22"/>
          <w:szCs w:val="22"/>
        </w:rPr>
        <w:t xml:space="preserve"> Tables</w:t>
      </w:r>
    </w:p>
    <w:p w:rsidR="00DE0269" w:rsidRDefault="00DE0269" w:rsidP="00DE0269">
      <w:pPr>
        <w:spacing w:before="100" w:beforeAutospacing="1" w:after="100" w:afterAutospacing="1" w:line="360" w:lineRule="auto"/>
        <w:rPr>
          <w:sz w:val="22"/>
          <w:szCs w:val="22"/>
          <w:lang w:val="en-US"/>
        </w:rPr>
      </w:pPr>
      <w:r>
        <w:rPr>
          <w:b/>
          <w:sz w:val="22"/>
          <w:szCs w:val="22"/>
          <w:lang w:val="en-US"/>
        </w:rPr>
        <w:t>SI Table</w:t>
      </w:r>
      <w:r w:rsidRPr="007D67AB">
        <w:rPr>
          <w:b/>
          <w:sz w:val="22"/>
          <w:szCs w:val="22"/>
          <w:lang w:val="en-US"/>
        </w:rPr>
        <w:t xml:space="preserve"> 1</w:t>
      </w:r>
      <w:r>
        <w:rPr>
          <w:b/>
          <w:sz w:val="22"/>
          <w:szCs w:val="22"/>
          <w:lang w:val="en-US"/>
        </w:rPr>
        <w:t xml:space="preserve">: Citizens Jury terms of access </w:t>
      </w:r>
    </w:p>
    <w:tbl>
      <w:tblPr>
        <w:tblStyle w:val="TableGrid"/>
        <w:tblW w:w="0" w:type="auto"/>
        <w:tblLook w:val="04A0" w:firstRow="1" w:lastRow="0" w:firstColumn="1" w:lastColumn="0" w:noHBand="0" w:noVBand="1"/>
      </w:tblPr>
      <w:tblGrid>
        <w:gridCol w:w="9016"/>
      </w:tblGrid>
      <w:tr w:rsidR="00DE0269" w:rsidTr="00654E8E">
        <w:tc>
          <w:tcPr>
            <w:tcW w:w="9016" w:type="dxa"/>
          </w:tcPr>
          <w:p w:rsidR="00DE0269" w:rsidRDefault="00DE0269" w:rsidP="00654E8E">
            <w:pPr>
              <w:spacing w:before="100" w:beforeAutospacing="1" w:after="100" w:afterAutospacing="1" w:line="360" w:lineRule="auto"/>
              <w:rPr>
                <w:sz w:val="22"/>
                <w:szCs w:val="22"/>
                <w:lang w:val="en-US"/>
              </w:rPr>
            </w:pPr>
            <w:r>
              <w:rPr>
                <w:sz w:val="22"/>
                <w:szCs w:val="22"/>
                <w:lang w:val="en-US"/>
              </w:rPr>
              <w:t xml:space="preserve">Q1: </w:t>
            </w:r>
            <w:r w:rsidRPr="0077648B">
              <w:rPr>
                <w:sz w:val="22"/>
                <w:szCs w:val="22"/>
                <w:lang w:val="en-US"/>
              </w:rPr>
              <w:t>Who should have access to the Guthrie Cards for research purposes?</w:t>
            </w:r>
          </w:p>
        </w:tc>
      </w:tr>
      <w:tr w:rsidR="00DE0269" w:rsidTr="00654E8E">
        <w:tc>
          <w:tcPr>
            <w:tcW w:w="9016" w:type="dxa"/>
          </w:tcPr>
          <w:p w:rsidR="00DE0269" w:rsidRDefault="00DE0269" w:rsidP="00654E8E">
            <w:pPr>
              <w:spacing w:before="100" w:beforeAutospacing="1" w:after="100" w:afterAutospacing="1" w:line="360" w:lineRule="auto"/>
              <w:rPr>
                <w:sz w:val="22"/>
                <w:szCs w:val="22"/>
                <w:lang w:val="en-US"/>
              </w:rPr>
            </w:pPr>
            <w:r>
              <w:rPr>
                <w:sz w:val="22"/>
                <w:szCs w:val="22"/>
                <w:lang w:val="en-US"/>
              </w:rPr>
              <w:t xml:space="preserve">Opinion: </w:t>
            </w:r>
            <w:r w:rsidRPr="0077648B">
              <w:rPr>
                <w:sz w:val="22"/>
                <w:szCs w:val="22"/>
                <w:lang w:val="en-US"/>
              </w:rPr>
              <w:t>Access should be granted for the sole use, by a public or private sector organisation, who’s clear rationale meets the stringent guidelines of the ethics committee</w:t>
            </w:r>
            <w:r>
              <w:rPr>
                <w:sz w:val="22"/>
                <w:szCs w:val="22"/>
                <w:lang w:val="en-US"/>
              </w:rPr>
              <w:t>.</w:t>
            </w:r>
          </w:p>
        </w:tc>
      </w:tr>
      <w:tr w:rsidR="00DE0269" w:rsidTr="00654E8E">
        <w:tc>
          <w:tcPr>
            <w:tcW w:w="9016" w:type="dxa"/>
          </w:tcPr>
          <w:p w:rsidR="00DE0269" w:rsidRDefault="00DE0269" w:rsidP="00654E8E">
            <w:pPr>
              <w:spacing w:before="100" w:beforeAutospacing="1" w:after="100" w:afterAutospacing="1" w:line="360" w:lineRule="auto"/>
              <w:rPr>
                <w:sz w:val="22"/>
                <w:szCs w:val="22"/>
                <w:lang w:val="en-US"/>
              </w:rPr>
            </w:pPr>
            <w:r>
              <w:rPr>
                <w:sz w:val="22"/>
                <w:szCs w:val="22"/>
                <w:lang w:val="en-US"/>
              </w:rPr>
              <w:t xml:space="preserve">Q2: </w:t>
            </w:r>
            <w:r w:rsidRPr="0077648B">
              <w:rPr>
                <w:sz w:val="22"/>
                <w:szCs w:val="22"/>
                <w:lang w:val="en-US"/>
              </w:rPr>
              <w:t xml:space="preserve">For what purposes should research access be granted? </w:t>
            </w:r>
          </w:p>
        </w:tc>
      </w:tr>
      <w:tr w:rsidR="00DE0269" w:rsidTr="00654E8E">
        <w:tc>
          <w:tcPr>
            <w:tcW w:w="9016" w:type="dxa"/>
          </w:tcPr>
          <w:p w:rsidR="00DE0269" w:rsidRDefault="00DE0269" w:rsidP="00654E8E">
            <w:pPr>
              <w:spacing w:before="100" w:beforeAutospacing="1" w:after="100" w:afterAutospacing="1" w:line="360" w:lineRule="auto"/>
              <w:rPr>
                <w:sz w:val="22"/>
                <w:szCs w:val="22"/>
                <w:lang w:val="en-US"/>
              </w:rPr>
            </w:pPr>
            <w:r w:rsidRPr="0077648B">
              <w:rPr>
                <w:sz w:val="22"/>
                <w:szCs w:val="22"/>
                <w:lang w:val="en-US"/>
              </w:rPr>
              <w:t>The primary purpose should be to advance medical research for the good of public health, through analysis of historical, curre</w:t>
            </w:r>
            <w:r>
              <w:rPr>
                <w:sz w:val="22"/>
                <w:szCs w:val="22"/>
                <w:lang w:val="en-US"/>
              </w:rPr>
              <w:t>nt and future data.</w:t>
            </w:r>
          </w:p>
        </w:tc>
      </w:tr>
      <w:tr w:rsidR="00DE0269" w:rsidTr="00654E8E">
        <w:tc>
          <w:tcPr>
            <w:tcW w:w="9016" w:type="dxa"/>
          </w:tcPr>
          <w:p w:rsidR="00DE0269" w:rsidRDefault="00DE0269" w:rsidP="00654E8E">
            <w:pPr>
              <w:spacing w:before="100" w:beforeAutospacing="1" w:after="100" w:afterAutospacing="1" w:line="360" w:lineRule="auto"/>
              <w:rPr>
                <w:sz w:val="22"/>
                <w:szCs w:val="22"/>
                <w:lang w:val="en-US"/>
              </w:rPr>
            </w:pPr>
            <w:r>
              <w:rPr>
                <w:sz w:val="22"/>
                <w:szCs w:val="22"/>
                <w:lang w:val="en-US"/>
              </w:rPr>
              <w:t xml:space="preserve">Q3: </w:t>
            </w:r>
            <w:r w:rsidRPr="00BA3036">
              <w:rPr>
                <w:sz w:val="22"/>
                <w:szCs w:val="22"/>
                <w:lang w:val="en-US"/>
              </w:rPr>
              <w:t>What form of regulation and oversight would be required?</w:t>
            </w:r>
          </w:p>
        </w:tc>
      </w:tr>
      <w:tr w:rsidR="00DE0269" w:rsidTr="00654E8E">
        <w:tc>
          <w:tcPr>
            <w:tcW w:w="9016" w:type="dxa"/>
          </w:tcPr>
          <w:p w:rsidR="00DE0269" w:rsidRDefault="00DE0269" w:rsidP="00654E8E">
            <w:pPr>
              <w:spacing w:before="100" w:beforeAutospacing="1" w:after="100" w:afterAutospacing="1" w:line="360" w:lineRule="auto"/>
              <w:rPr>
                <w:sz w:val="22"/>
                <w:szCs w:val="22"/>
                <w:lang w:val="en-US"/>
              </w:rPr>
            </w:pPr>
            <w:r>
              <w:rPr>
                <w:sz w:val="22"/>
                <w:szCs w:val="22"/>
                <w:lang w:val="en-US"/>
              </w:rPr>
              <w:t>Opinion: A</w:t>
            </w:r>
            <w:r w:rsidRPr="00BA3036">
              <w:rPr>
                <w:sz w:val="22"/>
                <w:szCs w:val="22"/>
                <w:lang w:val="en-US"/>
              </w:rPr>
              <w:t>n independent body, based on the Danish model (which includes a bio-centre management group, ethics committee and a data privacy committee), that is independent of government and data users, and able to issue sanctions for misuse</w:t>
            </w:r>
            <w:r>
              <w:rPr>
                <w:sz w:val="22"/>
                <w:szCs w:val="22"/>
                <w:lang w:val="en-US"/>
              </w:rPr>
              <w:t>.</w:t>
            </w:r>
          </w:p>
        </w:tc>
      </w:tr>
      <w:tr w:rsidR="00DE0269" w:rsidTr="00654E8E">
        <w:tc>
          <w:tcPr>
            <w:tcW w:w="9016" w:type="dxa"/>
          </w:tcPr>
          <w:p w:rsidR="00DE0269" w:rsidRDefault="00DE0269" w:rsidP="00654E8E">
            <w:pPr>
              <w:spacing w:before="100" w:beforeAutospacing="1" w:after="100" w:afterAutospacing="1" w:line="360" w:lineRule="auto"/>
              <w:rPr>
                <w:sz w:val="22"/>
                <w:szCs w:val="22"/>
                <w:lang w:val="en-US"/>
              </w:rPr>
            </w:pPr>
            <w:r>
              <w:rPr>
                <w:sz w:val="22"/>
                <w:szCs w:val="22"/>
                <w:lang w:val="en-US"/>
              </w:rPr>
              <w:t xml:space="preserve">Q4: </w:t>
            </w:r>
            <w:r w:rsidRPr="00BA3036">
              <w:rPr>
                <w:sz w:val="22"/>
                <w:szCs w:val="22"/>
                <w:lang w:val="en-US"/>
              </w:rPr>
              <w:t xml:space="preserve">Should any form of consent be sought and, if so, how would this work? </w:t>
            </w:r>
          </w:p>
        </w:tc>
      </w:tr>
      <w:tr w:rsidR="00DE0269" w:rsidTr="00654E8E">
        <w:tc>
          <w:tcPr>
            <w:tcW w:w="9016" w:type="dxa"/>
          </w:tcPr>
          <w:p w:rsidR="00DE0269" w:rsidRDefault="00DE0269" w:rsidP="00654E8E">
            <w:pPr>
              <w:spacing w:before="100" w:beforeAutospacing="1" w:after="100" w:afterAutospacing="1" w:line="360" w:lineRule="auto"/>
              <w:rPr>
                <w:sz w:val="22"/>
                <w:szCs w:val="22"/>
                <w:lang w:val="en-US"/>
              </w:rPr>
            </w:pPr>
            <w:r>
              <w:rPr>
                <w:sz w:val="22"/>
                <w:szCs w:val="22"/>
                <w:lang w:val="en-US"/>
              </w:rPr>
              <w:t>Opinion: T</w:t>
            </w:r>
            <w:r w:rsidRPr="00BA3036">
              <w:rPr>
                <w:sz w:val="22"/>
                <w:szCs w:val="22"/>
                <w:lang w:val="en-US"/>
              </w:rPr>
              <w:t>here should be a universal [automatic] opt-in system, with the option to opt-out within one year or from the age of 16 The dead are automatically opted-in, with no consent necessary. Parents should be made aware of these conditions before their baby is born</w:t>
            </w:r>
            <w:r>
              <w:rPr>
                <w:sz w:val="22"/>
                <w:szCs w:val="22"/>
                <w:lang w:val="en-US"/>
              </w:rPr>
              <w:t>.</w:t>
            </w:r>
          </w:p>
        </w:tc>
      </w:tr>
      <w:tr w:rsidR="00DE0269" w:rsidTr="00654E8E">
        <w:tc>
          <w:tcPr>
            <w:tcW w:w="9016" w:type="dxa"/>
          </w:tcPr>
          <w:p w:rsidR="00DE0269" w:rsidRDefault="00DE0269" w:rsidP="00654E8E">
            <w:pPr>
              <w:spacing w:before="100" w:beforeAutospacing="1" w:after="100" w:afterAutospacing="1" w:line="360" w:lineRule="auto"/>
              <w:rPr>
                <w:sz w:val="22"/>
                <w:szCs w:val="22"/>
                <w:lang w:val="en-US"/>
              </w:rPr>
            </w:pPr>
            <w:r>
              <w:rPr>
                <w:sz w:val="22"/>
                <w:szCs w:val="22"/>
                <w:lang w:val="en-US"/>
              </w:rPr>
              <w:t xml:space="preserve">Q5: </w:t>
            </w:r>
            <w:r w:rsidRPr="007D67AB">
              <w:rPr>
                <w:sz w:val="22"/>
                <w:szCs w:val="22"/>
                <w:lang w:val="en-US"/>
              </w:rPr>
              <w:t xml:space="preserve">Whether and how the public might be involved in the process? </w:t>
            </w:r>
          </w:p>
        </w:tc>
      </w:tr>
      <w:tr w:rsidR="00DE0269" w:rsidTr="00654E8E">
        <w:tc>
          <w:tcPr>
            <w:tcW w:w="9016" w:type="dxa"/>
          </w:tcPr>
          <w:p w:rsidR="00DE0269" w:rsidRDefault="00DE0269" w:rsidP="00654E8E">
            <w:pPr>
              <w:spacing w:before="100" w:beforeAutospacing="1" w:after="100" w:afterAutospacing="1" w:line="360" w:lineRule="auto"/>
              <w:rPr>
                <w:sz w:val="22"/>
                <w:szCs w:val="22"/>
                <w:lang w:val="en-US"/>
              </w:rPr>
            </w:pPr>
            <w:r>
              <w:rPr>
                <w:sz w:val="22"/>
                <w:szCs w:val="22"/>
                <w:lang w:val="en-US"/>
              </w:rPr>
              <w:t xml:space="preserve">Opinion: </w:t>
            </w:r>
            <w:r w:rsidRPr="007D67AB">
              <w:rPr>
                <w:sz w:val="22"/>
                <w:szCs w:val="22"/>
                <w:lang w:val="en-US"/>
              </w:rPr>
              <w:t>Here there was consensus that once consent for research had been obtained there was no further need for public involvement, that parents should be well informed and that a website could communicate about research and outcomes.</w:t>
            </w:r>
          </w:p>
        </w:tc>
      </w:tr>
    </w:tbl>
    <w:p w:rsidR="00DE0269" w:rsidRDefault="00DE0269" w:rsidP="00DE0269">
      <w:pPr>
        <w:spacing w:before="100" w:beforeAutospacing="1" w:after="100" w:afterAutospacing="1" w:line="360" w:lineRule="auto"/>
        <w:rPr>
          <w:sz w:val="22"/>
          <w:szCs w:val="22"/>
          <w:lang w:val="en-US"/>
        </w:rPr>
      </w:pPr>
    </w:p>
    <w:p w:rsidR="00DE0269" w:rsidRDefault="00DE0269" w:rsidP="00DE0269">
      <w:pPr>
        <w:spacing w:before="100" w:beforeAutospacing="1" w:after="100" w:afterAutospacing="1" w:line="360" w:lineRule="auto"/>
        <w:rPr>
          <w:sz w:val="22"/>
          <w:szCs w:val="22"/>
          <w:lang w:val="en-US"/>
        </w:rPr>
      </w:pPr>
    </w:p>
    <w:p w:rsidR="00DE0269" w:rsidRDefault="00DE0269" w:rsidP="00DE0269">
      <w:pPr>
        <w:rPr>
          <w:b/>
          <w:sz w:val="22"/>
          <w:szCs w:val="22"/>
        </w:rPr>
      </w:pPr>
      <w:r>
        <w:rPr>
          <w:b/>
          <w:sz w:val="22"/>
          <w:szCs w:val="22"/>
        </w:rPr>
        <w:br w:type="page"/>
      </w:r>
    </w:p>
    <w:p w:rsidR="00DE0269" w:rsidRPr="00FB1F78" w:rsidRDefault="00DE0269" w:rsidP="00DE0269">
      <w:pPr>
        <w:spacing w:before="100" w:beforeAutospacing="1" w:after="100" w:afterAutospacing="1" w:line="360" w:lineRule="auto"/>
        <w:rPr>
          <w:b/>
          <w:sz w:val="22"/>
          <w:szCs w:val="22"/>
        </w:rPr>
      </w:pPr>
      <w:r w:rsidRPr="00FB1F78">
        <w:rPr>
          <w:b/>
          <w:sz w:val="22"/>
          <w:szCs w:val="22"/>
        </w:rPr>
        <w:lastRenderedPageBreak/>
        <w:t>S</w:t>
      </w:r>
      <w:r>
        <w:rPr>
          <w:b/>
          <w:sz w:val="22"/>
          <w:szCs w:val="22"/>
        </w:rPr>
        <w:t xml:space="preserve">I </w:t>
      </w:r>
      <w:r w:rsidRPr="00AF3D84">
        <w:rPr>
          <w:b/>
          <w:sz w:val="22"/>
          <w:szCs w:val="22"/>
        </w:rPr>
        <w:t xml:space="preserve">Table </w:t>
      </w:r>
      <w:r>
        <w:rPr>
          <w:b/>
          <w:sz w:val="22"/>
          <w:szCs w:val="22"/>
        </w:rPr>
        <w:t>2</w:t>
      </w:r>
      <w:r w:rsidRPr="00AF3D84">
        <w:rPr>
          <w:b/>
          <w:sz w:val="22"/>
          <w:szCs w:val="22"/>
        </w:rPr>
        <w:t>: Mean (SD) DNA methylation levels at “rs” probes for each genotype group derived from SNP profiling.</w:t>
      </w:r>
    </w:p>
    <w:p w:rsidR="00DE0269" w:rsidRPr="0097146D" w:rsidRDefault="00DE0269" w:rsidP="00DE0269">
      <w:pPr>
        <w:spacing w:before="100" w:beforeAutospacing="1" w:after="100" w:afterAutospacing="1" w:line="360" w:lineRule="auto"/>
        <w:rPr>
          <w:b/>
          <w:sz w:val="22"/>
          <w:szCs w:val="22"/>
          <w:u w:val="single"/>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254"/>
        <w:gridCol w:w="2254"/>
        <w:gridCol w:w="2254"/>
        <w:gridCol w:w="2254"/>
      </w:tblGrid>
      <w:tr w:rsidR="00DE0269" w:rsidRPr="0097146D" w:rsidTr="00654E8E">
        <w:tc>
          <w:tcPr>
            <w:tcW w:w="2254" w:type="dxa"/>
            <w:vAlign w:val="center"/>
          </w:tcPr>
          <w:p w:rsidR="00DE0269" w:rsidRPr="0097146D" w:rsidRDefault="00DE0269" w:rsidP="00654E8E">
            <w:pPr>
              <w:spacing w:before="100" w:beforeAutospacing="1" w:after="100" w:afterAutospacing="1" w:line="360" w:lineRule="auto"/>
              <w:rPr>
                <w:b/>
                <w:sz w:val="22"/>
                <w:szCs w:val="22"/>
                <w:u w:val="single"/>
              </w:rPr>
            </w:pPr>
            <w:r w:rsidRPr="0097146D">
              <w:rPr>
                <w:b/>
                <w:sz w:val="22"/>
                <w:szCs w:val="22"/>
                <w:u w:val="single"/>
              </w:rPr>
              <w:t>SNP</w:t>
            </w:r>
          </w:p>
        </w:tc>
        <w:tc>
          <w:tcPr>
            <w:tcW w:w="2254" w:type="dxa"/>
            <w:vAlign w:val="center"/>
          </w:tcPr>
          <w:p w:rsidR="00DE0269" w:rsidRPr="0097146D" w:rsidRDefault="00DE0269" w:rsidP="00654E8E">
            <w:pPr>
              <w:spacing w:before="100" w:beforeAutospacing="1" w:after="100" w:afterAutospacing="1" w:line="360" w:lineRule="auto"/>
              <w:rPr>
                <w:b/>
                <w:sz w:val="22"/>
                <w:szCs w:val="22"/>
                <w:u w:val="single"/>
              </w:rPr>
            </w:pPr>
            <w:r w:rsidRPr="0097146D">
              <w:rPr>
                <w:b/>
                <w:sz w:val="22"/>
                <w:szCs w:val="22"/>
                <w:u w:val="single"/>
              </w:rPr>
              <w:t>Mean (SD) DNAm AA</w:t>
            </w:r>
          </w:p>
        </w:tc>
        <w:tc>
          <w:tcPr>
            <w:tcW w:w="2254" w:type="dxa"/>
            <w:vAlign w:val="center"/>
          </w:tcPr>
          <w:p w:rsidR="00DE0269" w:rsidRPr="0097146D" w:rsidRDefault="00DE0269" w:rsidP="00654E8E">
            <w:pPr>
              <w:spacing w:before="100" w:beforeAutospacing="1" w:after="100" w:afterAutospacing="1" w:line="360" w:lineRule="auto"/>
              <w:rPr>
                <w:b/>
                <w:sz w:val="22"/>
                <w:szCs w:val="22"/>
                <w:u w:val="single"/>
              </w:rPr>
            </w:pPr>
            <w:r w:rsidRPr="0097146D">
              <w:rPr>
                <w:b/>
                <w:sz w:val="22"/>
                <w:szCs w:val="22"/>
                <w:u w:val="single"/>
              </w:rPr>
              <w:t>Mean (SD) DNAm AB</w:t>
            </w:r>
          </w:p>
        </w:tc>
        <w:tc>
          <w:tcPr>
            <w:tcW w:w="2254" w:type="dxa"/>
            <w:vAlign w:val="center"/>
          </w:tcPr>
          <w:p w:rsidR="00DE0269" w:rsidRPr="0097146D" w:rsidRDefault="00DE0269" w:rsidP="00654E8E">
            <w:pPr>
              <w:spacing w:before="100" w:beforeAutospacing="1" w:after="100" w:afterAutospacing="1" w:line="360" w:lineRule="auto"/>
              <w:rPr>
                <w:b/>
                <w:sz w:val="22"/>
                <w:szCs w:val="22"/>
                <w:u w:val="single"/>
              </w:rPr>
            </w:pPr>
            <w:r w:rsidRPr="0097146D">
              <w:rPr>
                <w:b/>
                <w:sz w:val="22"/>
                <w:szCs w:val="22"/>
                <w:u w:val="single"/>
              </w:rPr>
              <w:t>Mean (SD) DNAm BB</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rs877309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0.0251 (0.0129)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0.46 (0.0561)</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0.863 (0.0296)</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rs11249206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0.0311 (0.014)</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0.407 (0.044)</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0.86 (0.0198)</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rs654498</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0.448 (0.124)</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0.474 (0.119)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0.516 (0.116)</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rs715359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0.953 (0.0224)</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0.459 (0.144)</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0.0511 (0.00765)</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rs6426327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0.065 (0.0219)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0.47 (0.0706)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 xml:space="preserve">- </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rs6546473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0.0474 (0.0189)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0.443 (0.0682)</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0.819 (0.0111)</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rs264581</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0.058 (0.0626)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0.386 (0.0513)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0.73 (0.123)</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rs2125573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0.103 (0.0582)</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0.49 (0.0872)</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0.782 (0.0748)</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rs9292570</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0.426 (0.113)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0.494 (0.079)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0.668 (0.0689)</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rs348937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0.611 (0.131)</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0.333 (0.0509)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0.12 (0.0382)</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rs9363764</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0.799 (0.0446)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0.415 (0.121)</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0.0611 (0.019)</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rs10457834</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0.741 (0.0703)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0.487 (0.0785)</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0.109 (0.019)</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rs6982811</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0.103 (0.0691)</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0.413 (0.0547)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0.785 (0.0553)</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rs6471533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0.772 (0.282)</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0.521 (0.207)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0.0524 (0.009)</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rs472920</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0.799 (0.0435)</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0.468 (0.0898)</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0.0985 (0.0211)</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rs2385226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0.853 (0.18)</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0.376 (0.0837)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0.0807 (0.0483)</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rs4742386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0.835 (0.0587)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0.419 (0.117)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0.156 (0.181)</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rs10796216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0.588 (0.146)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0.462 (0.0967)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0.413 (0.0837)</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rs11034952</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0.0963 (0.0349)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0.49 (0.123)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0.953 (0.00998)</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rs2468330</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0.0391 (0.0166)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0.43 (0.0719)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0.85 (0.046)</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rs951295</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0.0619 (0.00981)</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0.571 (0.0576)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0.948 (0.0188)</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rs2959823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0.749 (0.0864)</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0.448 (0.0527)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0.195 (0.12)</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rs1941955</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0.83 (0.0448)</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0.339 (0.0681)</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0.0783 (0.0607)</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rs2235751</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0.0427 (0.0163)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0.385 (0.0558)</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0.83 (0.0183)</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rs1467387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0.0767 (0.0289)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0.412 (0.0847)</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0.705 (-)</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rs739259</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0.0484 (0.0266)</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0.405 (0.0618)</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0.814 (0.0223)</w:t>
            </w:r>
          </w:p>
        </w:tc>
      </w:tr>
      <w:tr w:rsidR="00DE0269" w:rsidRPr="0097146D" w:rsidTr="00654E8E">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rs2208123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0.543 (0.103)</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0.468 (0.091)</w:t>
            </w:r>
          </w:p>
        </w:tc>
        <w:tc>
          <w:tcPr>
            <w:tcW w:w="2254" w:type="dxa"/>
            <w:vAlign w:val="center"/>
          </w:tcPr>
          <w:p w:rsidR="00DE0269" w:rsidRPr="0007598E" w:rsidRDefault="00DE0269" w:rsidP="00654E8E">
            <w:pPr>
              <w:spacing w:before="100" w:beforeAutospacing="1" w:after="100" w:afterAutospacing="1" w:line="360" w:lineRule="auto"/>
              <w:rPr>
                <w:sz w:val="22"/>
                <w:szCs w:val="22"/>
              </w:rPr>
            </w:pPr>
            <w:r w:rsidRPr="0007598E">
              <w:rPr>
                <w:sz w:val="22"/>
                <w:szCs w:val="22"/>
              </w:rPr>
              <w:t>0.428 (0.0577)</w:t>
            </w:r>
          </w:p>
        </w:tc>
      </w:tr>
    </w:tbl>
    <w:p w:rsidR="00DE0269" w:rsidRDefault="00DE0269" w:rsidP="00DE0269">
      <w:pPr>
        <w:spacing w:before="100" w:beforeAutospacing="1" w:after="100" w:afterAutospacing="1"/>
        <w:rPr>
          <w:b/>
          <w:sz w:val="22"/>
          <w:szCs w:val="22"/>
        </w:rPr>
      </w:pPr>
    </w:p>
    <w:p w:rsidR="00DE0269" w:rsidRPr="00AE2348" w:rsidRDefault="00DE0269" w:rsidP="00DE0269">
      <w:pPr>
        <w:rPr>
          <w:b/>
          <w:sz w:val="22"/>
          <w:szCs w:val="22"/>
        </w:rPr>
      </w:pPr>
      <w:r>
        <w:rPr>
          <w:b/>
          <w:sz w:val="22"/>
          <w:szCs w:val="22"/>
        </w:rPr>
        <w:br w:type="page"/>
      </w:r>
      <w:r w:rsidRPr="00AE2348">
        <w:rPr>
          <w:b/>
          <w:sz w:val="22"/>
          <w:szCs w:val="22"/>
        </w:rPr>
        <w:lastRenderedPageBreak/>
        <w:t>Supplementary Information</w:t>
      </w:r>
      <w:r>
        <w:rPr>
          <w:b/>
          <w:sz w:val="22"/>
          <w:szCs w:val="22"/>
        </w:rPr>
        <w:t xml:space="preserve"> Figures</w:t>
      </w:r>
    </w:p>
    <w:p w:rsidR="00DE0269" w:rsidRPr="00AE2348" w:rsidRDefault="00DE0269" w:rsidP="00DE0269">
      <w:pPr>
        <w:rPr>
          <w:b/>
          <w:sz w:val="22"/>
          <w:szCs w:val="22"/>
        </w:rPr>
      </w:pPr>
      <w:r w:rsidRPr="00AE2348">
        <w:rPr>
          <w:b/>
          <w:sz w:val="22"/>
          <w:szCs w:val="22"/>
        </w:rPr>
        <w:t>SI Figure 1 Guthrie card archive</w:t>
      </w:r>
    </w:p>
    <w:p w:rsidR="00DE0269" w:rsidRPr="00AE2348" w:rsidRDefault="00DE0269" w:rsidP="00DE0269">
      <w:pPr>
        <w:rPr>
          <w:b/>
          <w:sz w:val="22"/>
          <w:szCs w:val="22"/>
        </w:rPr>
      </w:pPr>
      <w:r w:rsidRPr="00AE2348">
        <w:rPr>
          <w:b/>
          <w:sz w:val="22"/>
          <w:szCs w:val="22"/>
        </w:rPr>
        <w:t>SI Figure 1A Guthrie card archive: main box, bar coded</w:t>
      </w:r>
    </w:p>
    <w:p w:rsidR="00DE0269" w:rsidRDefault="00DE0269" w:rsidP="00DE0269">
      <w:pPr>
        <w:rPr>
          <w:b/>
          <w:sz w:val="22"/>
          <w:szCs w:val="22"/>
        </w:rPr>
      </w:pPr>
      <w:r w:rsidRPr="00AE2348">
        <w:rPr>
          <w:b/>
          <w:noProof/>
          <w:sz w:val="22"/>
          <w:szCs w:val="22"/>
          <w:lang w:val="en-US"/>
        </w:rPr>
        <w:drawing>
          <wp:inline distT="0" distB="0" distL="0" distR="0" wp14:anchorId="0AAC6FFA" wp14:editId="1450834B">
            <wp:extent cx="2171700" cy="1628896"/>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x from iron mountain containing the Guthrie cards .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01353" cy="1651138"/>
                    </a:xfrm>
                    <a:prstGeom prst="rect">
                      <a:avLst/>
                    </a:prstGeom>
                  </pic:spPr>
                </pic:pic>
              </a:graphicData>
            </a:graphic>
          </wp:inline>
        </w:drawing>
      </w:r>
    </w:p>
    <w:p w:rsidR="00DE0269" w:rsidRPr="00AE2348" w:rsidRDefault="00DE0269" w:rsidP="00DE0269">
      <w:pPr>
        <w:rPr>
          <w:b/>
          <w:sz w:val="22"/>
          <w:szCs w:val="22"/>
        </w:rPr>
      </w:pPr>
      <w:r w:rsidRPr="00AE2348">
        <w:rPr>
          <w:b/>
          <w:sz w:val="22"/>
          <w:szCs w:val="22"/>
        </w:rPr>
        <w:t>SI Figure 1B Guthrie card archive: sub-box, labelled</w:t>
      </w:r>
    </w:p>
    <w:p w:rsidR="00DE0269" w:rsidRPr="00AE2348" w:rsidRDefault="00DE0269" w:rsidP="00DE0269">
      <w:pPr>
        <w:rPr>
          <w:b/>
          <w:sz w:val="22"/>
          <w:szCs w:val="22"/>
        </w:rPr>
      </w:pPr>
      <w:r w:rsidRPr="00AE2348">
        <w:rPr>
          <w:b/>
          <w:noProof/>
          <w:sz w:val="22"/>
          <w:szCs w:val="22"/>
          <w:lang w:val="en-US"/>
        </w:rPr>
        <w:drawing>
          <wp:inline distT="0" distB="0" distL="0" distR="0" wp14:anchorId="6FC993EF" wp14:editId="233D20CD">
            <wp:extent cx="2171700" cy="1628896"/>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side main box .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90523" cy="1643014"/>
                    </a:xfrm>
                    <a:prstGeom prst="rect">
                      <a:avLst/>
                    </a:prstGeom>
                  </pic:spPr>
                </pic:pic>
              </a:graphicData>
            </a:graphic>
          </wp:inline>
        </w:drawing>
      </w:r>
    </w:p>
    <w:p w:rsidR="00DE0269" w:rsidRPr="00AE2348" w:rsidRDefault="00DE0269" w:rsidP="00DE0269">
      <w:pPr>
        <w:rPr>
          <w:b/>
          <w:sz w:val="22"/>
          <w:szCs w:val="22"/>
        </w:rPr>
      </w:pPr>
      <w:r w:rsidRPr="00AE2348">
        <w:rPr>
          <w:b/>
          <w:sz w:val="22"/>
          <w:szCs w:val="22"/>
        </w:rPr>
        <w:t>SI Figure 1C Guthrie card archive: sub-box, date labelled bundles</w:t>
      </w:r>
    </w:p>
    <w:p w:rsidR="00DE0269" w:rsidRPr="00AE2348" w:rsidRDefault="00DE0269" w:rsidP="00DE0269">
      <w:pPr>
        <w:rPr>
          <w:b/>
          <w:sz w:val="22"/>
          <w:szCs w:val="22"/>
        </w:rPr>
      </w:pPr>
      <w:r w:rsidRPr="00AE2348">
        <w:rPr>
          <w:b/>
          <w:noProof/>
          <w:sz w:val="22"/>
          <w:szCs w:val="22"/>
          <w:lang w:val="en-US"/>
        </w:rPr>
        <w:drawing>
          <wp:inline distT="0" distB="0" distL="0" distR="0" wp14:anchorId="7B201E61" wp14:editId="1A3A5B23">
            <wp:extent cx="2175774" cy="163195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nside of sub box .JPG"/>
                    <pic:cNvPicPr/>
                  </pic:nvPicPr>
                  <pic:blipFill>
                    <a:blip r:embed="rId6" cstate="print">
                      <a:extLst>
                        <a:ext uri="{28A0092B-C50C-407E-A947-70E740481C1C}">
                          <a14:useLocalDpi xmlns:a14="http://schemas.microsoft.com/office/drawing/2010/main" val="0"/>
                        </a:ext>
                      </a:extLst>
                    </a:blip>
                    <a:stretch>
                      <a:fillRect/>
                    </a:stretch>
                  </pic:blipFill>
                  <pic:spPr>
                    <a:xfrm rot="10800000">
                      <a:off x="0" y="0"/>
                      <a:ext cx="2202717" cy="1652159"/>
                    </a:xfrm>
                    <a:prstGeom prst="rect">
                      <a:avLst/>
                    </a:prstGeom>
                  </pic:spPr>
                </pic:pic>
              </a:graphicData>
            </a:graphic>
          </wp:inline>
        </w:drawing>
      </w:r>
    </w:p>
    <w:p w:rsidR="00DE0269" w:rsidRPr="00AE2348" w:rsidRDefault="00DE0269" w:rsidP="00DE0269">
      <w:pPr>
        <w:rPr>
          <w:b/>
          <w:sz w:val="22"/>
          <w:szCs w:val="22"/>
        </w:rPr>
      </w:pPr>
      <w:r w:rsidRPr="00AE2348">
        <w:rPr>
          <w:b/>
          <w:sz w:val="22"/>
          <w:szCs w:val="22"/>
        </w:rPr>
        <w:t>SI Figure 1D Bundle Guthrie card archive: main box, unmarked bundles</w:t>
      </w:r>
    </w:p>
    <w:p w:rsidR="00DE0269" w:rsidRPr="00AE2348" w:rsidRDefault="00DE0269" w:rsidP="00DE0269">
      <w:pPr>
        <w:rPr>
          <w:b/>
          <w:sz w:val="22"/>
          <w:szCs w:val="22"/>
        </w:rPr>
      </w:pPr>
      <w:r w:rsidRPr="00AE2348">
        <w:rPr>
          <w:b/>
          <w:noProof/>
          <w:sz w:val="22"/>
          <w:szCs w:val="22"/>
          <w:lang w:val="en-US"/>
        </w:rPr>
        <w:drawing>
          <wp:inline distT="0" distB="0" distL="0" distR="0" wp14:anchorId="4BC716C5" wp14:editId="2FC1613A">
            <wp:extent cx="2171700" cy="1631289"/>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9008" cy="1644290"/>
                    </a:xfrm>
                    <a:prstGeom prst="rect">
                      <a:avLst/>
                    </a:prstGeom>
                    <a:noFill/>
                  </pic:spPr>
                </pic:pic>
              </a:graphicData>
            </a:graphic>
          </wp:inline>
        </w:drawing>
      </w:r>
    </w:p>
    <w:p w:rsidR="00DE0269" w:rsidRPr="00AE2348" w:rsidRDefault="00DE0269" w:rsidP="00DE0269">
      <w:pPr>
        <w:rPr>
          <w:b/>
          <w:sz w:val="22"/>
          <w:szCs w:val="22"/>
        </w:rPr>
      </w:pPr>
      <w:r w:rsidRPr="00AE2348">
        <w:rPr>
          <w:b/>
          <w:sz w:val="22"/>
          <w:szCs w:val="22"/>
        </w:rPr>
        <w:br w:type="page"/>
      </w:r>
    </w:p>
    <w:p w:rsidR="00DE0269" w:rsidRPr="00AE2348" w:rsidRDefault="00DE0269" w:rsidP="00DE0269">
      <w:pPr>
        <w:rPr>
          <w:b/>
          <w:sz w:val="22"/>
          <w:szCs w:val="22"/>
        </w:rPr>
      </w:pPr>
      <w:r w:rsidRPr="00AE2348">
        <w:rPr>
          <w:b/>
          <w:sz w:val="22"/>
          <w:szCs w:val="22"/>
        </w:rPr>
        <w:lastRenderedPageBreak/>
        <w:t>SI Figure 2 Guthrie card blood spot sampling</w:t>
      </w:r>
    </w:p>
    <w:p w:rsidR="00DE0269" w:rsidRPr="00AE2348" w:rsidRDefault="00DE0269" w:rsidP="00DE0269">
      <w:pPr>
        <w:rPr>
          <w:b/>
          <w:sz w:val="22"/>
          <w:szCs w:val="22"/>
        </w:rPr>
      </w:pPr>
      <w:r w:rsidRPr="00AE2348">
        <w:rPr>
          <w:b/>
          <w:sz w:val="22"/>
          <w:szCs w:val="22"/>
        </w:rPr>
        <w:t>SI Figure 2A Guthrie card blood spot not useable for feasibility study</w:t>
      </w:r>
    </w:p>
    <w:p w:rsidR="00DE0269" w:rsidRPr="00AE2348" w:rsidRDefault="00DE0269" w:rsidP="00DE0269">
      <w:pPr>
        <w:rPr>
          <w:b/>
          <w:sz w:val="22"/>
          <w:szCs w:val="22"/>
        </w:rPr>
      </w:pPr>
      <w:r w:rsidRPr="00AE2348">
        <w:rPr>
          <w:b/>
          <w:noProof/>
          <w:sz w:val="22"/>
          <w:szCs w:val="22"/>
          <w:lang w:val="en-US"/>
        </w:rPr>
        <w:drawing>
          <wp:inline distT="0" distB="0" distL="0" distR="0" wp14:anchorId="28BBC9DC" wp14:editId="473BC3F4">
            <wp:extent cx="5537053" cy="2162755"/>
            <wp:effectExtent l="0" t="0" r="698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usable cropped.PNG"/>
                    <pic:cNvPicPr/>
                  </pic:nvPicPr>
                  <pic:blipFill>
                    <a:blip r:embed="rId8">
                      <a:extLst>
                        <a:ext uri="{28A0092B-C50C-407E-A947-70E740481C1C}">
                          <a14:useLocalDpi xmlns:a14="http://schemas.microsoft.com/office/drawing/2010/main" val="0"/>
                        </a:ext>
                      </a:extLst>
                    </a:blip>
                    <a:stretch>
                      <a:fillRect/>
                    </a:stretch>
                  </pic:blipFill>
                  <pic:spPr>
                    <a:xfrm>
                      <a:off x="0" y="0"/>
                      <a:ext cx="5704585" cy="2228193"/>
                    </a:xfrm>
                    <a:prstGeom prst="rect">
                      <a:avLst/>
                    </a:prstGeom>
                  </pic:spPr>
                </pic:pic>
              </a:graphicData>
            </a:graphic>
          </wp:inline>
        </w:drawing>
      </w:r>
    </w:p>
    <w:p w:rsidR="00DE0269" w:rsidRPr="00B41123" w:rsidRDefault="00DE0269" w:rsidP="00DE0269">
      <w:pPr>
        <w:rPr>
          <w:sz w:val="22"/>
          <w:szCs w:val="22"/>
        </w:rPr>
      </w:pPr>
      <w:r w:rsidRPr="00B41123">
        <w:rPr>
          <w:sz w:val="22"/>
          <w:szCs w:val="22"/>
        </w:rPr>
        <w:t>Legend: All four spots had been sampled previously, excluding use in this feasibility study on account of the requirement set by the Caldicott Guardians that one spot remained untouched.</w:t>
      </w:r>
    </w:p>
    <w:p w:rsidR="00DE0269" w:rsidRPr="00AE2348" w:rsidRDefault="00DE0269" w:rsidP="00DE0269">
      <w:pPr>
        <w:rPr>
          <w:b/>
          <w:sz w:val="22"/>
          <w:szCs w:val="22"/>
        </w:rPr>
      </w:pPr>
    </w:p>
    <w:p w:rsidR="00DE0269" w:rsidRPr="00AE2348" w:rsidRDefault="00DE0269" w:rsidP="00DE0269">
      <w:pPr>
        <w:rPr>
          <w:b/>
          <w:sz w:val="22"/>
          <w:szCs w:val="22"/>
        </w:rPr>
      </w:pPr>
      <w:r w:rsidRPr="00AE2348">
        <w:rPr>
          <w:b/>
          <w:sz w:val="22"/>
          <w:szCs w:val="22"/>
        </w:rPr>
        <w:t>SI Figure 2 Guthrie card blood spot useable for feasibility study and punches taken</w:t>
      </w:r>
    </w:p>
    <w:p w:rsidR="00DE0269" w:rsidRPr="00AE2348" w:rsidRDefault="00DE0269" w:rsidP="00DE0269">
      <w:pPr>
        <w:rPr>
          <w:b/>
          <w:sz w:val="22"/>
          <w:szCs w:val="22"/>
        </w:rPr>
      </w:pPr>
      <w:r w:rsidRPr="00AE2348">
        <w:rPr>
          <w:b/>
          <w:noProof/>
          <w:sz w:val="22"/>
          <w:szCs w:val="22"/>
          <w:lang w:val="en-US"/>
        </w:rPr>
        <w:drawing>
          <wp:inline distT="0" distB="0" distL="0" distR="0" wp14:anchorId="5AD948F9" wp14:editId="5CD1506C">
            <wp:extent cx="5536565" cy="1472164"/>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able cropped.PNG"/>
                    <pic:cNvPicPr/>
                  </pic:nvPicPr>
                  <pic:blipFill>
                    <a:blip r:embed="rId9">
                      <a:extLst>
                        <a:ext uri="{28A0092B-C50C-407E-A947-70E740481C1C}">
                          <a14:useLocalDpi xmlns:a14="http://schemas.microsoft.com/office/drawing/2010/main" val="0"/>
                        </a:ext>
                      </a:extLst>
                    </a:blip>
                    <a:stretch>
                      <a:fillRect/>
                    </a:stretch>
                  </pic:blipFill>
                  <pic:spPr>
                    <a:xfrm>
                      <a:off x="0" y="0"/>
                      <a:ext cx="5553995" cy="1476799"/>
                    </a:xfrm>
                    <a:prstGeom prst="rect">
                      <a:avLst/>
                    </a:prstGeom>
                  </pic:spPr>
                </pic:pic>
              </a:graphicData>
            </a:graphic>
          </wp:inline>
        </w:drawing>
      </w:r>
    </w:p>
    <w:p w:rsidR="00DE0269" w:rsidRPr="00B41123" w:rsidRDefault="00DE0269" w:rsidP="00DE0269">
      <w:pPr>
        <w:rPr>
          <w:sz w:val="22"/>
          <w:szCs w:val="22"/>
        </w:rPr>
      </w:pPr>
      <w:r w:rsidRPr="00B41123">
        <w:rPr>
          <w:sz w:val="22"/>
          <w:szCs w:val="22"/>
        </w:rPr>
        <w:t>Legend: The left hand spot had not been sampled, allowing seven 3mm punches to be taken for the feasibility study.</w:t>
      </w:r>
    </w:p>
    <w:p w:rsidR="00DE0269" w:rsidRPr="00AE2348" w:rsidRDefault="00DE0269" w:rsidP="00DE0269">
      <w:pPr>
        <w:rPr>
          <w:b/>
          <w:sz w:val="22"/>
          <w:szCs w:val="22"/>
        </w:rPr>
      </w:pPr>
    </w:p>
    <w:p w:rsidR="00DE0269" w:rsidRPr="00AE2348" w:rsidRDefault="00DE0269" w:rsidP="00DE0269">
      <w:pPr>
        <w:rPr>
          <w:b/>
          <w:sz w:val="22"/>
          <w:szCs w:val="22"/>
        </w:rPr>
      </w:pPr>
      <w:r w:rsidRPr="00AE2348">
        <w:rPr>
          <w:b/>
          <w:sz w:val="22"/>
          <w:szCs w:val="22"/>
        </w:rPr>
        <w:br w:type="page"/>
      </w:r>
    </w:p>
    <w:p w:rsidR="00DE0269" w:rsidRPr="00AE2348" w:rsidRDefault="00DE0269" w:rsidP="00DE0269">
      <w:pPr>
        <w:rPr>
          <w:b/>
          <w:sz w:val="22"/>
          <w:szCs w:val="22"/>
        </w:rPr>
      </w:pPr>
    </w:p>
    <w:p w:rsidR="00DE0269" w:rsidRPr="00AE2348" w:rsidRDefault="00DE0269" w:rsidP="00DE0269">
      <w:pPr>
        <w:rPr>
          <w:b/>
          <w:sz w:val="22"/>
          <w:szCs w:val="22"/>
        </w:rPr>
      </w:pPr>
    </w:p>
    <w:p w:rsidR="00DE0269" w:rsidRPr="00AE2348" w:rsidRDefault="00DE0269" w:rsidP="00DE0269">
      <w:pPr>
        <w:rPr>
          <w:b/>
          <w:sz w:val="22"/>
          <w:szCs w:val="22"/>
          <w:highlight w:val="yellow"/>
        </w:rPr>
      </w:pPr>
      <w:r w:rsidRPr="00C34627">
        <w:rPr>
          <w:b/>
          <w:sz w:val="22"/>
          <w:szCs w:val="22"/>
        </w:rPr>
        <w:t>SI Figure 3</w:t>
      </w:r>
      <w:r w:rsidRPr="00AF3D84">
        <w:rPr>
          <w:b/>
          <w:sz w:val="22"/>
          <w:szCs w:val="22"/>
        </w:rPr>
        <w:t>: Multidimensional scaling plot of X-chromosome probes coded by sample sex</w:t>
      </w:r>
    </w:p>
    <w:p w:rsidR="00DE0269" w:rsidRDefault="00DE0269" w:rsidP="00DE0269">
      <w:pPr>
        <w:spacing w:before="100" w:beforeAutospacing="1" w:after="100" w:afterAutospacing="1"/>
        <w:rPr>
          <w:b/>
          <w:sz w:val="22"/>
          <w:szCs w:val="22"/>
        </w:rPr>
      </w:pPr>
    </w:p>
    <w:p w:rsidR="00DE0269" w:rsidRDefault="00DE0269" w:rsidP="00DE0269">
      <w:pPr>
        <w:spacing w:before="100" w:beforeAutospacing="1" w:after="100" w:afterAutospacing="1" w:line="360" w:lineRule="auto"/>
        <w:rPr>
          <w:b/>
          <w:sz w:val="22"/>
          <w:szCs w:val="22"/>
        </w:rPr>
      </w:pPr>
      <w:r>
        <w:rPr>
          <w:noProof/>
          <w:lang w:val="en-US"/>
        </w:rPr>
        <w:drawing>
          <wp:inline distT="0" distB="0" distL="0" distR="0" wp14:anchorId="65072283" wp14:editId="5DC3EF47">
            <wp:extent cx="4848447" cy="4398303"/>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51040" cy="4400655"/>
                    </a:xfrm>
                    <a:prstGeom prst="rect">
                      <a:avLst/>
                    </a:prstGeom>
                  </pic:spPr>
                </pic:pic>
              </a:graphicData>
            </a:graphic>
          </wp:inline>
        </w:drawing>
      </w:r>
    </w:p>
    <w:p w:rsidR="00DE0269" w:rsidRPr="00AF3D84" w:rsidRDefault="00DE0269" w:rsidP="00DE0269">
      <w:pPr>
        <w:spacing w:before="100" w:beforeAutospacing="1" w:after="100" w:afterAutospacing="1" w:line="360" w:lineRule="auto"/>
        <w:rPr>
          <w:b/>
          <w:sz w:val="22"/>
          <w:szCs w:val="22"/>
        </w:rPr>
      </w:pPr>
    </w:p>
    <w:p w:rsidR="00DE0269" w:rsidRPr="002E42BA" w:rsidRDefault="00DE0269" w:rsidP="00DE0269">
      <w:pPr>
        <w:spacing w:before="100" w:beforeAutospacing="1" w:after="100" w:afterAutospacing="1"/>
        <w:rPr>
          <w:b/>
          <w:sz w:val="22"/>
          <w:szCs w:val="22"/>
        </w:rPr>
      </w:pPr>
      <w:r>
        <w:rPr>
          <w:b/>
          <w:sz w:val="22"/>
          <w:szCs w:val="22"/>
          <w:highlight w:val="yellow"/>
        </w:rPr>
        <w:br w:type="page"/>
      </w:r>
    </w:p>
    <w:p w:rsidR="00DE0269" w:rsidRPr="00AF3D84" w:rsidRDefault="00DE0269" w:rsidP="00DE0269">
      <w:pPr>
        <w:spacing w:before="100" w:beforeAutospacing="1" w:after="100" w:afterAutospacing="1" w:line="360" w:lineRule="auto"/>
        <w:rPr>
          <w:b/>
          <w:sz w:val="22"/>
          <w:szCs w:val="22"/>
        </w:rPr>
      </w:pPr>
      <w:r w:rsidRPr="00C34627">
        <w:rPr>
          <w:b/>
          <w:sz w:val="22"/>
          <w:szCs w:val="22"/>
        </w:rPr>
        <w:lastRenderedPageBreak/>
        <w:t>SI Figure 4</w:t>
      </w:r>
      <w:r w:rsidRPr="00AF3D84">
        <w:rPr>
          <w:b/>
          <w:sz w:val="22"/>
          <w:szCs w:val="22"/>
        </w:rPr>
        <w:t xml:space="preserve">: DNAm </w:t>
      </w:r>
      <w:r>
        <w:rPr>
          <w:b/>
          <w:sz w:val="22"/>
          <w:szCs w:val="22"/>
        </w:rPr>
        <w:t xml:space="preserve">Levels </w:t>
      </w:r>
      <w:r w:rsidRPr="00AF3D84">
        <w:rPr>
          <w:b/>
          <w:sz w:val="22"/>
          <w:szCs w:val="22"/>
        </w:rPr>
        <w:t>at “rs” probes with tight-clustering (y-axis) plotted against hard-called genotypes (x-axis)</w:t>
      </w:r>
    </w:p>
    <w:p w:rsidR="00DE0269" w:rsidRPr="00BB03AB" w:rsidRDefault="00DE0269" w:rsidP="00DE0269">
      <w:pPr>
        <w:spacing w:before="100" w:beforeAutospacing="1" w:after="100" w:afterAutospacing="1" w:line="360" w:lineRule="auto"/>
        <w:rPr>
          <w:b/>
          <w:sz w:val="22"/>
          <w:szCs w:val="22"/>
          <w:u w:val="single"/>
        </w:rPr>
      </w:pPr>
    </w:p>
    <w:p w:rsidR="00DE0269" w:rsidRPr="00BB03AB" w:rsidRDefault="00DE0269" w:rsidP="00DE0269">
      <w:pPr>
        <w:spacing w:before="100" w:beforeAutospacing="1" w:after="100" w:afterAutospacing="1" w:line="360" w:lineRule="auto"/>
        <w:rPr>
          <w:b/>
          <w:sz w:val="22"/>
          <w:szCs w:val="22"/>
          <w:u w:val="single"/>
        </w:rPr>
      </w:pPr>
      <w:r>
        <w:rPr>
          <w:noProof/>
          <w:lang w:val="en-US"/>
        </w:rPr>
        <w:drawing>
          <wp:inline distT="0" distB="0" distL="0" distR="0" wp14:anchorId="40BF6204" wp14:editId="09200A86">
            <wp:extent cx="5731510" cy="569595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5695950"/>
                    </a:xfrm>
                    <a:prstGeom prst="rect">
                      <a:avLst/>
                    </a:prstGeom>
                  </pic:spPr>
                </pic:pic>
              </a:graphicData>
            </a:graphic>
          </wp:inline>
        </w:drawing>
      </w:r>
    </w:p>
    <w:p w:rsidR="00DE0269" w:rsidRDefault="00DE0269" w:rsidP="00DE0269">
      <w:pPr>
        <w:spacing w:before="100" w:beforeAutospacing="1" w:after="100" w:afterAutospacing="1" w:line="360" w:lineRule="auto"/>
        <w:rPr>
          <w:b/>
          <w:sz w:val="22"/>
          <w:szCs w:val="22"/>
          <w:u w:val="single"/>
        </w:rPr>
      </w:pPr>
    </w:p>
    <w:p w:rsidR="00DE0269" w:rsidRDefault="00DE0269" w:rsidP="00DE0269">
      <w:pPr>
        <w:spacing w:before="100" w:beforeAutospacing="1" w:after="100" w:afterAutospacing="1"/>
        <w:rPr>
          <w:b/>
          <w:sz w:val="22"/>
          <w:szCs w:val="22"/>
          <w:u w:val="single"/>
        </w:rPr>
      </w:pPr>
    </w:p>
    <w:p w:rsidR="00000F57" w:rsidRDefault="00DE0269">
      <w:bookmarkStart w:id="0" w:name="_GoBack"/>
      <w:bookmarkEnd w:id="0"/>
    </w:p>
    <w:sectPr w:rsidR="00000F57">
      <w:footerReference w:type="default" r:id="rId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5849064"/>
      <w:docPartObj>
        <w:docPartGallery w:val="Page Numbers (Bottom of Page)"/>
        <w:docPartUnique/>
      </w:docPartObj>
    </w:sdtPr>
    <w:sdtEndPr>
      <w:rPr>
        <w:noProof/>
      </w:rPr>
    </w:sdtEndPr>
    <w:sdtContent>
      <w:p w:rsidR="00A2720C" w:rsidRDefault="00DE0269">
        <w:pPr>
          <w:pStyle w:val="Footer"/>
          <w:jc w:val="right"/>
        </w:pPr>
        <w:r>
          <w:fldChar w:fldCharType="begin"/>
        </w:r>
        <w:r>
          <w:instrText xml:space="preserve"> PAGE   \* MERGEFORMAT </w:instrText>
        </w:r>
        <w:r>
          <w:fldChar w:fldCharType="separate"/>
        </w:r>
        <w:r>
          <w:rPr>
            <w:noProof/>
          </w:rPr>
          <w:t>7</w:t>
        </w:r>
        <w:r>
          <w:rPr>
            <w:noProof/>
          </w:rPr>
          <w:fldChar w:fldCharType="end"/>
        </w:r>
      </w:p>
    </w:sdtContent>
  </w:sdt>
  <w:p w:rsidR="00A2720C" w:rsidRDefault="00DE026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269"/>
    <w:rsid w:val="0007695B"/>
    <w:rsid w:val="005615C6"/>
    <w:rsid w:val="005E078B"/>
    <w:rsid w:val="007D4061"/>
    <w:rsid w:val="008B4EED"/>
    <w:rsid w:val="00B03778"/>
    <w:rsid w:val="00CD1A17"/>
    <w:rsid w:val="00DE0269"/>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3BD3AB-C648-4F38-AA45-A9AB9A27F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0269"/>
    <w:rPr>
      <w:rFonts w:ascii="Arial" w:hAnsi="Arial" w:cs="Arial"/>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E02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0269"/>
    <w:rPr>
      <w:rFonts w:ascii="Arial" w:hAnsi="Arial" w:cs="Arial"/>
      <w:sz w:val="24"/>
      <w:szCs w:val="24"/>
      <w:lang w:val="en-GB"/>
    </w:rPr>
  </w:style>
  <w:style w:type="table" w:styleId="TableGrid">
    <w:name w:val="Table Grid"/>
    <w:basedOn w:val="TableNormal"/>
    <w:uiPriority w:val="39"/>
    <w:rsid w:val="00DE0269"/>
    <w:pPr>
      <w:spacing w:after="0" w:line="240" w:lineRule="auto"/>
    </w:pPr>
    <w:rPr>
      <w:rFonts w:ascii="Arial" w:hAnsi="Arial" w:cs="Arial"/>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880</Words>
  <Characters>5016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5885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2022-03-14T06:11:00Z</dcterms:created>
  <dcterms:modified xsi:type="dcterms:W3CDTF">2022-03-14T06:11:00Z</dcterms:modified>
</cp:coreProperties>
</file>