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1594F" w14:textId="0D3FA473" w:rsidR="0091601F" w:rsidRPr="00014EF1" w:rsidRDefault="00014EF1" w:rsidP="00014EF1">
      <w:pPr>
        <w:pStyle w:val="Kop1"/>
      </w:pPr>
      <w:r w:rsidRPr="00014EF1">
        <w:t>Selection of Machine Learning (ML) candidates for genomic prediction</w:t>
      </w:r>
    </w:p>
    <w:p w14:paraId="179626AF" w14:textId="06DC995A" w:rsidR="007A0250" w:rsidRPr="007369B1" w:rsidRDefault="00920FC8" w:rsidP="002B1204">
      <w:r>
        <w:t>M</w:t>
      </w:r>
      <w:r w:rsidR="0091601F" w:rsidRPr="007369B1">
        <w:t>achine learning provides a rich toolbox that can learn association patterns from data</w:t>
      </w:r>
      <w:r w:rsidR="00DB4320" w:rsidRPr="007369B1">
        <w:t xml:space="preserve">; </w:t>
      </w:r>
      <w:r>
        <w:t xml:space="preserve">in order to </w:t>
      </w:r>
      <w:r w:rsidR="0091601F" w:rsidRPr="007369B1">
        <w:t xml:space="preserve">accommodate complex genetic architectures. To select the best candidates for </w:t>
      </w:r>
      <w:r w:rsidR="00841853">
        <w:t xml:space="preserve">our </w:t>
      </w:r>
      <w:r w:rsidR="0091601F" w:rsidRPr="007369B1">
        <w:t>extensive simulations</w:t>
      </w:r>
      <w:r w:rsidR="00841853">
        <w:t xml:space="preserve"> and real datasets</w:t>
      </w:r>
      <w:r w:rsidR="0091601F" w:rsidRPr="007369B1">
        <w:t>, we initially tested Support Vector Regress</w:t>
      </w:r>
      <w:r w:rsidR="002550FC">
        <w:t>ion</w:t>
      </w:r>
      <w:r w:rsidR="0091601F" w:rsidRPr="007369B1">
        <w:t xml:space="preserve"> (SVR) with linear and radial kernels, a Multilayer Perceptron (MLP), Random Forest and Extreme Gradient Boosting (XGBoost)</w:t>
      </w:r>
      <w:r w:rsidR="00DE7737" w:rsidRPr="007369B1">
        <w:t>.</w:t>
      </w:r>
      <w:r w:rsidR="0091601F" w:rsidRPr="007369B1">
        <w:t xml:space="preserve"> </w:t>
      </w:r>
      <w:r w:rsidR="00E83E33" w:rsidRPr="007369B1">
        <w:t xml:space="preserve">Brief methodological overview for SVR and MLP </w:t>
      </w:r>
      <w:r w:rsidR="00DE4357">
        <w:t xml:space="preserve">from </w:t>
      </w:r>
      <w:r w:rsidR="00841853">
        <w:t xml:space="preserve">the </w:t>
      </w:r>
      <w:r w:rsidR="00DE4357">
        <w:t xml:space="preserve">applied aspects </w:t>
      </w:r>
      <w:r w:rsidR="00E83E33" w:rsidRPr="007369B1">
        <w:t>has been provided</w:t>
      </w:r>
      <w:r w:rsidR="00DE4357">
        <w:t xml:space="preserve"> below</w:t>
      </w:r>
      <w:r w:rsidR="00841853">
        <w:t>;</w:t>
      </w:r>
      <w:r w:rsidR="00E83E33" w:rsidRPr="007369B1">
        <w:t xml:space="preserve"> whereas, RF and XGBoost have been discussed in the main text.</w:t>
      </w:r>
    </w:p>
    <w:p w14:paraId="1DDA9849" w14:textId="27989D82" w:rsidR="0091601F" w:rsidRPr="00684C4E" w:rsidRDefault="00684C4E" w:rsidP="00A71F8A">
      <w:pPr>
        <w:pStyle w:val="Kop2"/>
        <w:numPr>
          <w:ilvl w:val="0"/>
          <w:numId w:val="2"/>
        </w:numPr>
      </w:pPr>
      <w:r w:rsidRPr="00684C4E">
        <w:t>Methods</w:t>
      </w:r>
    </w:p>
    <w:p w14:paraId="14AADBA0" w14:textId="77777777" w:rsidR="000D6D8B" w:rsidRDefault="000D6D8B" w:rsidP="000D6D8B">
      <w:pPr>
        <w:pStyle w:val="Kop3"/>
        <w:numPr>
          <w:ilvl w:val="1"/>
          <w:numId w:val="2"/>
        </w:numPr>
      </w:pPr>
      <w:r>
        <w:t>Simulated data</w:t>
      </w:r>
    </w:p>
    <w:p w14:paraId="4C4EEA40" w14:textId="3FC2D804" w:rsidR="000D6D8B" w:rsidRDefault="000D6D8B" w:rsidP="000D6D8B">
      <w:r>
        <w:t xml:space="preserve">We followed the simulation strategy mentioned in section 2.1.1. on a limited set of scenarios from </w:t>
      </w:r>
      <w:r w:rsidRPr="002B1204">
        <w:rPr>
          <w:i/>
          <w:iCs/>
        </w:rPr>
        <w:t>Table</w:t>
      </w:r>
      <w:r>
        <w:rPr>
          <w:i/>
          <w:iCs/>
        </w:rPr>
        <w:t xml:space="preserve"> </w:t>
      </w:r>
      <w:r w:rsidRPr="002B1204">
        <w:rPr>
          <w:i/>
          <w:iCs/>
        </w:rPr>
        <w:t>1</w:t>
      </w:r>
      <w:r>
        <w:rPr>
          <w:i/>
          <w:iCs/>
        </w:rPr>
        <w:t xml:space="preserve">, </w:t>
      </w:r>
      <w:r w:rsidRPr="001509B3">
        <w:t>such that</w:t>
      </w:r>
      <w:r>
        <w:rPr>
          <w:i/>
          <w:iCs/>
        </w:rPr>
        <w:t xml:space="preserve"> </w:t>
      </w:r>
      <w:proofErr w:type="spellStart"/>
      <w:r w:rsidRPr="00D922A9">
        <w:rPr>
          <w:i/>
          <w:iCs/>
        </w:rPr>
        <w:t>p</w:t>
      </w:r>
      <w:r>
        <w:t>/</w:t>
      </w:r>
      <w:r w:rsidRPr="00D922A9">
        <w:rPr>
          <w:i/>
          <w:iCs/>
        </w:rPr>
        <w:t>n</w:t>
      </w:r>
      <w:proofErr w:type="spellEnd"/>
      <w:r w:rsidRPr="00D50868">
        <w:t xml:space="preserve"> </w:t>
      </w:r>
      <w:r>
        <w:t xml:space="preserve">= 1 and </w:t>
      </w:r>
      <w:r w:rsidRPr="00D922A9">
        <w:rPr>
          <w:i/>
          <w:iCs/>
        </w:rPr>
        <w:t>H</w:t>
      </w:r>
      <w:r w:rsidRPr="00D922A9">
        <w:rPr>
          <w:vertAlign w:val="superscript"/>
        </w:rPr>
        <w:t>2</w:t>
      </w:r>
      <w:r>
        <w:t xml:space="preserve"> = </w:t>
      </w:r>
      <w:proofErr w:type="gramStart"/>
      <w:r>
        <w:t xml:space="preserve">{ </w:t>
      </w:r>
      <w:r w:rsidRPr="00D922A9">
        <w:rPr>
          <w:i/>
          <w:iCs/>
        </w:rPr>
        <w:t>h</w:t>
      </w:r>
      <w:proofErr w:type="gramEnd"/>
      <w:r w:rsidRPr="00D922A9">
        <w:rPr>
          <w:vertAlign w:val="superscript"/>
        </w:rPr>
        <w:t>2</w:t>
      </w:r>
      <w:r>
        <w:rPr>
          <w:vertAlign w:val="superscript"/>
        </w:rPr>
        <w:t xml:space="preserve"> </w:t>
      </w:r>
      <w:r>
        <w:t xml:space="preserve">= 0.1 and </w:t>
      </w:r>
      <w:r w:rsidRPr="00D922A9">
        <w:rPr>
          <w:i/>
          <w:iCs/>
        </w:rPr>
        <w:t>h</w:t>
      </w:r>
      <w:r w:rsidRPr="00D922A9">
        <w:rPr>
          <w:vertAlign w:val="superscript"/>
        </w:rPr>
        <w:t>2</w:t>
      </w:r>
      <w:r w:rsidRPr="00D922A9">
        <w:rPr>
          <w:i/>
          <w:iCs/>
          <w:vertAlign w:val="subscript"/>
        </w:rPr>
        <w:t>e</w:t>
      </w:r>
      <w:r>
        <w:t xml:space="preserve"> = 0.7; </w:t>
      </w:r>
      <w:r w:rsidRPr="004A016D">
        <w:rPr>
          <w:i/>
          <w:iCs/>
        </w:rPr>
        <w:t>h</w:t>
      </w:r>
      <w:r w:rsidRPr="004A016D">
        <w:rPr>
          <w:vertAlign w:val="superscript"/>
        </w:rPr>
        <w:t>2</w:t>
      </w:r>
      <w:r>
        <w:rPr>
          <w:vertAlign w:val="superscript"/>
        </w:rPr>
        <w:t xml:space="preserve"> </w:t>
      </w:r>
      <w:r>
        <w:t xml:space="preserve">= 0.7 and </w:t>
      </w:r>
      <w:r w:rsidRPr="004A016D">
        <w:rPr>
          <w:i/>
          <w:iCs/>
        </w:rPr>
        <w:t>h</w:t>
      </w:r>
      <w:r w:rsidRPr="004A016D">
        <w:rPr>
          <w:vertAlign w:val="superscript"/>
        </w:rPr>
        <w:t>2</w:t>
      </w:r>
      <w:r w:rsidRPr="004A016D">
        <w:rPr>
          <w:i/>
          <w:iCs/>
          <w:vertAlign w:val="subscript"/>
        </w:rPr>
        <w:t>e</w:t>
      </w:r>
      <w:r>
        <w:t xml:space="preserve"> = 0.1 } with number of QTNs = { 5, 100 }.</w:t>
      </w:r>
    </w:p>
    <w:p w14:paraId="7D209889" w14:textId="43F2951A" w:rsidR="00DD66D8" w:rsidRDefault="00A71F8A" w:rsidP="00DD66D8">
      <w:pPr>
        <w:pStyle w:val="Kop3"/>
        <w:numPr>
          <w:ilvl w:val="1"/>
          <w:numId w:val="2"/>
        </w:numPr>
      </w:pPr>
      <w:r w:rsidRPr="00A71F8A">
        <w:t xml:space="preserve">Support Vector </w:t>
      </w:r>
      <w:r w:rsidR="00E83E33">
        <w:t>Regress</w:t>
      </w:r>
      <w:r w:rsidR="002550FC">
        <w:t>ion</w:t>
      </w:r>
      <w:r w:rsidR="00F04344">
        <w:t xml:space="preserve"> (SVR)</w:t>
      </w:r>
    </w:p>
    <w:p w14:paraId="7499835C" w14:textId="62267E18" w:rsidR="009D7DD9" w:rsidRDefault="002550FC" w:rsidP="00F04344">
      <w:r>
        <w:t xml:space="preserve">Support </w:t>
      </w:r>
      <w:r w:rsidR="00F04344">
        <w:t>V</w:t>
      </w:r>
      <w:r>
        <w:t xml:space="preserve">ector </w:t>
      </w:r>
      <w:r w:rsidR="00F04344">
        <w:t>R</w:t>
      </w:r>
      <w:r>
        <w:t>egression</w:t>
      </w:r>
      <w:r w:rsidR="005314B2">
        <w:t xml:space="preserve"> </w:t>
      </w:r>
      <w:r>
        <w:t xml:space="preserve">(SVR) </w:t>
      </w:r>
      <w:r w:rsidR="005314B2">
        <w:t xml:space="preserve">is a  </w:t>
      </w:r>
      <w:r w:rsidR="009D7DD9">
        <w:t>S</w:t>
      </w:r>
      <w:r w:rsidR="005314B2">
        <w:t xml:space="preserve">upport </w:t>
      </w:r>
      <w:r w:rsidR="009D7DD9">
        <w:t>V</w:t>
      </w:r>
      <w:r w:rsidR="005314B2">
        <w:t xml:space="preserve">ector </w:t>
      </w:r>
      <w:r w:rsidR="009D7DD9">
        <w:t>M</w:t>
      </w:r>
      <w:r w:rsidR="005314B2">
        <w:t>achine</w:t>
      </w:r>
      <w:r w:rsidR="009D7DD9">
        <w:t xml:space="preserve"> (SVM)</w:t>
      </w:r>
      <w:r w:rsidR="005314B2">
        <w:t xml:space="preserve"> </w:t>
      </w:r>
      <w:r w:rsidR="002939FE">
        <w:fldChar w:fldCharType="begin"/>
      </w:r>
      <w:r w:rsidR="002939FE">
        <w:instrText xml:space="preserve"> ADDIN EN.CITE &lt;EndNote&gt;&lt;Cite&gt;&lt;Author&gt;Boser&lt;/Author&gt;&lt;Year&gt;1992&lt;/Year&gt;&lt;RecNum&gt;26881&lt;/RecNum&gt;&lt;DisplayText&gt;(Boser, Guyon et al. 1992)&lt;/DisplayText&gt;&lt;record&gt;&lt;rec-number&gt;26881&lt;/rec-number&gt;&lt;foreign-keys&gt;&lt;key app="EN" db-id="55ta2edxlvve0zexexkperz9002ssdzvvxvx" timestamp="1641751073"&gt;26881&lt;/key&gt;&lt;/foreign-keys&gt;&lt;ref-type name="Conference Proceedings"&gt;10&lt;/ref-type&gt;&lt;contributors&gt;&lt;authors&gt;&lt;author&gt;Boser, Bernhard E&lt;/author&gt;&lt;author&gt;Guyon, Isabelle M&lt;/author&gt;&lt;author&gt;Vapnik, Vladimir N&lt;/author&gt;&lt;/authors&gt;&lt;/contributors&gt;&lt;titles&gt;&lt;title&gt;A training algorithm for optimal margin classifiers&lt;/title&gt;&lt;secondary-title&gt;Proceedings of the fifth annual workshop on Computational learning theory&lt;/secondary-title&gt;&lt;/titles&gt;&lt;pages&gt;144-152&lt;/pages&gt;&lt;dates&gt;&lt;year&gt;1992&lt;/year&gt;&lt;/dates&gt;&lt;urls&gt;&lt;/urls&gt;&lt;/record&gt;&lt;/Cite&gt;&lt;/EndNote&gt;</w:instrText>
      </w:r>
      <w:r w:rsidR="002939FE">
        <w:fldChar w:fldCharType="separate"/>
      </w:r>
      <w:r w:rsidR="002939FE">
        <w:rPr>
          <w:noProof/>
        </w:rPr>
        <w:t>(Boser, Guyon et al. 1992)</w:t>
      </w:r>
      <w:r w:rsidR="002939FE">
        <w:fldChar w:fldCharType="end"/>
      </w:r>
      <w:r w:rsidR="002939FE">
        <w:t xml:space="preserve"> </w:t>
      </w:r>
      <w:r w:rsidR="009D7DD9">
        <w:t>utilising</w:t>
      </w:r>
      <w:r w:rsidR="005314B2">
        <w:t xml:space="preserve"> quantitative respons</w:t>
      </w:r>
      <w:r>
        <w:t>e</w:t>
      </w:r>
      <w:r w:rsidR="009D7DD9">
        <w:t xml:space="preserve"> in</w:t>
      </w:r>
      <w:r w:rsidR="00D06FE4">
        <w:t xml:space="preserve"> </w:t>
      </w:r>
      <w:r w:rsidR="009D7DD9">
        <w:t>linear model to map</w:t>
      </w:r>
      <w:r w:rsidR="00BD3618">
        <w:t xml:space="preserve"> a linear or nonlinear </w:t>
      </w:r>
      <w:r w:rsidR="006D4F9F">
        <w:t>transformation</w:t>
      </w:r>
      <w:r w:rsidR="00BD3618">
        <w:t xml:space="preserve"> (kernel) of </w:t>
      </w:r>
      <w:r w:rsidR="006D4F9F">
        <w:t xml:space="preserve">the </w:t>
      </w:r>
      <w:r w:rsidR="00BD3618">
        <w:t>input SNP markers</w:t>
      </w:r>
      <w:r w:rsidR="00F57CD7">
        <w:t xml:space="preserve"> </w:t>
      </w:r>
      <w:r w:rsidR="00F57CD7">
        <w:fldChar w:fldCharType="begin"/>
      </w:r>
      <w:r w:rsidR="00F57CD7">
        <w:instrText xml:space="preserve"> ADDIN EN.CITE &lt;EndNote&gt;&lt;Cite&gt;&lt;Author&gt;Ogutu&lt;/Author&gt;&lt;Year&gt;2011&lt;/Year&gt;&lt;RecNum&gt;20654&lt;/RecNum&gt;&lt;DisplayText&gt;(Ogutu, Piepho et al. 2011)&lt;/DisplayText&gt;&lt;record&gt;&lt;rec-number&gt;20654&lt;/rec-number&gt;&lt;foreign-keys&gt;&lt;key app="EN" db-id="55ta2edxlvve0zexexkperz9002ssdzvvxvx" timestamp="1587619378"&gt;20654&lt;/key&gt;&lt;key app="ENWeb" db-id=""&gt;0&lt;/key&gt;&lt;/foreign-keys&gt;&lt;ref-type name="Journal Article"&gt;17&lt;/ref-type&gt;&lt;contributors&gt;&lt;authors&gt;&lt;author&gt;Ogutu, J. O.&lt;/author&gt;&lt;author&gt;Piepho, H. P.&lt;/author&gt;&lt;author&gt;Schulz-Streeck, T.&lt;/author&gt;&lt;/authors&gt;&lt;/contributors&gt;&lt;auth-address&gt;Bioinformatics Unit, Institute of Crop Science, University of Hohenheim, Fruwirthstrasse 23, 70599 Stuttgart, Germany. jogutu2007@gmail.com.&lt;/auth-address&gt;&lt;titles&gt;&lt;title&gt;A comparison of random forests, boosting and support vector machines for genomic selection&lt;/title&gt;&lt;secondary-title&gt;BMC Proceedings&lt;/secondary-title&gt;&lt;alt-title&gt;BMC proceedings&lt;/alt-title&gt;&lt;/titles&gt;&lt;periodical&gt;&lt;full-title&gt;BMC Proc&lt;/full-title&gt;&lt;abbr-1&gt;BMC proceedings&lt;/abbr-1&gt;&lt;/periodical&gt;&lt;alt-periodical&gt;&lt;full-title&gt;BMC Proc&lt;/full-title&gt;&lt;abbr-1&gt;BMC proceedings&lt;/abbr-1&gt;&lt;/alt-periodical&gt;&lt;pages&gt;S11&lt;/pages&gt;&lt;volume&gt;5 Suppl 3&lt;/volume&gt;&lt;dates&gt;&lt;year&gt;2011&lt;/year&gt;&lt;pub-dates&gt;&lt;date&gt;May 27&lt;/date&gt;&lt;/pub-dates&gt;&lt;/dates&gt;&lt;isbn&gt;1753-6561 (Electronic)&amp;#xD;1753-6561 (Linking)&lt;/isbn&gt;&lt;accession-num&gt;21624167&lt;/accession-num&gt;&lt;urls&gt;&lt;related-urls&gt;&lt;url&gt;http://www.ncbi.nlm.nih.gov/pubmed/21624167&lt;/url&gt;&lt;/related-urls&gt;&lt;/urls&gt;&lt;custom2&gt;3103196&lt;/custom2&gt;&lt;electronic-resource-num&gt;10.1186/1753-6561-5-S3-S11&lt;/electronic-resource-num&gt;&lt;/record&gt;&lt;/Cite&gt;&lt;/EndNote&gt;</w:instrText>
      </w:r>
      <w:r w:rsidR="00F57CD7">
        <w:fldChar w:fldCharType="separate"/>
      </w:r>
      <w:r w:rsidR="00F57CD7">
        <w:rPr>
          <w:noProof/>
        </w:rPr>
        <w:t>(Ogutu, Piepho et al. 2011)</w:t>
      </w:r>
      <w:r w:rsidR="00F57CD7">
        <w:fldChar w:fldCharType="end"/>
      </w:r>
      <w:r w:rsidR="00BD3618">
        <w:t>.</w:t>
      </w:r>
    </w:p>
    <w:p w14:paraId="7D0A35B7" w14:textId="326DBD67" w:rsidR="00F04344" w:rsidRDefault="00345364" w:rsidP="00345364">
      <w:pPr>
        <w:jc w:val="center"/>
        <w:rPr>
          <w:rFonts w:eastAsiaTheme="minorEastAsia"/>
          <w:iCs/>
        </w:rPr>
      </w:pPr>
      <m:oMath>
        <m:r>
          <m:rPr>
            <m:sty m:val="b"/>
          </m:rPr>
          <w:rPr>
            <w:rFonts w:ascii="Cambria Math" w:hAnsi="Cambria Math"/>
          </w:rPr>
          <m:t>y=</m:t>
        </m:r>
        <m:r>
          <w:rPr>
            <w:rFonts w:ascii="Cambria Math" w:hAnsi="Cambria Math"/>
          </w:rPr>
          <m:t>f</m:t>
        </m:r>
        <m:r>
          <m:rPr>
            <m:sty m:val="b"/>
          </m:rPr>
          <w:rPr>
            <w:rFonts w:ascii="Cambria Math" w:hAnsi="Cambria Math"/>
          </w:rPr>
          <m:t>(X)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μ</m:t>
        </m:r>
        <m:r>
          <m:rPr>
            <m:sty m:val="p"/>
          </m:rP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Cs/>
                <w:sz w:val="17"/>
              </w:rPr>
            </m:ctrlPr>
          </m:sSupPr>
          <m:e>
            <m:r>
              <w:rPr>
                <w:rFonts w:ascii="Cambria Math" w:hAnsi="Cambria Math"/>
              </w:rPr>
              <m:t>h</m:t>
            </m:r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m:rPr>
                <m:sty m:val="b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T</m:t>
            </m:r>
          </m:sup>
        </m:sSup>
        <m:r>
          <m:rPr>
            <m:sty m:val="b"/>
          </m:rPr>
          <w:rPr>
            <w:rFonts w:ascii="Cambria Math" w:hAnsi="Cambria Math"/>
          </w:rPr>
          <m:t>β</m:t>
        </m:r>
      </m:oMath>
      <w:r>
        <w:rPr>
          <w:rFonts w:eastAsiaTheme="minorEastAsia"/>
          <w:b/>
          <w:bCs/>
          <w:iCs/>
        </w:rPr>
        <w:t xml:space="preserve">         </w:t>
      </w:r>
      <w:r w:rsidRPr="00E90014">
        <w:rPr>
          <w:rFonts w:eastAsiaTheme="minorEastAsia"/>
          <w:iCs/>
        </w:rPr>
        <w:t>(</w:t>
      </w:r>
      <w:r>
        <w:rPr>
          <w:rFonts w:eastAsiaTheme="minorEastAsia"/>
          <w:iCs/>
        </w:rPr>
        <w:t>1</w:t>
      </w:r>
      <w:r w:rsidRPr="00E90014">
        <w:rPr>
          <w:rFonts w:eastAsiaTheme="minorEastAsia"/>
          <w:iCs/>
        </w:rPr>
        <w:t>)</w:t>
      </w:r>
    </w:p>
    <w:p w14:paraId="3471AEE1" w14:textId="4EA83B23" w:rsidR="00286AF3" w:rsidRPr="007A4DE4" w:rsidRDefault="00345364" w:rsidP="0009057F">
      <w:pPr>
        <w:rPr>
          <w:rFonts w:eastAsiaTheme="minorEastAsia"/>
          <w:bCs/>
          <w:iCs/>
        </w:rPr>
      </w:pPr>
      <w:r>
        <w:rPr>
          <w:rFonts w:eastAsiaTheme="minorEastAsia"/>
          <w:iCs/>
        </w:rPr>
        <w:t xml:space="preserve">Here </w:t>
      </w:r>
      <w:r w:rsidRPr="00345364">
        <w:rPr>
          <w:rFonts w:eastAsiaTheme="minorEastAsia"/>
          <w:i/>
        </w:rPr>
        <w:t>h</w:t>
      </w:r>
      <w:r>
        <w:rPr>
          <w:rFonts w:eastAsiaTheme="minorEastAsia"/>
          <w:iCs/>
        </w:rPr>
        <w:t>(</w:t>
      </w:r>
      <w:r w:rsidRPr="00345364">
        <w:rPr>
          <w:rFonts w:eastAsiaTheme="minorEastAsia"/>
          <w:b/>
          <w:bCs/>
          <w:iCs/>
        </w:rPr>
        <w:t>X</w:t>
      </w:r>
      <w:r>
        <w:rPr>
          <w:rFonts w:eastAsiaTheme="minorEastAsia"/>
          <w:iCs/>
        </w:rPr>
        <w:t xml:space="preserve">) is </w:t>
      </w:r>
      <w:r w:rsidR="00582299">
        <w:rPr>
          <w:rFonts w:eastAsiaTheme="minorEastAsia"/>
          <w:iCs/>
        </w:rPr>
        <w:t xml:space="preserve">the </w:t>
      </w:r>
      <w:r>
        <w:rPr>
          <w:rFonts w:eastAsiaTheme="minorEastAsia"/>
          <w:iCs/>
        </w:rPr>
        <w:t xml:space="preserve">kernel function of genotype matrix </w:t>
      </w:r>
      <w:r w:rsidRPr="00345364">
        <w:rPr>
          <w:rFonts w:eastAsiaTheme="minorEastAsia"/>
          <w:b/>
          <w:bCs/>
          <w:iCs/>
        </w:rPr>
        <w:t>X</w:t>
      </w:r>
      <w:r w:rsidR="00582299">
        <w:rPr>
          <w:rFonts w:eastAsiaTheme="minorEastAsia"/>
          <w:b/>
          <w:bCs/>
          <w:iCs/>
        </w:rPr>
        <w:t xml:space="preserve">, </w:t>
      </w:r>
      <m:oMath>
        <m:r>
          <m:rPr>
            <m:sty m:val="b"/>
          </m:rPr>
          <w:rPr>
            <w:rFonts w:ascii="Cambria Math" w:hAnsi="Cambria Math"/>
          </w:rPr>
          <m:t>β</m:t>
        </m:r>
      </m:oMath>
      <w:r>
        <w:rPr>
          <w:rFonts w:eastAsiaTheme="minorEastAsia"/>
          <w:b/>
        </w:rPr>
        <w:t xml:space="preserve"> </w:t>
      </w:r>
      <w:r>
        <w:rPr>
          <w:rFonts w:eastAsiaTheme="minorEastAsia"/>
          <w:bCs/>
        </w:rPr>
        <w:t xml:space="preserve">is an </w:t>
      </w:r>
      <w:r w:rsidRPr="00345364">
        <w:rPr>
          <w:rFonts w:eastAsiaTheme="minorEastAsia"/>
          <w:bCs/>
          <w:i/>
          <w:iCs/>
        </w:rPr>
        <w:t>n</w:t>
      </w:r>
      <w:r>
        <w:rPr>
          <w:rFonts w:eastAsiaTheme="minorEastAsia"/>
          <w:bCs/>
        </w:rPr>
        <w:t>-vector of effects</w:t>
      </w:r>
      <w:r w:rsidR="00582299">
        <w:rPr>
          <w:rFonts w:eastAsiaTheme="minorEastAsia"/>
          <w:bCs/>
        </w:rPr>
        <w:t xml:space="preserve"> and </w:t>
      </w:r>
      <m:oMath>
        <m:r>
          <m:rPr>
            <m:sty m:val="b"/>
          </m:rPr>
          <w:rPr>
            <w:rFonts w:ascii="Cambria Math" w:hAnsi="Cambria Math"/>
          </w:rPr>
          <m:t>μ</m:t>
        </m:r>
      </m:oMath>
      <w:r w:rsidR="00582299">
        <w:rPr>
          <w:rFonts w:eastAsiaTheme="minorEastAsia"/>
          <w:b/>
        </w:rPr>
        <w:t xml:space="preserve"> </w:t>
      </w:r>
      <w:r w:rsidR="00582299">
        <w:rPr>
          <w:rFonts w:eastAsiaTheme="minorEastAsia"/>
          <w:bCs/>
        </w:rPr>
        <w:t xml:space="preserve">is the overall mean. </w:t>
      </w:r>
      <w:r w:rsidR="00BA35C4">
        <w:rPr>
          <w:rFonts w:eastAsiaTheme="minorEastAsia"/>
          <w:bCs/>
        </w:rPr>
        <w:t xml:space="preserve">We used </w:t>
      </w:r>
      <w:r w:rsidR="00857E54">
        <w:rPr>
          <w:rFonts w:eastAsiaTheme="minorEastAsia"/>
          <w:bCs/>
        </w:rPr>
        <w:t>‘</w:t>
      </w:r>
      <w:r w:rsidR="00BA35C4">
        <w:rPr>
          <w:rFonts w:eastAsiaTheme="minorEastAsia"/>
          <w:bCs/>
        </w:rPr>
        <w:t>e1071</w:t>
      </w:r>
      <w:r w:rsidR="00857E54">
        <w:rPr>
          <w:rFonts w:eastAsiaTheme="minorEastAsia"/>
          <w:bCs/>
        </w:rPr>
        <w:t>’</w:t>
      </w:r>
      <w:r w:rsidR="00BA35C4">
        <w:rPr>
          <w:rFonts w:eastAsiaTheme="minorEastAsia"/>
          <w:bCs/>
        </w:rPr>
        <w:t xml:space="preserve"> package in </w:t>
      </w:r>
      <w:r w:rsidR="00BA35C4" w:rsidRPr="00BA35C4">
        <w:rPr>
          <w:rFonts w:eastAsiaTheme="minorEastAsia"/>
          <w:bCs/>
        </w:rPr>
        <w:t>R</w:t>
      </w:r>
      <w:r w:rsidR="00BA35C4">
        <w:rPr>
          <w:rFonts w:eastAsiaTheme="minorEastAsia"/>
          <w:bCs/>
        </w:rPr>
        <w:t xml:space="preserve"> statistical software using linear and radial kernels and tuned the </w:t>
      </w:r>
      <w:r w:rsidR="00857E54" w:rsidRPr="00857E54">
        <w:t>insensitive-loss function</w:t>
      </w:r>
      <w:r w:rsidR="00EA5CE4">
        <w:t xml:space="preserve"> epsilon</w:t>
      </w:r>
      <w:proofErr w:type="gramStart"/>
      <w:r w:rsidR="00BA35C4" w:rsidRPr="00286AF3">
        <w:t>=</w:t>
      </w:r>
      <w:r w:rsidR="00857E54">
        <w:t>{</w:t>
      </w:r>
      <w:proofErr w:type="gramEnd"/>
      <w:r w:rsidR="00BA35C4" w:rsidRPr="00286AF3">
        <w:t>0,1</w:t>
      </w:r>
      <w:r w:rsidR="00857E54">
        <w:t>} and</w:t>
      </w:r>
      <w:r w:rsidR="00BA35C4" w:rsidRPr="00286AF3">
        <w:t xml:space="preserve"> </w:t>
      </w:r>
      <w:r w:rsidR="00857E54" w:rsidRPr="00857E54">
        <w:t>cost of constraints violation</w:t>
      </w:r>
      <w:r w:rsidR="00857E54">
        <w:t xml:space="preserve"> C</w:t>
      </w:r>
      <w:r w:rsidR="00BA35C4" w:rsidRPr="00286AF3">
        <w:t>=</w:t>
      </w:r>
      <w:r w:rsidR="00857E54">
        <w:t>{</w:t>
      </w:r>
      <w:r w:rsidR="00BA35C4" w:rsidRPr="00286AF3">
        <w:t>1:50</w:t>
      </w:r>
      <w:r w:rsidR="00857E54">
        <w:t xml:space="preserve">} using grid search, </w:t>
      </w:r>
      <w:r w:rsidR="0023691F">
        <w:t>with</w:t>
      </w:r>
      <w:r w:rsidR="00857E54">
        <w:t xml:space="preserve"> an offset of 0.1 and 1 respectively.</w:t>
      </w:r>
    </w:p>
    <w:p w14:paraId="6C2ECCE2" w14:textId="4716D7F8" w:rsidR="00BA2C35" w:rsidRDefault="00E83E33" w:rsidP="00BA2C35">
      <w:pPr>
        <w:pStyle w:val="Kop3"/>
        <w:numPr>
          <w:ilvl w:val="1"/>
          <w:numId w:val="2"/>
        </w:numPr>
      </w:pPr>
      <w:r>
        <w:t>Multilayer Perceptron (MLP)</w:t>
      </w:r>
    </w:p>
    <w:p w14:paraId="4D5BDFF2" w14:textId="2DDAB2EF" w:rsidR="00BA2C35" w:rsidRDefault="00E335A6" w:rsidP="002B1204">
      <w:r>
        <w:t xml:space="preserve">Artificial Neural Networks (ANNs) are </w:t>
      </w:r>
      <w:r w:rsidR="004D3503">
        <w:t xml:space="preserve">gaining </w:t>
      </w:r>
      <w:r>
        <w:t>popularity for GP and many architectures have been proposed for this problem</w:t>
      </w:r>
      <w:r w:rsidR="004D0B52">
        <w:t xml:space="preserve"> </w:t>
      </w:r>
      <w:r w:rsidR="004D0B52">
        <w:fldChar w:fldCharType="begin"/>
      </w:r>
      <w:r w:rsidR="004D0B52">
        <w:instrText xml:space="preserve"> ADDIN EN.CITE &lt;EndNote&gt;&lt;Cite&gt;&lt;Author&gt;Guo&lt;/Author&gt;&lt;Year&gt;2021&lt;/Year&gt;&lt;RecNum&gt;26546&lt;/RecNum&gt;&lt;DisplayText&gt;(Azodi, Bolger et al. 2019, Guo 2021)&lt;/DisplayText&gt;&lt;record&gt;&lt;rec-number&gt;26546&lt;/rec-number&gt;&lt;foreign-keys&gt;&lt;key app="EN" db-id="55ta2edxlvve0zexexkperz9002ssdzvvxvx" timestamp="1610983146"&gt;26546&lt;/key&gt;&lt;/foreign-keys&gt;&lt;ref-type name="Journal Article"&gt;17&lt;/ref-type&gt;&lt;contributors&gt;&lt;authors&gt;&lt;author&gt;Guo, Baohong&lt;/author&gt;&lt;/authors&gt;&lt;/contributors&gt;&lt;titles&gt;&lt;title&gt;Multi Task deep learning for genomic predictions&lt;/title&gt;&lt;secondary-title&gt;bioRxiv&lt;/secondary-title&gt;&lt;/titles&gt;&lt;periodical&gt;&lt;full-title&gt;bioRxiv&lt;/full-title&gt;&lt;/periodical&gt;&lt;pages&gt;2021.01.15.426878&lt;/pages&gt;&lt;dates&gt;&lt;year&gt;2021&lt;/year&gt;&lt;/dates&gt;&lt;urls&gt;&lt;related-urls&gt;&lt;url&gt;https://www.biorxiv.org/content/biorxiv/early/2021/01/17/2021.01.15.426878.full.pdf&lt;/url&gt;&lt;/related-urls&gt;&lt;/urls&gt;&lt;electronic-resource-num&gt;10.1101/2021.01.15.426878&lt;/electronic-resource-num&gt;&lt;/record&gt;&lt;/Cite&gt;&lt;Cite&gt;&lt;Author&gt;Azodi&lt;/Author&gt;&lt;Year&gt;2019&lt;/Year&gt;&lt;RecNum&gt;26505&lt;/RecNum&gt;&lt;record&gt;&lt;rec-number&gt;26505&lt;/rec-number&gt;&lt;foreign-keys&gt;&lt;key app="EN" db-id="55ta2edxlvve0zexexkperz9002ssdzvvxvx" timestamp="1610045866"&gt;26505&lt;/key&gt;&lt;/foreign-keys&gt;&lt;ref-type name="Journal Article"&gt;17&lt;/ref-type&gt;&lt;contributors&gt;&lt;authors&gt;&lt;author&gt;Azodi, Christina B&lt;/author&gt;&lt;author&gt;Bolger, Emily&lt;/author&gt;&lt;author&gt;McCarren, Andrew&lt;/author&gt;&lt;author&gt;Roantree, Mark&lt;/author&gt;&lt;author&gt;de Los Campos, Gustavo&lt;/author&gt;&lt;author&gt;Shiu, Shin-Han&lt;/author&gt;&lt;/authors&gt;&lt;/contributors&gt;&lt;titles&gt;&lt;title&gt;Benchmarking parametric and Machine Learning models for genomic prediction of complex traits&lt;/title&gt;&lt;secondary-title&gt;G3: Genes, Genomes, Genetics&lt;/secondary-title&gt;&lt;/titles&gt;&lt;periodical&gt;&lt;full-title&gt;G3: Genes, Genomes, Genetics&lt;/full-title&gt;&lt;/periodical&gt;&lt;pages&gt;3691-3702&lt;/pages&gt;&lt;volume&gt;9&lt;/volume&gt;&lt;number&gt;11&lt;/number&gt;&lt;dates&gt;&lt;year&gt;2019&lt;/year&gt;&lt;/dates&gt;&lt;isbn&gt;2160-1836&lt;/isbn&gt;&lt;urls&gt;&lt;/urls&gt;&lt;/record&gt;&lt;/Cite&gt;&lt;/EndNote&gt;</w:instrText>
      </w:r>
      <w:r w:rsidR="004D0B52">
        <w:fldChar w:fldCharType="separate"/>
      </w:r>
      <w:r w:rsidR="004D0B52">
        <w:rPr>
          <w:noProof/>
        </w:rPr>
        <w:t>(Azodi, Bolger et al. 2019, Guo 2021)</w:t>
      </w:r>
      <w:r w:rsidR="004D0B52">
        <w:fldChar w:fldCharType="end"/>
      </w:r>
      <w:r>
        <w:t>. Multilayer Perceptron (MLP)</w:t>
      </w:r>
      <w:r w:rsidR="004D0B52">
        <w:t xml:space="preserve"> is a</w:t>
      </w:r>
      <w:r w:rsidR="00AC246A">
        <w:t xml:space="preserve"> </w:t>
      </w:r>
      <w:r w:rsidR="00BA767B">
        <w:t xml:space="preserve">feedforward ANN architecture utilising multiple layers of neurons with </w:t>
      </w:r>
      <w:r w:rsidR="009F0021">
        <w:t>(</w:t>
      </w:r>
      <w:r w:rsidR="00BA767B">
        <w:t>non</w:t>
      </w:r>
      <w:r w:rsidR="009F0021">
        <w:t>)</w:t>
      </w:r>
      <w:r w:rsidR="00BA767B">
        <w:t>linear activation functions to learn nonlinear genetic interactions among genetic markers.</w:t>
      </w:r>
      <w:r w:rsidR="009F0021">
        <w:t xml:space="preserve"> The successive layers in the network are fully connected and each neuron output depends upon </w:t>
      </w:r>
      <w:r w:rsidR="00E92E3C">
        <w:t xml:space="preserve">the </w:t>
      </w:r>
      <w:r w:rsidR="009F0021">
        <w:t xml:space="preserve">weighted sum of its input weights, transformed by the activation function, plus the bias (equation 2). </w:t>
      </w:r>
      <w:r w:rsidR="002F6A4F">
        <w:t>S</w:t>
      </w:r>
      <w:r w:rsidR="00BA767B">
        <w:t>electing the best MLP architecture depends on GP problem characteristics</w:t>
      </w:r>
      <w:r w:rsidR="00460A2D">
        <w:t xml:space="preserve">, shown in </w:t>
      </w:r>
      <w:r w:rsidR="00BA767B" w:rsidRPr="00BA767B">
        <w:rPr>
          <w:i/>
          <w:iCs/>
        </w:rPr>
        <w:t>Figure 1</w:t>
      </w:r>
      <w:r w:rsidR="00460A2D">
        <w:rPr>
          <w:i/>
          <w:iCs/>
        </w:rPr>
        <w:t xml:space="preserve"> </w:t>
      </w:r>
      <w:r w:rsidR="00460A2D">
        <w:fldChar w:fldCharType="begin"/>
      </w:r>
      <w:r w:rsidR="00460A2D">
        <w:instrText xml:space="preserve"> ADDIN EN.CITE &lt;EndNote&gt;&lt;Cite&gt;&lt;Author&gt;Montesinos-López&lt;/Author&gt;&lt;Year&gt;2021&lt;/Year&gt;&lt;RecNum&gt;26542&lt;/RecNum&gt;&lt;DisplayText&gt;(Montesinos-López, Montesinos-López et al. 2021)&lt;/DisplayText&gt;&lt;record&gt;&lt;rec-number&gt;26542&lt;/rec-number&gt;&lt;foreign-keys&gt;&lt;key app="EN" db-id="55ta2edxlvve0zexexkperz9002ssdzvvxvx" timestamp="1610659382"&gt;26542&lt;/key&gt;&lt;/foreign-keys&gt;&lt;ref-type name="Journal Article"&gt;17&lt;/ref-type&gt;&lt;contributors&gt;&lt;authors&gt;&lt;author&gt;Montesinos-López, Osval Antonio&lt;/author&gt;&lt;author&gt;Montesinos-López, Abelardo&lt;/author&gt;&lt;author&gt;Pérez-Rodríguez, Paulino&lt;/author&gt;&lt;author&gt;Barrón-López, José Alberto&lt;/author&gt;&lt;author&gt;Martini, Johannes W. R.&lt;/author&gt;&lt;author&gt;Fajardo-Flores, Silvia Berenice&lt;/author&gt;&lt;author&gt;Gaytan-Lugo, Laura S.&lt;/author&gt;&lt;author&gt;Santana-Mancilla, Pedro C.&lt;/author&gt;&lt;author&gt;Crossa, José&lt;/author&gt;&lt;/authors&gt;&lt;/contributors&gt;&lt;titles&gt;&lt;title&gt;A review of deep learning applications for genomic selection&lt;/title&gt;&lt;secondary-title&gt;BMC Genomics&lt;/secondary-title&gt;&lt;/titles&gt;&lt;periodical&gt;&lt;full-title&gt;BMC genomics&lt;/full-title&gt;&lt;/periodical&gt;&lt;pages&gt;19&lt;/pages&gt;&lt;volume&gt;22&lt;/volume&gt;&lt;number&gt;1&lt;/number&gt;&lt;dates&gt;&lt;year&gt;2021&lt;/year&gt;&lt;pub-dates&gt;&lt;date&gt;2021/01/06&lt;/date&gt;&lt;/pub-dates&gt;&lt;/dates&gt;&lt;isbn&gt;1471-2164&lt;/isbn&gt;&lt;urls&gt;&lt;related-urls&gt;&lt;url&gt;https://doi.org/10.1186/s12864-020-07319-x&lt;/url&gt;&lt;/related-urls&gt;&lt;/urls&gt;&lt;electronic-resource-num&gt;10.1186/s12864-020-07319-x&lt;/electronic-resource-num&gt;&lt;/record&gt;&lt;/Cite&gt;&lt;/EndNote&gt;</w:instrText>
      </w:r>
      <w:r w:rsidR="00460A2D">
        <w:fldChar w:fldCharType="separate"/>
      </w:r>
      <w:r w:rsidR="00460A2D">
        <w:rPr>
          <w:noProof/>
        </w:rPr>
        <w:t>(Montesinos-López, Montesinos-López et al. 2021)</w:t>
      </w:r>
      <w:r w:rsidR="00460A2D">
        <w:fldChar w:fldCharType="end"/>
      </w:r>
      <w:r w:rsidR="00BA767B">
        <w:t xml:space="preserve">. Here we have used a recently reported </w:t>
      </w:r>
      <w:r w:rsidR="009F0021">
        <w:t xml:space="preserve">MLP </w:t>
      </w:r>
      <w:r w:rsidR="00BA767B">
        <w:t xml:space="preserve">architecture </w:t>
      </w:r>
      <w:r w:rsidR="008A202C">
        <w:t>by</w:t>
      </w:r>
      <w:r w:rsidR="00BA767B">
        <w:t xml:space="preserve"> </w:t>
      </w:r>
      <w:r w:rsidR="008A202C">
        <w:fldChar w:fldCharType="begin"/>
      </w:r>
      <w:r w:rsidR="008A202C">
        <w:instrText xml:space="preserve"> ADDIN EN.CITE &lt;EndNote&gt;&lt;Cite AuthorYear="1"&gt;&lt;Author&gt;Sandhu&lt;/Author&gt;&lt;Year&gt;2021&lt;/Year&gt;&lt;RecNum&gt;26586&lt;/RecNum&gt;&lt;DisplayText&gt;Sandhu, Lozada et al. (2021)&lt;/DisplayText&gt;&lt;record&gt;&lt;rec-number&gt;26586&lt;/rec-number&gt;&lt;foreign-keys&gt;&lt;key app="EN" db-id="55ta2edxlvve0zexexkperz9002ssdzvvxvx" timestamp="1621830101"&gt;26586&lt;/key&gt;&lt;/foreign-keys&gt;&lt;ref-type name="Journal Article"&gt;17&lt;/ref-type&gt;&lt;contributors&gt;&lt;authors&gt;&lt;author&gt;Sandhu, Karansher S&lt;/author&gt;&lt;author&gt;Lozada, Dennis N&lt;/author&gt;&lt;author&gt;Zhang, Zhiwu&lt;/author&gt;&lt;author&gt;Pumphrey, Michael O&lt;/author&gt;&lt;author&gt;Carter, Arron H&lt;/author&gt;&lt;/authors&gt;&lt;/contributors&gt;&lt;titles&gt;&lt;title&gt;Deep learning for predicting complex traits in spring wheat breeding program&lt;/title&gt;&lt;secondary-title&gt;Frontiers in Plant Science&lt;/secondary-title&gt;&lt;/titles&gt;&lt;periodical&gt;&lt;full-title&gt;Frontiers in plant science&lt;/full-title&gt;&lt;/periodical&gt;&lt;pages&gt;2084&lt;/pages&gt;&lt;volume&gt;11&lt;/volume&gt;&lt;dates&gt;&lt;year&gt;2021&lt;/year&gt;&lt;/dates&gt;&lt;isbn&gt;1664-462X&lt;/isbn&gt;&lt;urls&gt;&lt;/urls&gt;&lt;/record&gt;&lt;/Cite&gt;&lt;/EndNote&gt;</w:instrText>
      </w:r>
      <w:r w:rsidR="008A202C">
        <w:fldChar w:fldCharType="separate"/>
      </w:r>
      <w:r w:rsidR="008A202C">
        <w:rPr>
          <w:noProof/>
        </w:rPr>
        <w:t>Sandhu, Lozada et al. (2021)</w:t>
      </w:r>
      <w:r w:rsidR="008A202C">
        <w:fldChar w:fldCharType="end"/>
      </w:r>
      <w:r w:rsidR="009F0021">
        <w:t xml:space="preserve"> for GP</w:t>
      </w:r>
      <w:r w:rsidR="008A2076">
        <w:t>.</w:t>
      </w:r>
      <w:r w:rsidR="009F0021">
        <w:t xml:space="preserve"> </w:t>
      </w:r>
    </w:p>
    <w:p w14:paraId="541B1AAE" w14:textId="241A7B20" w:rsidR="00874E2D" w:rsidRDefault="002356F7" w:rsidP="002B1204">
      <m:oMathPara>
        <m:oMath>
          <m:sSub>
            <m:sSubPr>
              <m:ctrlPr>
                <w:rPr>
                  <w:rFonts w:ascii="Cambria Math" w:hAnsi="Cambria Math"/>
                  <w:b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</w:rPr>
                <m:t>z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k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b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</w:rPr>
                <m:t>b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k-1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b/>
                  <w:bCs/>
                  <w:iCs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</w:rPr>
                <m:t>W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k-1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 xml:space="preserve"> f</m:t>
              </m:r>
            </m:e>
            <m:sub>
              <m:r>
                <w:rPr>
                  <w:rFonts w:ascii="Cambria Math" w:hAnsi="Cambria Math"/>
                </w:rPr>
                <m:t>k-1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b"/>
                </m:rP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 xml:space="preserve">   (2)</m:t>
          </m:r>
        </m:oMath>
      </m:oMathPara>
    </w:p>
    <w:p w14:paraId="4C715E36" w14:textId="3F776F35" w:rsidR="009F0021" w:rsidRPr="00AD3C95" w:rsidRDefault="007B3929" w:rsidP="002B1204">
      <w:pPr>
        <w:rPr>
          <w:bCs/>
        </w:rPr>
      </w:pPr>
      <w:r>
        <w:lastRenderedPageBreak/>
        <w:t xml:space="preserve">Here </w:t>
      </w:r>
      <w:proofErr w:type="spellStart"/>
      <w:r w:rsidRPr="007B3929">
        <w:rPr>
          <w:b/>
          <w:bCs/>
        </w:rPr>
        <w:t>z</w:t>
      </w:r>
      <w:r w:rsidRPr="007B3929">
        <w:rPr>
          <w:b/>
          <w:bCs/>
          <w:vertAlign w:val="subscript"/>
        </w:rPr>
        <w:t>k</w:t>
      </w:r>
      <w:proofErr w:type="spellEnd"/>
      <w:r>
        <w:rPr>
          <w:rFonts w:eastAsiaTheme="minorEastAsia"/>
          <w:b/>
        </w:rPr>
        <w:t xml:space="preserve"> </w:t>
      </w:r>
      <w:r>
        <w:rPr>
          <w:rFonts w:eastAsiaTheme="minorEastAsia"/>
          <w:bCs/>
        </w:rPr>
        <w:t xml:space="preserve">is the output vector of </w:t>
      </w:r>
      <w:r w:rsidRPr="007B3929">
        <w:rPr>
          <w:rFonts w:eastAsiaTheme="minorEastAsia"/>
          <w:bCs/>
          <w:i/>
          <w:iCs/>
        </w:rPr>
        <w:t>k</w:t>
      </w:r>
      <w:r>
        <w:rPr>
          <w:rFonts w:eastAsiaTheme="minorEastAsia"/>
          <w:bCs/>
        </w:rPr>
        <w:t>-</w:t>
      </w:r>
      <w:proofErr w:type="spellStart"/>
      <w:r>
        <w:rPr>
          <w:rFonts w:eastAsiaTheme="minorEastAsia"/>
          <w:bCs/>
        </w:rPr>
        <w:t>th</w:t>
      </w:r>
      <w:proofErr w:type="spellEnd"/>
      <w:r>
        <w:rPr>
          <w:rFonts w:eastAsiaTheme="minorEastAsia"/>
          <w:bCs/>
        </w:rPr>
        <w:t xml:space="preserve"> layer and </w:t>
      </w:r>
      <w:r w:rsidRPr="007B3929">
        <w:rPr>
          <w:rFonts w:eastAsiaTheme="minorEastAsia"/>
          <w:b/>
        </w:rPr>
        <w:t>b</w:t>
      </w:r>
      <w:r w:rsidRPr="007B3929">
        <w:rPr>
          <w:rFonts w:eastAsiaTheme="minorEastAsia"/>
          <w:b/>
          <w:vertAlign w:val="subscript"/>
        </w:rPr>
        <w:t>k-1</w:t>
      </w:r>
      <w:r>
        <w:rPr>
          <w:rFonts w:eastAsiaTheme="minorEastAsia"/>
          <w:b/>
        </w:rPr>
        <w:t xml:space="preserve"> </w:t>
      </w:r>
      <w:r>
        <w:rPr>
          <w:rFonts w:eastAsiaTheme="minorEastAsia"/>
          <w:bCs/>
        </w:rPr>
        <w:t xml:space="preserve">is a vector bias terms of </w:t>
      </w:r>
      <w:r w:rsidRPr="007B3929">
        <w:rPr>
          <w:rFonts w:eastAsiaTheme="minorEastAsia"/>
          <w:bCs/>
          <w:i/>
          <w:iCs/>
        </w:rPr>
        <w:t>k-1</w:t>
      </w:r>
      <w:r>
        <w:rPr>
          <w:rFonts w:eastAsiaTheme="minorEastAsia"/>
          <w:bCs/>
        </w:rPr>
        <w:t xml:space="preserve"> layer; </w:t>
      </w:r>
      <w:r w:rsidRPr="007B3929">
        <w:rPr>
          <w:rFonts w:eastAsiaTheme="minorEastAsia"/>
          <w:b/>
        </w:rPr>
        <w:t>W</w:t>
      </w:r>
      <w:r w:rsidRPr="007B3929">
        <w:rPr>
          <w:rFonts w:eastAsiaTheme="minorEastAsia"/>
          <w:b/>
          <w:vertAlign w:val="subscript"/>
        </w:rPr>
        <w:t>k-1</w:t>
      </w:r>
      <w:r>
        <w:rPr>
          <w:rFonts w:eastAsiaTheme="minorEastAsia"/>
          <w:b/>
        </w:rPr>
        <w:t xml:space="preserve"> </w:t>
      </w:r>
      <w:r w:rsidRPr="007B3929">
        <w:rPr>
          <w:rFonts w:eastAsiaTheme="minorEastAsia"/>
          <w:bCs/>
        </w:rPr>
        <w:t xml:space="preserve">is </w:t>
      </w:r>
      <w:r>
        <w:rPr>
          <w:rFonts w:eastAsiaTheme="minorEastAsia"/>
          <w:bCs/>
        </w:rPr>
        <w:t xml:space="preserve">the weights matrix of </w:t>
      </w:r>
      <w:r w:rsidRPr="007B3929">
        <w:rPr>
          <w:rFonts w:eastAsiaTheme="minorEastAsia"/>
          <w:bCs/>
          <w:i/>
          <w:iCs/>
        </w:rPr>
        <w:t>k-1</w:t>
      </w:r>
      <w:r>
        <w:rPr>
          <w:rFonts w:eastAsiaTheme="minorEastAsia"/>
          <w:bCs/>
        </w:rPr>
        <w:t xml:space="preserve"> layer and </w:t>
      </w:r>
      <w:r w:rsidRPr="007B3929">
        <w:rPr>
          <w:rFonts w:eastAsiaTheme="minorEastAsia"/>
          <w:bCs/>
          <w:i/>
          <w:iCs/>
        </w:rPr>
        <w:t>f</w:t>
      </w:r>
      <w:r w:rsidRPr="007B3929">
        <w:rPr>
          <w:rFonts w:eastAsiaTheme="minorEastAsia"/>
          <w:bCs/>
          <w:i/>
          <w:iCs/>
          <w:vertAlign w:val="subscript"/>
        </w:rPr>
        <w:t>k-1</w:t>
      </w:r>
      <w:r>
        <w:rPr>
          <w:rFonts w:eastAsiaTheme="minorEastAsia"/>
          <w:bCs/>
        </w:rPr>
        <w:t>(</w:t>
      </w:r>
      <w:r w:rsidRPr="007B3929">
        <w:rPr>
          <w:rFonts w:eastAsiaTheme="minorEastAsia"/>
          <w:b/>
        </w:rPr>
        <w:t>x</w:t>
      </w:r>
      <w:r>
        <w:rPr>
          <w:rFonts w:eastAsiaTheme="minorEastAsia"/>
          <w:bCs/>
        </w:rPr>
        <w:t xml:space="preserve">) is </w:t>
      </w:r>
      <w:r w:rsidR="00AD3C95">
        <w:rPr>
          <w:rFonts w:eastAsiaTheme="minorEastAsia"/>
          <w:bCs/>
        </w:rPr>
        <w:t xml:space="preserve">activation function with </w:t>
      </w:r>
      <w:r w:rsidR="00AD3C95" w:rsidRPr="00AD3C95">
        <w:rPr>
          <w:rFonts w:eastAsiaTheme="minorEastAsia"/>
          <w:b/>
        </w:rPr>
        <w:t>x</w:t>
      </w:r>
      <w:r w:rsidR="00AD3C95">
        <w:rPr>
          <w:rFonts w:eastAsiaTheme="minorEastAsia"/>
          <w:b/>
        </w:rPr>
        <w:t xml:space="preserve"> </w:t>
      </w:r>
      <w:r w:rsidR="00AD3C95">
        <w:rPr>
          <w:rFonts w:eastAsiaTheme="minorEastAsia"/>
          <w:bCs/>
        </w:rPr>
        <w:t xml:space="preserve">vector of genotypes for all individuals.  </w:t>
      </w:r>
    </w:p>
    <w:p w14:paraId="3B189261" w14:textId="7BEFFAB1" w:rsidR="00A71F8A" w:rsidRDefault="00684C4E" w:rsidP="00A71F8A">
      <w:pPr>
        <w:pStyle w:val="Kop2"/>
        <w:numPr>
          <w:ilvl w:val="0"/>
          <w:numId w:val="2"/>
        </w:numPr>
      </w:pPr>
      <w:r>
        <w:t>Results</w:t>
      </w:r>
    </w:p>
    <w:p w14:paraId="6AA4EB98" w14:textId="3A20DE1B" w:rsidR="002939FE" w:rsidRDefault="00DE7737" w:rsidP="00A71F8A">
      <w:r>
        <w:t>For both simple (</w:t>
      </w:r>
      <w:r w:rsidRPr="004A016D">
        <w:rPr>
          <w:i/>
          <w:iCs/>
        </w:rPr>
        <w:t>H</w:t>
      </w:r>
      <w:r w:rsidRPr="004A016D">
        <w:rPr>
          <w:vertAlign w:val="superscript"/>
        </w:rPr>
        <w:t>2</w:t>
      </w:r>
      <w:r>
        <w:t xml:space="preserve"> = </w:t>
      </w:r>
      <w:proofErr w:type="gramStart"/>
      <w:r>
        <w:t xml:space="preserve">{ </w:t>
      </w:r>
      <w:r w:rsidRPr="004A016D">
        <w:rPr>
          <w:i/>
          <w:iCs/>
        </w:rPr>
        <w:t>h</w:t>
      </w:r>
      <w:proofErr w:type="gramEnd"/>
      <w:r w:rsidRPr="004A016D">
        <w:rPr>
          <w:vertAlign w:val="superscript"/>
        </w:rPr>
        <w:t>2</w:t>
      </w:r>
      <w:r>
        <w:rPr>
          <w:vertAlign w:val="superscript"/>
        </w:rPr>
        <w:t xml:space="preserve"> </w:t>
      </w:r>
      <w:r>
        <w:t xml:space="preserve">= 0.7, </w:t>
      </w:r>
      <w:r w:rsidRPr="004A016D">
        <w:rPr>
          <w:i/>
          <w:iCs/>
        </w:rPr>
        <w:t>h</w:t>
      </w:r>
      <w:r w:rsidRPr="004A016D">
        <w:rPr>
          <w:vertAlign w:val="superscript"/>
        </w:rPr>
        <w:t>2</w:t>
      </w:r>
      <w:r w:rsidRPr="004A016D">
        <w:rPr>
          <w:i/>
          <w:iCs/>
          <w:vertAlign w:val="subscript"/>
        </w:rPr>
        <w:t>e</w:t>
      </w:r>
      <w:r>
        <w:t xml:space="preserve"> = 0.1</w:t>
      </w:r>
      <w:r w:rsidRPr="00142471">
        <w:t xml:space="preserve">; </w:t>
      </w:r>
      <w:r w:rsidRPr="00D922A9">
        <w:t>#QTNs = 5</w:t>
      </w:r>
      <w:r>
        <w:t xml:space="preserve"> } ) and more complex phenotypic scenarios (</w:t>
      </w:r>
      <w:r w:rsidRPr="004A016D">
        <w:rPr>
          <w:i/>
          <w:iCs/>
        </w:rPr>
        <w:t>H</w:t>
      </w:r>
      <w:r w:rsidRPr="004A016D">
        <w:rPr>
          <w:vertAlign w:val="superscript"/>
        </w:rPr>
        <w:t>2</w:t>
      </w:r>
      <w:r>
        <w:t xml:space="preserve"> = { </w:t>
      </w:r>
      <w:r w:rsidRPr="004A016D">
        <w:rPr>
          <w:i/>
          <w:iCs/>
        </w:rPr>
        <w:t>h</w:t>
      </w:r>
      <w:r w:rsidRPr="004A016D">
        <w:rPr>
          <w:vertAlign w:val="superscript"/>
        </w:rPr>
        <w:t>2</w:t>
      </w:r>
      <w:r>
        <w:rPr>
          <w:vertAlign w:val="superscript"/>
        </w:rPr>
        <w:t xml:space="preserve"> </w:t>
      </w:r>
      <w:r>
        <w:t xml:space="preserve">= 0.1, </w:t>
      </w:r>
      <w:r w:rsidRPr="004A016D">
        <w:rPr>
          <w:i/>
          <w:iCs/>
        </w:rPr>
        <w:t>h</w:t>
      </w:r>
      <w:r w:rsidRPr="004A016D">
        <w:rPr>
          <w:vertAlign w:val="superscript"/>
        </w:rPr>
        <w:t>2</w:t>
      </w:r>
      <w:r w:rsidRPr="004A016D">
        <w:rPr>
          <w:i/>
          <w:iCs/>
          <w:vertAlign w:val="subscript"/>
        </w:rPr>
        <w:t>e</w:t>
      </w:r>
      <w:r>
        <w:t xml:space="preserve"> = 0.7; </w:t>
      </w:r>
      <w:r w:rsidRPr="00D922A9">
        <w:t>#QTNs = 100</w:t>
      </w:r>
      <w:r>
        <w:t xml:space="preserve"> }), performance of SVR and MLP was comparable to that of parametric methods, </w:t>
      </w:r>
      <w:r w:rsidR="00DC00D6">
        <w:t>whereas,</w:t>
      </w:r>
      <w:r>
        <w:t xml:space="preserve"> tree-based methods (RF, XGBoost) were better </w:t>
      </w:r>
      <w:r w:rsidR="00DC00D6">
        <w:t>than that</w:t>
      </w:r>
      <w:r w:rsidR="00F74E6C">
        <w:t xml:space="preserve"> (</w:t>
      </w:r>
      <w:r w:rsidR="00F74E6C" w:rsidRPr="00F74E6C">
        <w:rPr>
          <w:i/>
          <w:iCs/>
        </w:rPr>
        <w:t>Figure S8</w:t>
      </w:r>
      <w:r w:rsidR="00F74E6C">
        <w:t>)</w:t>
      </w:r>
      <w:r w:rsidR="00DC00D6">
        <w:t>.</w:t>
      </w:r>
      <w:r w:rsidR="00756C77">
        <w:t xml:space="preserve"> </w:t>
      </w:r>
      <w:r>
        <w:t>Therefore, we consider</w:t>
      </w:r>
      <w:r w:rsidR="00756C77">
        <w:t>ed</w:t>
      </w:r>
      <w:r>
        <w:t xml:space="preserve"> tree-based methods </w:t>
      </w:r>
      <w:r w:rsidR="00756C77">
        <w:t>to be more appropriate representatives from the</w:t>
      </w:r>
      <w:r>
        <w:t xml:space="preserve"> ML methods for GP.</w:t>
      </w:r>
    </w:p>
    <w:p w14:paraId="18121560" w14:textId="1CB51679" w:rsidR="002939FE" w:rsidRDefault="00802324" w:rsidP="00802324">
      <w:pPr>
        <w:pStyle w:val="Kop1"/>
      </w:pPr>
      <w:r>
        <w:t>References</w:t>
      </w:r>
    </w:p>
    <w:p w14:paraId="504E5BB7" w14:textId="77777777" w:rsidR="00460A2D" w:rsidRPr="00460A2D" w:rsidRDefault="002939FE" w:rsidP="00460A2D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460A2D" w:rsidRPr="00460A2D">
        <w:t xml:space="preserve">Azodi, C. B., E. Bolger, A. McCarren, M. Roantree, G. de Los Campos and S.-H. Shiu (2019). "Benchmarking parametric and Machine Learning models for genomic prediction of complex traits." </w:t>
      </w:r>
      <w:r w:rsidR="00460A2D" w:rsidRPr="00460A2D">
        <w:rPr>
          <w:u w:val="single"/>
        </w:rPr>
        <w:t>G3: Genes, Genomes, Genetics</w:t>
      </w:r>
      <w:r w:rsidR="00460A2D" w:rsidRPr="00460A2D">
        <w:t xml:space="preserve"> </w:t>
      </w:r>
      <w:r w:rsidR="00460A2D" w:rsidRPr="00460A2D">
        <w:rPr>
          <w:b/>
        </w:rPr>
        <w:t>9</w:t>
      </w:r>
      <w:r w:rsidR="00460A2D" w:rsidRPr="00460A2D">
        <w:t>(11): 3691-3702.</w:t>
      </w:r>
    </w:p>
    <w:p w14:paraId="29C3D321" w14:textId="77777777" w:rsidR="00460A2D" w:rsidRPr="00460A2D" w:rsidRDefault="00460A2D" w:rsidP="00460A2D">
      <w:pPr>
        <w:pStyle w:val="EndNoteBibliography"/>
        <w:spacing w:after="0"/>
      </w:pPr>
      <w:r w:rsidRPr="00460A2D">
        <w:t xml:space="preserve">Boser, B. E., I. M. Guyon and V. N. Vapnik (1992). </w:t>
      </w:r>
      <w:r w:rsidRPr="00460A2D">
        <w:rPr>
          <w:u w:val="single"/>
        </w:rPr>
        <w:t>A training algorithm for optimal margin classifiers</w:t>
      </w:r>
      <w:r w:rsidRPr="00460A2D">
        <w:t>. Proceedings of the fifth annual workshop on Computational learning theory.</w:t>
      </w:r>
    </w:p>
    <w:p w14:paraId="05489EA6" w14:textId="77777777" w:rsidR="00460A2D" w:rsidRPr="00460A2D" w:rsidRDefault="00460A2D" w:rsidP="00460A2D">
      <w:pPr>
        <w:pStyle w:val="EndNoteBibliography"/>
        <w:spacing w:after="0"/>
      </w:pPr>
      <w:r w:rsidRPr="00460A2D">
        <w:t xml:space="preserve">Guo, B. (2021). "Multi Task deep learning for genomic predictions." </w:t>
      </w:r>
      <w:r w:rsidRPr="00460A2D">
        <w:rPr>
          <w:u w:val="single"/>
        </w:rPr>
        <w:t>bioRxiv</w:t>
      </w:r>
      <w:r w:rsidRPr="00460A2D">
        <w:t>: 2021.2001.2015.426878.</w:t>
      </w:r>
    </w:p>
    <w:p w14:paraId="5226887D" w14:textId="77777777" w:rsidR="00460A2D" w:rsidRPr="00460A2D" w:rsidRDefault="00460A2D" w:rsidP="00460A2D">
      <w:pPr>
        <w:pStyle w:val="EndNoteBibliography"/>
        <w:spacing w:after="0"/>
      </w:pPr>
      <w:r w:rsidRPr="00460A2D">
        <w:t xml:space="preserve">Montesinos-López, O. A., A. Montesinos-López, P. Pérez-Rodríguez, J. A. Barrón-López, J. W. R. Martini, S. B. Fajardo-Flores, L. S. Gaytan-Lugo, P. C. Santana-Mancilla and J. Crossa (2021). "A review of deep learning applications for genomic selection." </w:t>
      </w:r>
      <w:r w:rsidRPr="00460A2D">
        <w:rPr>
          <w:u w:val="single"/>
        </w:rPr>
        <w:t>BMC Genomics</w:t>
      </w:r>
      <w:r w:rsidRPr="00460A2D">
        <w:t xml:space="preserve"> </w:t>
      </w:r>
      <w:r w:rsidRPr="00460A2D">
        <w:rPr>
          <w:b/>
        </w:rPr>
        <w:t>22</w:t>
      </w:r>
      <w:r w:rsidRPr="00460A2D">
        <w:t>(1): 19.</w:t>
      </w:r>
    </w:p>
    <w:p w14:paraId="12B4D6A3" w14:textId="77777777" w:rsidR="00460A2D" w:rsidRPr="00460A2D" w:rsidRDefault="00460A2D" w:rsidP="00460A2D">
      <w:pPr>
        <w:pStyle w:val="EndNoteBibliography"/>
        <w:spacing w:after="0"/>
      </w:pPr>
      <w:r w:rsidRPr="00460A2D">
        <w:t xml:space="preserve">Ogutu, J. O., H. P. Piepho and T. Schulz-Streeck (2011). "A comparison of random forests, boosting and support vector machines for genomic selection." </w:t>
      </w:r>
      <w:r w:rsidRPr="00460A2D">
        <w:rPr>
          <w:u w:val="single"/>
        </w:rPr>
        <w:t>BMC Proceedings</w:t>
      </w:r>
      <w:r w:rsidRPr="00460A2D">
        <w:t xml:space="preserve"> </w:t>
      </w:r>
      <w:r w:rsidRPr="00460A2D">
        <w:rPr>
          <w:b/>
        </w:rPr>
        <w:t>5 Suppl 3</w:t>
      </w:r>
      <w:r w:rsidRPr="00460A2D">
        <w:t>: S11.</w:t>
      </w:r>
    </w:p>
    <w:p w14:paraId="024752CF" w14:textId="77777777" w:rsidR="00460A2D" w:rsidRPr="00460A2D" w:rsidRDefault="00460A2D" w:rsidP="00460A2D">
      <w:pPr>
        <w:pStyle w:val="EndNoteBibliography"/>
      </w:pPr>
      <w:r w:rsidRPr="00460A2D">
        <w:t xml:space="preserve">Sandhu, K. S., D. N. Lozada, Z. Zhang, M. O. Pumphrey and A. H. Carter (2021). "Deep learning for predicting complex traits in spring wheat breeding program." </w:t>
      </w:r>
      <w:r w:rsidRPr="00460A2D">
        <w:rPr>
          <w:u w:val="single"/>
        </w:rPr>
        <w:t>Frontiers in Plant Science</w:t>
      </w:r>
      <w:r w:rsidRPr="00460A2D">
        <w:t xml:space="preserve"> </w:t>
      </w:r>
      <w:r w:rsidRPr="00460A2D">
        <w:rPr>
          <w:b/>
        </w:rPr>
        <w:t>11</w:t>
      </w:r>
      <w:r w:rsidRPr="00460A2D">
        <w:t>: 2084.</w:t>
      </w:r>
    </w:p>
    <w:p w14:paraId="40714300" w14:textId="45914BB5" w:rsidR="00A71F8A" w:rsidRPr="00A71F8A" w:rsidRDefault="002939FE" w:rsidP="00A71F8A">
      <w:r>
        <w:fldChar w:fldCharType="end"/>
      </w:r>
    </w:p>
    <w:sectPr w:rsidR="00A71F8A" w:rsidRPr="00A71F8A">
      <w:headerReference w:type="default" r:id="rId7"/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087FD" w14:textId="77777777" w:rsidR="002356F7" w:rsidRDefault="002356F7" w:rsidP="0091601F">
      <w:pPr>
        <w:spacing w:after="0" w:line="240" w:lineRule="auto"/>
      </w:pPr>
      <w:r>
        <w:separator/>
      </w:r>
    </w:p>
  </w:endnote>
  <w:endnote w:type="continuationSeparator" w:id="0">
    <w:p w14:paraId="649322DF" w14:textId="77777777" w:rsidR="002356F7" w:rsidRDefault="002356F7" w:rsidP="00916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39B5AD" w14:textId="77777777" w:rsidR="002356F7" w:rsidRDefault="002356F7" w:rsidP="0091601F">
      <w:pPr>
        <w:spacing w:after="0" w:line="240" w:lineRule="auto"/>
      </w:pPr>
      <w:r>
        <w:separator/>
      </w:r>
    </w:p>
  </w:footnote>
  <w:footnote w:type="continuationSeparator" w:id="0">
    <w:p w14:paraId="4CB1E03F" w14:textId="77777777" w:rsidR="002356F7" w:rsidRDefault="002356F7" w:rsidP="009160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69C462" w14:textId="5519E23B" w:rsidR="0091601F" w:rsidRPr="0091601F" w:rsidRDefault="0091601F" w:rsidP="0091601F">
    <w:pPr>
      <w:pStyle w:val="Koptekst"/>
      <w:jc w:val="right"/>
      <w:rPr>
        <w:b/>
        <w:bCs/>
        <w:lang w:val="en-US"/>
      </w:rPr>
    </w:pPr>
    <w:r w:rsidRPr="0091601F">
      <w:rPr>
        <w:b/>
        <w:bCs/>
        <w:lang w:val="en-US"/>
      </w:rPr>
      <w:t>APPEND</w:t>
    </w:r>
    <w:r w:rsidR="00E973E5">
      <w:rPr>
        <w:b/>
        <w:bCs/>
        <w:lang w:val="en-US"/>
      </w:rPr>
      <w:t>I</w:t>
    </w:r>
    <w:r w:rsidRPr="0091601F">
      <w:rPr>
        <w:b/>
        <w:bCs/>
        <w:lang w:val="en-US"/>
      </w:rPr>
      <w:t>X-I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DF26AF"/>
    <w:multiLevelType w:val="multilevel"/>
    <w:tmpl w:val="04325F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5D932747"/>
    <w:multiLevelType w:val="hybridMultilevel"/>
    <w:tmpl w:val="19120E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trackRevision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5ta2edxlvve0zexexkperz9002ssdzvvxvx&quot;&gt;My EndNote Library Copy 230219&lt;record-ids&gt;&lt;item&gt;20654&lt;/item&gt;&lt;item&gt;26505&lt;/item&gt;&lt;item&gt;26542&lt;/item&gt;&lt;item&gt;26546&lt;/item&gt;&lt;item&gt;26586&lt;/item&gt;&lt;item&gt;26881&lt;/item&gt;&lt;/record-ids&gt;&lt;/item&gt;&lt;/Libraries&gt;"/>
  </w:docVars>
  <w:rsids>
    <w:rsidRoot w:val="00557846"/>
    <w:rsid w:val="00014EF1"/>
    <w:rsid w:val="00021632"/>
    <w:rsid w:val="00032C7F"/>
    <w:rsid w:val="0006011F"/>
    <w:rsid w:val="0009057F"/>
    <w:rsid w:val="000D2A71"/>
    <w:rsid w:val="000D513D"/>
    <w:rsid w:val="000D6D8B"/>
    <w:rsid w:val="00136C19"/>
    <w:rsid w:val="001509B3"/>
    <w:rsid w:val="0020561D"/>
    <w:rsid w:val="002109B9"/>
    <w:rsid w:val="00215EE1"/>
    <w:rsid w:val="002356F7"/>
    <w:rsid w:val="0023691F"/>
    <w:rsid w:val="002440E3"/>
    <w:rsid w:val="002550FC"/>
    <w:rsid w:val="00286AF3"/>
    <w:rsid w:val="002939FE"/>
    <w:rsid w:val="002B1204"/>
    <w:rsid w:val="002E6352"/>
    <w:rsid w:val="002F6A4F"/>
    <w:rsid w:val="00345364"/>
    <w:rsid w:val="00367BF4"/>
    <w:rsid w:val="003E0492"/>
    <w:rsid w:val="003E6732"/>
    <w:rsid w:val="00445B61"/>
    <w:rsid w:val="00455116"/>
    <w:rsid w:val="00460A2D"/>
    <w:rsid w:val="004730F2"/>
    <w:rsid w:val="004D0B52"/>
    <w:rsid w:val="004D3503"/>
    <w:rsid w:val="005314B2"/>
    <w:rsid w:val="00557846"/>
    <w:rsid w:val="00582299"/>
    <w:rsid w:val="005D2E8D"/>
    <w:rsid w:val="006014AB"/>
    <w:rsid w:val="00684C4E"/>
    <w:rsid w:val="006A26E3"/>
    <w:rsid w:val="006B7902"/>
    <w:rsid w:val="006D4F9F"/>
    <w:rsid w:val="006F37B5"/>
    <w:rsid w:val="006F479A"/>
    <w:rsid w:val="00717C77"/>
    <w:rsid w:val="007369B1"/>
    <w:rsid w:val="00736E80"/>
    <w:rsid w:val="00756C77"/>
    <w:rsid w:val="00767D68"/>
    <w:rsid w:val="007A0250"/>
    <w:rsid w:val="007A4DE4"/>
    <w:rsid w:val="007B3929"/>
    <w:rsid w:val="00802324"/>
    <w:rsid w:val="00841853"/>
    <w:rsid w:val="00854416"/>
    <w:rsid w:val="00857E54"/>
    <w:rsid w:val="00874E2D"/>
    <w:rsid w:val="008A202C"/>
    <w:rsid w:val="008A2076"/>
    <w:rsid w:val="008F4BC2"/>
    <w:rsid w:val="00914497"/>
    <w:rsid w:val="0091601F"/>
    <w:rsid w:val="00920FC8"/>
    <w:rsid w:val="009D7DD9"/>
    <w:rsid w:val="009F0021"/>
    <w:rsid w:val="00A2481C"/>
    <w:rsid w:val="00A71F8A"/>
    <w:rsid w:val="00A87036"/>
    <w:rsid w:val="00AA218C"/>
    <w:rsid w:val="00AC246A"/>
    <w:rsid w:val="00AD3C95"/>
    <w:rsid w:val="00AE4AD8"/>
    <w:rsid w:val="00B017DE"/>
    <w:rsid w:val="00B717F1"/>
    <w:rsid w:val="00BA2C35"/>
    <w:rsid w:val="00BA35C4"/>
    <w:rsid w:val="00BA767B"/>
    <w:rsid w:val="00BD3618"/>
    <w:rsid w:val="00C721AB"/>
    <w:rsid w:val="00CB38A0"/>
    <w:rsid w:val="00D06FE4"/>
    <w:rsid w:val="00DB4320"/>
    <w:rsid w:val="00DC00D6"/>
    <w:rsid w:val="00DD66D8"/>
    <w:rsid w:val="00DE4357"/>
    <w:rsid w:val="00DE7737"/>
    <w:rsid w:val="00DF6203"/>
    <w:rsid w:val="00E335A6"/>
    <w:rsid w:val="00E71E98"/>
    <w:rsid w:val="00E7766E"/>
    <w:rsid w:val="00E83E33"/>
    <w:rsid w:val="00E90014"/>
    <w:rsid w:val="00E92E3C"/>
    <w:rsid w:val="00E93612"/>
    <w:rsid w:val="00E94502"/>
    <w:rsid w:val="00E973E5"/>
    <w:rsid w:val="00EA5CE4"/>
    <w:rsid w:val="00EC4F63"/>
    <w:rsid w:val="00F04344"/>
    <w:rsid w:val="00F57CD7"/>
    <w:rsid w:val="00F72AD6"/>
    <w:rsid w:val="00F74E6C"/>
    <w:rsid w:val="00FE0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9B9942"/>
  <w15:chartTrackingRefBased/>
  <w15:docId w15:val="{FD6A319F-285F-46D7-8D63-289DEB6CA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17"/>
        <w:szCs w:val="22"/>
        <w:lang w:val="en-GB" w:eastAsia="en-US" w:bidi="ar-SA"/>
      </w:rPr>
    </w:rPrDefault>
    <w:pPrDefault>
      <w:pPr>
        <w:spacing w:after="160" w:line="30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369B1"/>
    <w:pPr>
      <w:jc w:val="both"/>
    </w:pPr>
    <w:rPr>
      <w:rFonts w:ascii="Calibri" w:hAnsi="Calibri"/>
      <w:sz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014EF1"/>
    <w:pPr>
      <w:keepNext/>
      <w:keepLines/>
      <w:spacing w:before="240" w:after="0"/>
      <w:outlineLvl w:val="0"/>
    </w:pPr>
    <w:rPr>
      <w:rFonts w:asciiTheme="minorHAnsi" w:eastAsiaTheme="majorEastAsia" w:hAnsiTheme="minorHAnsi" w:cstheme="minorHAnsi"/>
      <w:b/>
      <w:bCs/>
      <w:sz w:val="36"/>
      <w:szCs w:val="28"/>
    </w:rPr>
  </w:style>
  <w:style w:type="paragraph" w:styleId="Kop2">
    <w:name w:val="heading 2"/>
    <w:basedOn w:val="Kop1"/>
    <w:next w:val="Standaard"/>
    <w:link w:val="Kop2Char"/>
    <w:uiPriority w:val="9"/>
    <w:unhideWhenUsed/>
    <w:qFormat/>
    <w:rsid w:val="00684C4E"/>
    <w:pPr>
      <w:outlineLvl w:val="1"/>
    </w:pPr>
    <w:rPr>
      <w:sz w:val="34"/>
      <w:szCs w:val="34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A71F8A"/>
    <w:pPr>
      <w:outlineLvl w:val="2"/>
    </w:pPr>
    <w:rPr>
      <w:rFonts w:asciiTheme="minorHAnsi" w:hAnsiTheme="minorHAnsi" w:cstheme="minorHAnsi"/>
      <w:b/>
      <w:bCs/>
      <w:sz w:val="27"/>
      <w:szCs w:val="27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unhideWhenUsed/>
    <w:rsid w:val="0091601F"/>
    <w:pPr>
      <w:spacing w:line="240" w:lineRule="auto"/>
    </w:pPr>
    <w:rPr>
      <w:rFonts w:eastAsia="Calibri" w:cs="Calibri"/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91601F"/>
    <w:rPr>
      <w:rFonts w:ascii="Calibri" w:eastAsia="Calibri" w:hAnsi="Calibri" w:cs="Calibri"/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91601F"/>
    <w:rPr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9160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1601F"/>
  </w:style>
  <w:style w:type="paragraph" w:styleId="Voettekst">
    <w:name w:val="footer"/>
    <w:basedOn w:val="Standaard"/>
    <w:link w:val="VoettekstChar"/>
    <w:uiPriority w:val="99"/>
    <w:unhideWhenUsed/>
    <w:rsid w:val="009160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1601F"/>
  </w:style>
  <w:style w:type="character" w:customStyle="1" w:styleId="Kop1Char">
    <w:name w:val="Kop 1 Char"/>
    <w:basedOn w:val="Standaardalinea-lettertype"/>
    <w:link w:val="Kop1"/>
    <w:uiPriority w:val="9"/>
    <w:rsid w:val="00014EF1"/>
    <w:rPr>
      <w:rFonts w:asciiTheme="minorHAnsi" w:eastAsiaTheme="majorEastAsia" w:hAnsiTheme="minorHAnsi" w:cstheme="minorHAnsi"/>
      <w:b/>
      <w:bCs/>
      <w:sz w:val="36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684C4E"/>
    <w:rPr>
      <w:rFonts w:asciiTheme="minorHAnsi" w:eastAsiaTheme="majorEastAsia" w:hAnsiTheme="minorHAnsi" w:cstheme="minorHAnsi"/>
      <w:b/>
      <w:bCs/>
      <w:sz w:val="34"/>
      <w:szCs w:val="34"/>
    </w:rPr>
  </w:style>
  <w:style w:type="character" w:customStyle="1" w:styleId="Kop3Char">
    <w:name w:val="Kop 3 Char"/>
    <w:basedOn w:val="Standaardalinea-lettertype"/>
    <w:link w:val="Kop3"/>
    <w:uiPriority w:val="9"/>
    <w:rsid w:val="00A71F8A"/>
    <w:rPr>
      <w:rFonts w:asciiTheme="minorHAnsi" w:hAnsiTheme="minorHAnsi" w:cstheme="minorHAnsi"/>
      <w:b/>
      <w:bCs/>
      <w:sz w:val="27"/>
      <w:szCs w:val="27"/>
    </w:rPr>
  </w:style>
  <w:style w:type="character" w:styleId="Tekstvantijdelijkeaanduiding">
    <w:name w:val="Placeholder Text"/>
    <w:basedOn w:val="Standaardalinea-lettertype"/>
    <w:uiPriority w:val="99"/>
    <w:semiHidden/>
    <w:rsid w:val="00CB38A0"/>
    <w:rPr>
      <w:color w:val="808080"/>
    </w:rPr>
  </w:style>
  <w:style w:type="paragraph" w:customStyle="1" w:styleId="EndNoteBibliographyTitle">
    <w:name w:val="EndNote Bibliography Title"/>
    <w:basedOn w:val="Standaard"/>
    <w:link w:val="EndNoteBibliographyTitleChar"/>
    <w:rsid w:val="002939FE"/>
    <w:pPr>
      <w:spacing w:after="0"/>
      <w:jc w:val="center"/>
    </w:pPr>
    <w:rPr>
      <w:rFonts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2939FE"/>
    <w:rPr>
      <w:rFonts w:ascii="Calibri" w:hAnsi="Calibri" w:cs="Calibri"/>
      <w:noProof/>
      <w:sz w:val="22"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2939FE"/>
    <w:pPr>
      <w:spacing w:line="240" w:lineRule="auto"/>
    </w:pPr>
    <w:rPr>
      <w:rFonts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2939FE"/>
    <w:rPr>
      <w:rFonts w:ascii="Calibri" w:hAnsi="Calibri" w:cs="Calibri"/>
      <w:noProof/>
      <w:sz w:val="22"/>
      <w:lang w:val="en-US"/>
    </w:rPr>
  </w:style>
  <w:style w:type="paragraph" w:styleId="Revisie">
    <w:name w:val="Revision"/>
    <w:hidden/>
    <w:uiPriority w:val="99"/>
    <w:semiHidden/>
    <w:rsid w:val="004D3503"/>
    <w:pPr>
      <w:spacing w:after="0" w:line="240" w:lineRule="auto"/>
    </w:pPr>
    <w:rPr>
      <w:rFonts w:ascii="Calibri" w:hAnsi="Calibri"/>
      <w:sz w:val="22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4D3503"/>
    <w:rPr>
      <w:rFonts w:eastAsiaTheme="minorHAnsi" w:cstheme="minorBidi"/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4D3503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1652</Words>
  <Characters>9089</Characters>
  <Application>Microsoft Office Word</Application>
  <DocSecurity>0</DocSecurity>
  <Lines>75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Farooq, Muhammad</dc:creator>
  <cp:keywords/>
  <dc:description/>
  <cp:lastModifiedBy>Harm Harm</cp:lastModifiedBy>
  <cp:revision>2</cp:revision>
  <dcterms:created xsi:type="dcterms:W3CDTF">2022-01-27T09:27:00Z</dcterms:created>
  <dcterms:modified xsi:type="dcterms:W3CDTF">2022-01-27T09:27:00Z</dcterms:modified>
</cp:coreProperties>
</file>