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70D2" w:rsidRPr="0088513A" w:rsidRDefault="00E570D2" w:rsidP="00E570D2">
      <w:pPr>
        <w:rPr>
          <w:rFonts w:cs="Times New Roman"/>
          <w:szCs w:val="24"/>
        </w:rPr>
      </w:pPr>
      <w:r>
        <w:rPr>
          <w:rFonts w:cs="Times New Roman"/>
          <w:szCs w:val="24"/>
        </w:rPr>
        <w:t xml:space="preserve">Table 1. Characteristics for included studies </w:t>
      </w:r>
    </w:p>
    <w:tbl>
      <w:tblPr>
        <w:tblW w:w="15135"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624"/>
        <w:gridCol w:w="716"/>
        <w:gridCol w:w="689"/>
        <w:gridCol w:w="620"/>
        <w:gridCol w:w="745"/>
        <w:gridCol w:w="671"/>
        <w:gridCol w:w="795"/>
        <w:gridCol w:w="815"/>
        <w:gridCol w:w="625"/>
        <w:gridCol w:w="750"/>
        <w:gridCol w:w="518"/>
        <w:gridCol w:w="457"/>
        <w:gridCol w:w="470"/>
        <w:gridCol w:w="874"/>
        <w:gridCol w:w="1136"/>
        <w:gridCol w:w="1027"/>
        <w:gridCol w:w="984"/>
        <w:gridCol w:w="1036"/>
        <w:gridCol w:w="872"/>
      </w:tblGrid>
      <w:tr w:rsidR="00E570D2" w:rsidRPr="00051688" w:rsidTr="00917030">
        <w:trPr>
          <w:trHeight w:val="34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w:t>
            </w:r>
          </w:p>
        </w:tc>
        <w:tc>
          <w:tcPr>
            <w:tcW w:w="2649" w:type="dxa"/>
            <w:gridSpan w:val="4"/>
            <w:shd w:val="clear" w:color="auto" w:fill="auto"/>
            <w:vAlign w:val="center"/>
          </w:tcPr>
          <w:p w:rsidR="00E570D2" w:rsidRPr="00F660DA" w:rsidRDefault="00E570D2" w:rsidP="00917030">
            <w:pPr>
              <w:spacing w:before="10" w:after="10"/>
              <w:jc w:val="center"/>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Setting</w:t>
            </w:r>
          </w:p>
        </w:tc>
        <w:tc>
          <w:tcPr>
            <w:tcW w:w="3651" w:type="dxa"/>
            <w:gridSpan w:val="5"/>
            <w:shd w:val="clear" w:color="auto" w:fill="auto"/>
            <w:noWrap/>
            <w:vAlign w:val="center"/>
            <w:hideMark/>
          </w:tcPr>
          <w:p w:rsidR="00E570D2" w:rsidRPr="00F660DA" w:rsidRDefault="00E570D2" w:rsidP="00917030">
            <w:pPr>
              <w:spacing w:before="10" w:after="10"/>
              <w:jc w:val="center"/>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Methods</w:t>
            </w:r>
          </w:p>
        </w:tc>
        <w:tc>
          <w:tcPr>
            <w:tcW w:w="3069" w:type="dxa"/>
            <w:gridSpan w:val="5"/>
            <w:shd w:val="clear" w:color="auto" w:fill="auto"/>
            <w:noWrap/>
            <w:vAlign w:val="center"/>
            <w:hideMark/>
          </w:tcPr>
          <w:p w:rsidR="00E570D2" w:rsidRPr="00F660DA" w:rsidRDefault="00E570D2" w:rsidP="00917030">
            <w:pPr>
              <w:spacing w:before="10" w:after="10"/>
              <w:jc w:val="center"/>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Population</w:t>
            </w:r>
          </w:p>
        </w:tc>
        <w:tc>
          <w:tcPr>
            <w:tcW w:w="5055" w:type="dxa"/>
            <w:gridSpan w:val="5"/>
            <w:shd w:val="clear" w:color="auto" w:fill="auto"/>
            <w:noWrap/>
            <w:vAlign w:val="center"/>
            <w:hideMark/>
          </w:tcPr>
          <w:p w:rsidR="00E570D2" w:rsidRPr="00F660DA" w:rsidRDefault="00E570D2" w:rsidP="00917030">
            <w:pPr>
              <w:spacing w:before="10" w:after="10"/>
              <w:jc w:val="center"/>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Intervention</w:t>
            </w:r>
          </w:p>
        </w:tc>
      </w:tr>
      <w:tr w:rsidR="00E570D2" w:rsidRPr="00051688" w:rsidTr="00917030">
        <w:trPr>
          <w:trHeight w:val="449"/>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Study ID</w:t>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Year Published</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Country</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Setting Type</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Years of data collection</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Scale</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Study Design</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Data source</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Effectiveness Measures Captured</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MMAT Score</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Types of stakeholders</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 Female</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Mean Age</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 White</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 xml:space="preserve">Other race or ethnicity information    </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Disease Areas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Population that genetic screening was offered</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Comparison Group</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Type of healthcare provider available for prescreen consultation</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b/>
                <w:bCs/>
                <w:color w:val="000000"/>
                <w:sz w:val="10"/>
                <w:szCs w:val="10"/>
              </w:rPr>
            </w:pPr>
            <w:r w:rsidRPr="00F660DA">
              <w:rPr>
                <w:rFonts w:ascii="Calibri" w:eastAsia="Times New Roman" w:hAnsi="Calibri" w:cs="Calibri"/>
                <w:b/>
                <w:bCs/>
                <w:color w:val="000000"/>
                <w:sz w:val="10"/>
                <w:szCs w:val="10"/>
              </w:rPr>
              <w:t>Type of healthcare provider available for post-screen consultation</w:t>
            </w:r>
          </w:p>
        </w:tc>
      </w:tr>
      <w:tr w:rsidR="00E570D2" w:rsidRPr="00051688" w:rsidTr="00917030">
        <w:trPr>
          <w:trHeight w:val="62"/>
        </w:trPr>
        <w:tc>
          <w:tcPr>
            <w:tcW w:w="711" w:type="dxa"/>
            <w:shd w:val="clear" w:color="auto" w:fill="auto"/>
            <w:noWrap/>
            <w:vAlign w:val="center"/>
            <w:hideMark/>
          </w:tcPr>
          <w:p w:rsidR="00E570D2" w:rsidRPr="00623369" w:rsidRDefault="00E570D2" w:rsidP="00917030">
            <w:pPr>
              <w:spacing w:before="10" w:after="10"/>
              <w:rPr>
                <w:rFonts w:ascii="Calibri" w:eastAsia="Times New Roman" w:hAnsi="Calibri" w:cs="Calibri"/>
                <w:color w:val="000000"/>
                <w:sz w:val="10"/>
                <w:szCs w:val="10"/>
                <w:lang w:val="nl-NL"/>
              </w:rPr>
            </w:pPr>
            <w:r w:rsidRPr="00F660DA">
              <w:rPr>
                <w:rFonts w:ascii="Calibri" w:eastAsia="Times New Roman" w:hAnsi="Calibri" w:cs="Calibri"/>
                <w:color w:val="000000"/>
                <w:sz w:val="10"/>
                <w:szCs w:val="10"/>
              </w:rPr>
              <w:fldChar w:fldCharType="begin"/>
            </w:r>
            <w:r w:rsidRPr="00623369">
              <w:rPr>
                <w:rFonts w:ascii="Calibri" w:eastAsia="Times New Roman" w:hAnsi="Calibri" w:cs="Calibri"/>
                <w:color w:val="000000"/>
                <w:sz w:val="10"/>
                <w:szCs w:val="10"/>
                <w:lang w:val="nl-NL"/>
              </w:rPr>
              <w:instrText xml:space="preserve"> ADDIN ZOTERO_ITEM CSL_CITATION {"citationID":"mYoJkLr3","properties":{"formattedCitation":"(Allen K.J. et al., 2008)","plainCitation":"(Allen K.J. et al., 2008)","noteIndex":0},"citationItems":[{"id":12,"uris":["http://zotero.org/users/local/hrXXo6WQ/items/KYWKIGSZ"],"uri":["http://zotero.org/users/local/hrXXo6WQ/items/KYWKIGSZ"],"itemData":{"id":12,"type":"article-journal","abstract":"Background/Aims: If community screening for hereditary haemochromatosis is to be considered, compliance with preventative measures and absence of significant psychological morbidity must be demonstrated. Methods: Workplace screening for the HFE C282Y mutation and then clinical care for C282Y homozygotes was instituted. Data were collected on understanding of test results, perceived health status and anxiety for C282Y homozygotes compared with controls. Uptake of clinical care, compliance and response to treatment and changes in diet were monitored for up to 4 years for C282Y homozygotes. Results: After 11307 individuals were screened, 40/47 (85%) newly identified C282Y homozygotes completed questionnaires 12 months after diagnosis compared with 79/126 (63%) of controls. Significantly more C282Y homozygotes correctly remembered their test result compared with controls (95 vs 51%, P &lt;0.0001). No significant difference in perceived health status was observed within or between the two groups at 12 months compared with baseline. Anxiety levels decreased significantly for C282Y homozygotes at 12 months compared with before testing (P &lt;0.05). Forty-five of the 47 (95.8%) C282Y homozygotes accessed clinical care for at least 12 months. All 22 participants requiring therapeutic venesection complied with treatment for at least 12 months (range 12-47 months). Conclusion: Individuals at a high genetic risk of developing haemochromatosis use clinical services appropriately, maintain their health and are not 'worried well'. Population genetic screening for haemochromatosis can be conducted in the work place in a way that is acceptable and beneficial to participants. © 2008 The Authors. Journal compilation © 2008 Blackwell Munksgaard.","container-title":"Liver International","DOI":"10.1111/j.1478-3231.2008.01661.x","issue":"3","journalAbbreviation":"Liver International","page":"363-369","title":"Asymptomatic individuals at genetic risk of haemochromatosis take appropriate steps to prevent disease related to iron overload","volume":"28","author":[{"literal":"Allen K.J."},{"literal":"Nisselle A.E."},{"literal":"Collins V.R."},{"literal":"Williamson R."},{"literal":"Delatycki M.B."}],"issued":{"date-parts":[["2008"]]}}}],"schema":"https://github.com/citation-style-language/schema/raw/master/csl-citation.json"} </w:instrText>
            </w:r>
            <w:r w:rsidRPr="00F660DA">
              <w:rPr>
                <w:rFonts w:ascii="Calibri" w:eastAsia="Times New Roman" w:hAnsi="Calibri" w:cs="Calibri"/>
                <w:color w:val="000000"/>
                <w:sz w:val="10"/>
                <w:szCs w:val="10"/>
              </w:rPr>
              <w:fldChar w:fldCharType="separate"/>
            </w:r>
            <w:r w:rsidRPr="00623369">
              <w:rPr>
                <w:rFonts w:ascii="Calibri" w:eastAsia="Times New Roman" w:hAnsi="Calibri" w:cs="Calibri"/>
                <w:noProof/>
                <w:color w:val="000000"/>
                <w:sz w:val="10"/>
                <w:szCs w:val="10"/>
                <w:lang w:val="nl-NL"/>
              </w:rPr>
              <w:t>(Allen K.J. et al., 2008)</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2008</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Australia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Community </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City/town</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Questionnaire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 Follow-up, Change in Health Behavior,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53</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41.6</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HFE-associated hereditary haemochromatosis </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Individuals who worked at workplaces that </w:t>
            </w:r>
            <w:proofErr w:type="spellStart"/>
            <w:r w:rsidRPr="00F660DA">
              <w:rPr>
                <w:rFonts w:ascii="Calibri" w:eastAsia="Times New Roman" w:hAnsi="Calibri" w:cs="Calibri"/>
                <w:color w:val="000000"/>
                <w:sz w:val="10"/>
                <w:szCs w:val="10"/>
              </w:rPr>
              <w:t>HaemScreen</w:t>
            </w:r>
            <w:proofErr w:type="spellEnd"/>
            <w:r w:rsidRPr="00F660DA">
              <w:rPr>
                <w:rFonts w:ascii="Calibri" w:eastAsia="Times New Roman" w:hAnsi="Calibri" w:cs="Calibri"/>
                <w:color w:val="000000"/>
                <w:sz w:val="10"/>
                <w:szCs w:val="10"/>
              </w:rPr>
              <w:t xml:space="preserve"> was implemented </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Physicians</w:t>
            </w:r>
          </w:p>
        </w:tc>
      </w:tr>
      <w:tr w:rsidR="00E570D2" w:rsidRPr="00051688" w:rsidTr="00917030">
        <w:trPr>
          <w:trHeight w:val="321"/>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{"citationID":"QNkuMS6i","properties":{"formattedCitation":"(Borry et al., 2008)","plainCitation":"(Borry et al., 2008)","noteIndex":0},"citationItems":[{"id":39,"uris":["http://zotero.org/users/local/hrXXo6WQ/items/WLNK6NA8"],"uri":["http://zotero.org/users/local/hrXXo6WQ/items/WLNK6NA8"],"itemData":{"id":39,"type":"article-journal","abstract":"The aim of this study is to gather information from European clinical geneticists about their practices and attitudes with regard to presymptomatic and predictive genetic testing in minors. European clinical institutes where genetic counseling is offered to patients were contacted. One hundred seventy-seven of the 287 eligible respondents (63%) answered a questionnaire. There was strongest support for testing young children when it provides a clear medical benefit, such as in the case of FAP and MEN2A. However, there is disagreement about when to provide predictive genetic testing for childhood-onset disorders for which therapeutic or preventive measures exist with some supporting the rule of earliest onset and others giving parents wider discretion. However, for childhood-onset disorders that do not have therapeutic measures, the majority of the respondents is unwilling to provide a presymptomatic or predictive genetic test. With respect to adolescents, many held a cautious position regarding presymptomatic and predictive genetic testing. Most clinical geneticists were unwilling to provide a presymptomatic or predictive genetic test for adult-onset diseases, except if it might provide a medical benefit. Although adolescents might be legally in the position to request a presymptomatic or predictive genetic test personally, the clinical geneticists are significantly more willing to provide a test if this request is made together with the minor's parents. This variability demonstrates the need for clinical geneticists to discuss their contradicting views and to develop harmonized practices throughout Europe.","archive_location":"18200522","container-title":"Am J Med Genet C Semin Med Genet","DOI":"10.1002/ajmg.c.30165","issue":"1","journalAbbreviation":"Am J Med Genet C Semin Med Genet","page":"78-83","title":"Attitudes regarding predictive genetic testing in minors: a survey of European clinical geneticists","volume":"148c","author":[{"family":"Borry","given":"P."},{"family":"Goffin","given":"T."},{"family":"Nys","given":"H."},{"family":"Dierickx","given":"K."}],"issued":{"date-parts":[["2008"]]}}}],"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(Borry et al., 2008)</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2008</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European Union</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2006-2007</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Questionnaire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Providers (Clinical geneticists)</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47</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{"citationID":"9ktJp0c9","properties":{"formattedCitation":"(East et al., 2019)","plainCitation":"(East et al., 2019)","noteIndex":0},"citationItems":[{"id":41,"uris":["http://zotero.org/users/local/hrXXo6WQ/items/DLF9J3CE"],"uri":["http://zotero.org/users/local/hrXXo6WQ/items/DLF9J3CE"],"itemData":{"id":41,"type":"article-journal","abstract":"Advances in genomic knowledge and technology have increased the use of comprehensive clinical sequencing tests. Genome sequencing has established utility for diagnosing patients with rare, undiagnosed diseases as well as interest in an elective context, without a clinical indication for testing. The Smith Family Clinic for Genomic Medicine, LLC in Huntsville, AL is a private practice genomic medicine clinic caring for both diagnostic (79%) and elective (21%) patients. Diagnostic and elective patients are seen on a clinical basis and receive standard care. Genome sequencing is provided on a self-pay basis, with assistance available for diagnostic patients who have financial need. Here, we describe demographics and motivations of the distinct patient populations and our experiences engaging patients in online education. Diagnostic patients were motivated by the possibility of receiving an explanation for symptoms (96%) while elective patients were motivated by the chance to learn about future disease risk (57%). Elective patients were less likely to engage with online education, with only 28% reading all assigned topics compared to 54% of diagnostic patients. Understanding the needs, interests, and barriers unique to diagnostic and elective patients is critical to inform individualized and scalable best practices in patient education and engagement. © 2019 National Society of Genetic Counselors","container-title":"J. Genet. Couns.","DOI":"10.1002/jgc4.1114","issue":"2","journalAbbreviation":"J. Genet. Couns.","note":"publisher: John Wiley and Sons Inc.","page":"438-448","title":"Understanding the present and preparing for the future: Exploring the needs of diagnostic and elective genomic medicine patients","volume":"28","author":[{"family":"East","given":"K.M."},{"family":"Cochran","given":"M."},{"family":"Kelley","given":"W.V."},{"family":"Greve","given":"V."},{"family":"Emmerson","given":"K."},{"family":"Raines","given":"G."},{"family":"Cochran","given":"J.N."},{"family":"Hott","given":"A.M."},{"family":"Bick","given":"D."}],"issued":{"date-parts":[["2019"]]}}}],"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(East et al., 2019)</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2019</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2015-2018</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59</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40</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NR </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 seen at the Smith Family Clinic for Genomic Medicine, LLC. categorized as elective (part of the Insight Genome program)</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Patients categorized as diagnostic (evaluated because of a personal or family history of disease)  </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Medical Geneticist &amp; Genetic Counselor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393"/>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{"citationID":"FUVOKdEP","properties":{"formattedCitation":"(Fenton G.L. et al., 2018)","plainCitation":"(Fenton G.L. et al., 2018)","noteIndex":0},"citationItems":[{"id":23,"uris":["http://zotero.org/users/local/hrXXo6WQ/items/U5Q3EJKK"],"uri":["http://zotero.org/users/local/hrXXo6WQ/items/U5Q3EJKK"],"itemData":{"id":23,"type":"article-journal","abstract":"Communicating personalized genomic risk results for common diseases to the general population as a form of tailored prevention is novel and may require alternative genetic counseling service delivery models. We describe the development and evaluation of a communication protocol for disclosing melanoma genomic risk information to the asymptomatic general population and assess participants' satisfaction and acceptability. Participants (n = 117) were aged 22-69 years, living in New South Wales, Australia and unselected for family history. They provided a saliva sample and had genomic testing for melanoma for low to moderate penetrant melanoma susceptibility variants in 21 genes. Participants could choose to receive their results from a genetic counselor via telephone, followed by a mailed booklet or to receive their risk result via mailed booklet only with a follow-up call for those at high risk. A follow-up questionnaire was completed by 85% of participants 3-months later. Most participants (80%) elected to receive their result via telephone. Participants were highly satisfied with the delivery of results (mean 3.4 out of 4, standard deviation 0.5), and this did not differ by delivery mode, risk category, age or sex. On follow-up, 75% accurately recalled their risk category, 6% indicated a preference for a different delivery mode, either electronic or face-to-face. The process of disclosing genomic risk results to the general population over the telephone with accompanying written material was feasible and acceptable, and may be useful for communicating polygenic risk for common diseases in the context of increasing demands for genomic testing.","container-title":"Journal of genetic counseling","DOI":"10.1007/s10897-017-0183-7","issue":"2","journalAbbreviation":"Journal of genetic counseling","page":"370-380","title":"Development and Evaluation of a Telephone Communication Protocol for the Delivery of Personalized Melanoma Genomic Risk to the General Population","volume":"27","author":[{"literal":"Fenton G.L."},{"literal":"Smit A.K."},{"literal":"Freeman L."},{"literal":"Badcock C."},{"literal":"Dunlop K."},{"literal":"Butow P.N."},{"literal":"Kirk J."},{"literal":"Cust A.E."}],"issued":{"date-parts":[["2018"]]}}}],"schema":"https://github.com/citation-style-language/schema/raw/master/csl-citation.json"}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(Fenton G.L. et al., 2018)</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2018</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Australia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Community </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State</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Mixed Methods</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Questionnaire</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Follow-up</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50</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Melanoma</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Individuals 18-69 years old with no personal history of melanoma who are part of the Cancer Council NSW "Join a Research Study" database</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Genetic Counselor </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Genetic Counselor</w:t>
            </w:r>
          </w:p>
        </w:tc>
        <w:bookmarkStart w:id="0" w:name="_GoBack"/>
        <w:bookmarkEnd w:id="0"/>
      </w:tr>
      <w:tr w:rsidR="00E570D2" w:rsidRPr="00051688" w:rsidTr="00917030">
        <w:trPr>
          <w:trHeight w:val="1113"/>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{"citationID":"9gpNGzyb","properties":{"formattedCitation":"(Godino J.G. et al., 2016)","plainCitation":"(Godino J.G. et al., 2016)","noteIndex":0},"citationItems":[{"id":21,"uris":["http://zotero.org/users/local/hrXXo6WQ/items/6NW4JTKA"],"uri":["http://zotero.org/users/local/hrXXo6WQ/items/6NW4JTKA"],"itemData":{"id":21,"type":"article-journal","abstract":"Background: Information about genetic and phenotypic risk of type 2 diabetes is now widely available and is being incorporated into disease prevention programs. Whether such information motivates behavior change or has adverse effects is uncertain. We examined the effect of communicating an estimate of genetic or phenotypic risk of type 2 diabetes in a parallel group, open, randomized controlled trial. Methods and Findings: We recruited 569 healthy middle-aged adults from the Fenland Study, an ongoing population-based, observational study in the east of England (Cambridgeshire, UK). We used a computer-generated random list to assign participants in blocks of six to receive either standard lifestyle advice alone (control group, n = 190) or in combination with a genetic (n = 189) or a phenotypic (n = 190) risk estimate for type 2 diabetes (intervention groups). After 8 wk, we measured the primary outcome, objectively measured physical activity (kJ/kg/day), and also measured several secondary outcomes (including self-reported diet, self-reported weight, worry, anxiety, and perceived risk). The study was powered to detect a between-group difference of 4.1 kJ/kg/d at follow-up. 557 (98%) participants completed the trial. There were no significant intervention effects on physical activity (difference in adjusted mean change from baseline: genetic risk group versus control group 0.85 kJ/kg/d (95% CI −2.07 to 3.77, p = 0.57); phenotypic risk group versus control group 1.32 (95% CI −1.61 to 4.25, p = 0.38); and genetic risk group versus phenotypic risk group −0.47 (95% CI −3.40 to 2.46, p = 0.75). No significant differences in self-reported diet, self-reported weight, worry, and anxiety were observed between trial groups. Estimates of perceived risk were significantly more accurate among those who received risk information than among those who did not. Key limitations include the recruitment of a sample that may not be representative of the UK population, use of self-reported secondary outcome measures, and a short follow-up period. Conclusions: In this study, we did not observe short-term changes in behavior associated with the communication of an estimate of genetic or phenotypic risk of type 2 diabetes. We also did not observe changes in worry or anxiety in the study population. Additional research is needed to investigate the conditions under which risk information might enhance preventive strategies. (Current Controlled Trials ISRCTN09650496; Date applied: April 4, 2011; Date assigned: June 10, 2011). Trial Registration: The trial is registered with Current Controlled Trials, ISRCTN09650496.","container-title":"PLoS Medicine","DOI":"10.1371/journal.pmed.1002185","issue":"11","journalAbbreviation":"PLoS Medicine","title":"Lifestyle Advice Combined with Personalized Estimates of Genetic or Phenotypic Risk of Type 2 Diabetes, and Objectively Measured Physical Activity: A Randomized Controlled Trial","URL":"http://www.embase.com/search/results?subaction=viewrecord&amp;from=export&amp;id=L613530979","volume":"13","author":[{"literal":"Godino J.G."},{"literal":"van Sluijs E.M.F."},{"literal":"Marteau T.M."},{"literal":"Sutton S."},{"literal":"Sharp S.J."},{"literal":"Griffin S.J."}],"issued":{"date-parts":[["2016"]]}}}],"schema":"https://github.com/citation-style-language/schema/raw/master/csl-citation.json"}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(Godino J.G. et al., 2016)</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2016</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UK</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Community </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2011</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RCT</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Questionnaire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Follow-up, Change in Health Behavior,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53</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48.7</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Type 2 diabetes mellitus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Individuals born between 1950 and 1975 registered with participating general practices in </w:t>
            </w:r>
            <w:proofErr w:type="spellStart"/>
            <w:r w:rsidRPr="00F660DA">
              <w:rPr>
                <w:rFonts w:ascii="Calibri" w:eastAsia="Times New Roman" w:hAnsi="Calibri" w:cs="Calibri"/>
                <w:color w:val="000000"/>
                <w:sz w:val="10"/>
                <w:szCs w:val="10"/>
              </w:rPr>
              <w:t>Cambridgeshire</w:t>
            </w:r>
            <w:proofErr w:type="spellEnd"/>
            <w:r w:rsidRPr="00F660DA">
              <w:rPr>
                <w:rFonts w:ascii="Calibri" w:eastAsia="Times New Roman" w:hAnsi="Calibri" w:cs="Calibri"/>
                <w:color w:val="000000"/>
                <w:sz w:val="10"/>
                <w:szCs w:val="10"/>
              </w:rPr>
              <w:t>, UK and enrolled in the Fenland Study</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Participants given no risk estimate or phenotypic risk estimate</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{"citationID":"73NanlkG","properties":{"formattedCitation":"(Haga et al., 2011)","plainCitation":"(Haga et al., 2011)","noteIndex":0},"citationItems":[{"id":37,"uris":["http://zotero.org/users/local/hrXXo6WQ/items/ZYYJ8W5Z"],"uri":["http://zotero.org/users/local/hrXXo6WQ/items/ZYYJ8W5Z"],"itemData":{"id":37,"type":"article-journal","abstract":"BACKGROUND: Genomic risk profiling involves the analysis of genetic variations linked through statistical associations to a range of disease states. There is considerable controversy as to how, and even whether, to incorporate these tests into routine medical care. OBJECTIVE: To assess physician attitudes and uptake of genomic risk profiling among an 'early adopter' practice group. DESIGN: We surveyed members of MDVIP, a national group of primary care physicians (PCPs), currently offering genomic risk profiling as part of their practice. POPULATION: All physicians in the MDVIP network (N = 356) RESULTS: We obtained a 44% response rate. One third of respondents had ordered a test for themselves and 42% for a patient. The odds of having ordered personal testing were 10.51-fold higher for those who felt well-informed about genomic risk testing (p &lt; 0.0001). Of those who had not ordered a test for themselves, 60% expressed concerns for patients regarding discrimination by life and long-term/disability insurers, 61% about test cost, and 62% about clinical utility. The odds of ordering testing for their patients was 8.29-fold higher among respondents who had ordered testing for themselves (p &lt; 0.0001). Of those who had ordered testing for patients, concerns about insurance coverage (p = 0.014) and uncertain clinical utility (p = 0.034) were associated with a lower relative frequency of intention to order testing again in the future. CONCLUSIONS: Our findings demonstrate that respondent familiarity was a key predictor of physician ordering behavior and clinical utility was a primary concern for genomic risk profiling. Educational and interpretive support may enhance uptake of genomic risk profiling.","archive_location":"21311998","container-title":"J Gen Intern Med","DOI":"10.1007/s11606-011-1651-7","issue":"8","journalAbbreviation":"J Gen Intern Med","page":"834-40","title":"Genomic risk profiling: attitudes and use in personal and clinical care of primary care physicians who offer risk profiling","volume":"26","author":[{"family":"Haga","given":"S. B."},{"family":"Carrig","given":"M. M."},{"family":"O'Daniel","given":"J. M."},{"family":"Orlando","given":"L. A."},{"family":"Killeya-Jones","given":"L. A."},{"family":"Ginsburg","given":"G. S."},{"family":"Cho","given":"A."}],"issued":{"date-parts":[["2011"]]}}}],"schema":"https://github.com/citation-style-language/schema/raw/master/csl-citation.json"}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(Haga et al., 2011)</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2011</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2010</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Providers (Primary care)</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15</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94</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0.6% African American, 3.8% Asian, 2.5% other/prefer not to answer, 1.9% Hispanic</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320"/>
        </w:trPr>
        <w:tc>
          <w:tcPr>
            <w:tcW w:w="711" w:type="dxa"/>
            <w:shd w:val="clear" w:color="auto" w:fill="auto"/>
            <w:noWrap/>
            <w:vAlign w:val="center"/>
            <w:hideMark/>
          </w:tcPr>
          <w:p w:rsidR="00E570D2" w:rsidRPr="00623369" w:rsidRDefault="00E570D2" w:rsidP="00917030">
            <w:pPr>
              <w:spacing w:before="10" w:after="10"/>
              <w:rPr>
                <w:rFonts w:ascii="Calibri" w:eastAsia="Times New Roman" w:hAnsi="Calibri" w:cs="Calibri"/>
                <w:color w:val="000000"/>
                <w:sz w:val="10"/>
                <w:szCs w:val="10"/>
                <w:lang w:val="nb-NO"/>
              </w:rPr>
            </w:pPr>
            <w:r w:rsidRPr="00F660DA">
              <w:rPr>
                <w:rFonts w:ascii="Calibri" w:eastAsia="Times New Roman" w:hAnsi="Calibri" w:cs="Calibri"/>
                <w:color w:val="000000"/>
                <w:sz w:val="10"/>
                <w:szCs w:val="10"/>
              </w:rPr>
              <w:fldChar w:fldCharType="begin"/>
            </w:r>
            <w:r w:rsidRPr="00623369">
              <w:rPr>
                <w:rFonts w:ascii="Calibri" w:eastAsia="Times New Roman" w:hAnsi="Calibri" w:cs="Calibri"/>
                <w:color w:val="000000"/>
                <w:sz w:val="10"/>
                <w:szCs w:val="10"/>
                <w:lang w:val="nb-NO"/>
              </w:rPr>
              <w:instrText xml:space="preserve"> ADDIN ZOTERO_ITEM CSL_CITATION {"citationID":"IfYg3xKe","properties":{"formattedCitation":"(Haga S.B. et al., 2014)","plainCitation":"(Haga S.B. et al., 2014)","noteIndex":0},"citationItems":[{"id":14,"uris":["http://zotero.org/users/local/hrXXo6WQ/items/BAVHXKUS"],"uri":["http://zotero.org/users/local/hrXXo6WQ/items/BAVHXKUS"],"itemData":{"id":14,"type":"article-journal","abstract":"Background: Genetic information, typically communicated in-person by genetic counselors, can be challenging to comprehend; delivery of this information online - as is becoming more common - has the potential of increasing these challenges. Methods: To address the impact of the mode of delivery of genomic risk information, 300 individuals were recruited from the general public and randomized to receive genomic risk information for type 2 diabetes mellitus in-person from a board-certified genetic counselor or online through the testing company's website. Results: Participants were asked to indicate their genomic risk and overall lifetime risk as reported on their test report as well as to interpret their genomic risk (increased, decreased, or same as population). For each question, 59% of participants correctly indicated their risk. Participants who received their results in-person were more likely than those who reviewed their results on-line to correctly interpret their genomic risk (72 vs. 47%, p = 0.0002) and report their actual genomic risk (69 vs. 49%, p = 0.002). Conclusions: The delivery of personal genomic risk through a trained health professional resulted in significantly higher comprehension. Therefore, if the online delivery of genomic test results is to become more widespread, further evaluation of this method of communication may be needed to ensure the effective presentation of results to promote comprehension. © 2014 S. Karger AG, Basel.","container-title":"Public Health Genomics","DOI":"10.1159/000358413","issue":"2","journalAbbreviation":"Public Health Genomics","page":"95-104","title":"Impact of delivery models on understanding genomic risk for type 2 diabetes","volume":"17","author":[{"literal":"Haga S.B."},{"literal":"Barry W.T."},{"literal":"Mills R."},{"literal":"Svetkey L."},{"literal":"Suchindran S."},{"literal":"Willard H.F."},{"literal":"Ginsburg G.S."}],"issued":{"date-parts":[["2014"]]}}}],"schema":"https://github.com/citation-style-language/schema/raw/master/csl-citation.json"} </w:instrText>
            </w:r>
            <w:r w:rsidRPr="00F660DA">
              <w:rPr>
                <w:rFonts w:ascii="Calibri" w:eastAsia="Times New Roman" w:hAnsi="Calibri" w:cs="Calibri"/>
                <w:color w:val="000000"/>
                <w:sz w:val="10"/>
                <w:szCs w:val="10"/>
              </w:rPr>
              <w:fldChar w:fldCharType="separate"/>
            </w:r>
            <w:r w:rsidRPr="00623369">
              <w:rPr>
                <w:rFonts w:ascii="Calibri" w:eastAsia="Times New Roman" w:hAnsi="Calibri" w:cs="Calibri"/>
                <w:noProof/>
                <w:color w:val="000000"/>
                <w:sz w:val="10"/>
                <w:szCs w:val="10"/>
                <w:lang w:val="nb-NO"/>
              </w:rPr>
              <w:t>(Haga S.B. et al., 2014)</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2014</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RCT</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70</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60</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22% Black 8% Other 1.7% Prefer not to answer 0.4% Unsure</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Type 2 diabetes mellitus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Non-diabetic participants recruited from Duke University (Durham, NC) and surrounding areas. </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Genetic Counselor </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{"citationID":"q2U6AbmF","properties":{"formattedCitation":"(Hardie, 2011)","plainCitation":"(Hardie, 2011)","noteIndex":0},"citationItems":[{"id":43,"uris":["http://zotero.org/users/local/hrXXo6WQ/items/286USXRX"],"uri":["http://zotero.org/users/local/hrXXo6WQ/items/286USXRX"],"itemData":{"id":43,"type":"article-journal","abstract":"Personalised genetic health promotion may soon be available and affordable. To explore its likely public acceptance in Australia, a community sample (N=800) provided quantitative and qualitative responses to a vignette scenario about a hypothetical expert who could test their genes and, based on this genetic profile, provide personalised health promotion advice. Three theoretical models were tested to explicate the process by which cognitive-affective factors of risk beliefs, benefit beliefs, and trust judgements influenced behavioural intentions. Results supported an expert trust model, where general beliefs about the risks and benefits of medical advances and general medical trust had indirect influences, while trust in a specific medical expert had a direct influence, on health promotion intentions. Subjective reasons for intentions included moral concerns, fear, trust, mistrust and a desire to maintain health at any cost. The advent of personalised genetic health promotion may heighten the need for specialised health psychologists. © 2011 The Australian Psychological Society.","container-title":"Aust. J. Psychol.","DOI":"10.1111/j.1742-9536.2011.00017.x","issue":"2","journalAbbreviation":"Aust. J. Psychol.","page":"119-129","title":"Australian community responses to the use of genetic testing for personalised health promotion","volume":"63","author":[{"family":"Hardie","given":"E.A."}],"issued":{"date-parts":[["2011"]]}}}],"schema":"https://github.com/citation-style-language/schema/raw/master/csl-citation.json"}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(Hardie, 2011)</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2011</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Australia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Mixed Methods</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64</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54</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1248"/>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{"citationID":"hPF3Vm7f","properties":{"formattedCitation":"(Hay J.L. et al., 2018)","plainCitation":"(Hay J.L. et al., 2018)","noteIndex":0},"citationItems":[{"id":24,"uris":["http://zotero.org/users/local/hrXXo6WQ/items/LPF75KVN"],"uri":["http://zotero.org/users/local/hrXXo6WQ/items/LPF75KVN"],"itemData":{"id":24,"type":"article-journal","abstract":"IMPORTANCE Germline variants in the MC1R gene are common and confer moderate melanoma risk in those with varied skin types. Approaches to precision skin cancer prevention that include genetic information may promote risk awareness and risk reduction in the general population, including Hispanics. OBJECTIVE To examine prevalence of interest in and uptake of MC1R testing in the general population and examine patterns across demographic and skin cancer risk factors. DESIGN, SETTING, AND PARTICIPANTS A randomized clinical trial examined interest in and uptake of MC1R testing among patients at University of New Mexico General Internal Medicine clinics. Study participants were randomized to either a usual-care condition (National Cancer Institute skin cancer pamphlet for diverse skin types) or an MC1R test offer. Participants were registered clinic patients (-6 months) and English or Spanish fluent. Of the 600 participants recruited to the overall trial, the present study included those 499 participants randomized to the MC1R test offer. INTERVENTIONS Participants were presented with the option to log onto the study website to read 3 educational modules presenting the rationale, benefits, and drawbacks of MC1R testing. MAIN OUTCOMES AND MEASURES Main outcomes includewebsite log on (yes vs no), saliva test kit request (yes vs no), and saliva test kit return for MC1R testing (yes vs no). Demographic and skin cancer risk factors were examined as potential predictors of test interest and uptake. RESULTS Of the 499 participants (220 [44%] non-Hispanic white, 242 [48%] Hispanic, 396 [79%] female; mean [SD] age, 54 [14.3] years), 232 (46%) elected to learn about MC1R testing by logging onto the website; 204 (88%) of those who logged on decided to request testing; and 167 (82%) of those who requested testing returned the kit. The strongest predictors of website log on were race/ethnicity and education (non-Hispanic whites were more likely to log on [odds ratio for Hispanics vs non-Hispanic whites, 0.5; 95%CI, 0.3-0.7], as were more highly educated individuals [odds ratio for more than high school vs high school or less, 2.7; 95%CI, 1.7-4.3]). The strongest predictor of ordering the test was sunburn history (odds ratio, 5.4; 95%CI, 2.3-12.9 vs no sunburn history). CONCLUSIONS AND RELEVANCE There were moderately high levels of MC1R test interest and uptake in this diverse sample. Addressing potential barriers to testingmay be warranted as genomic information becomes integrated into general population approaches to the precision prevention of skin cancer.","container-title":"JAMA Dermatology","DOI":"10.1001/jamadermatol.2018.0592","issue":"6","journalAbbreviation":"JAMA Dermatology","page":"684-693","title":"Interest and uptake of MC1R testing for melanoma risk in a diverse primary care population a randomized clinical trial","volume":"154","author":[{"literal":"Hay J.L."},{"literal":"Zielaskowski K."},{"literal":"Meyer White K."},{"literal":"Kaphingst K."},{"literal":"Robers E."},{"literal":"Guest D."},{"literal":"Sussman A."},{"literal":"Talamantes Y."},{"literal":"Schwartz M."},{"literal":"Rodríguez V.M."},{"literal":"Li Y."},{"literal":"Schofield E."},{"literal":"Bigney J."},{"literal":"Hunley K."},{"literal":"Buller D."},{"literal":"Berwick M."}],"issued":{"date-parts":[["2018"]]}}}],"schema":"https://github.com/citation-style-language/schema/raw/master/csl-citation.json"}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(Hay J.L. et al., 2018)</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2018</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State</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RCT</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RCT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1</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79</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54</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71</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 48% Hispanic, 3% Black, 3% American Indian/Alaska Native, 2% Asian, 21% Other including Native Hawaiian or multiple races. </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Melanoma and basal cell cancer</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Primary care patients 18 years or older at University of New Mexico outpatient primary care clinic</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Usual care control</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lastRenderedPageBreak/>
              <w:fldChar w:fldCharType="begin"/>
            </w:r>
            <w:r w:rsidRPr="00F660DA">
              <w:rPr>
                <w:rFonts w:ascii="Calibri" w:eastAsia="Times New Roman" w:hAnsi="Calibri" w:cs="Calibri"/>
                <w:color w:val="000000"/>
                <w:sz w:val="10"/>
                <w:szCs w:val="10"/>
              </w:rPr>
              <w:instrText xml:space="preserve"> ADDIN ZOTERO_ITEM CSL_CITATION {"citationID":"BJqDvvE5","properties":{"formattedCitation":"(Henneman L. et al., 2011)","plainCitation":"(Henneman L. et al., 2011)","noteIndex":0},"citationItems":[{"id":13,"uris":["http://zotero.org/users/local/hrXXo6WQ/items/H5A5SCFC"],"uri":["http://zotero.org/users/local/hrXXo6WQ/items/H5A5SCFC"],"itemData":{"id":13,"type":"article-journal","abstract":"Background: Population breast cancer screening programs by mammography are offered to women based on age. It has been suggested that a screening program based on genetic risk profile could be more effective by targeting interventions at those at higher genetic risk. This study explores women's attitudes towards genetic testing for breast cancer susceptibility in order to target breast cancer prevention. Methods: A qualitative study was conducted using 4 focus groups with 26 women aged 42-73 years. Women were selected irrespective of personal or family history of breast cancer. Discussions were audiotaped and content analyzed. Results: The results show that in general women are positive towards a breast cancer screening program based on genetic risk profile, provided that in the low-risk group, though less frequent, women are still offered mammography screening (i.e. right to screening (a)). Other themes that women addressed were: (b) value of the genetic risk information (e.g. possibilities for cancer prevention at younger ages, less screening burden for low-risk women), (c) personal autonomy (e.g. free choice to undergo testing), (d) dealing with test results (e.g. burden of risk, motivation to reduce the risk), (e) discrimination, and (f) financial aspects and priority (e.g. with respect to other health care programs). Conclusion: These results suggest that women currently offered breast cancer screening based on age have a positive attitude towards population susceptibility screening for breast cancer, but also identified issues that need to be discussed and studied further, especially if women in the low-risk group were no longer to be offered mammography screening. Copyright © 2010 S. Karger AG, Basel.","container-title":"Public Health Genomics","DOI":"10.1159/000276543","issue":"4-5","journalAbbreviation":"Public Health Genomics","page":"238-247","title":"'A low risk is still a risk': Exploring women's attitudes towards genetic testing for breast cancer susceptibility in order to target disease prevention","volume":"14","author":[{"literal":"Henneman L."},{"literal":"Timmermans D.R."},{"literal":"Bouwman C.M."},{"literal":"Cornel M.C."},{"literal":"Meijers-Heijboer H."}],"issued":{"date-parts":[["2011"]]}}}],"schema":"https://github.com/citation-style-language/schema/raw/master/csl-citation.json"}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(Henneman L. et al., 2011)</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2011</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The Netherlands</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Community </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2007</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City/town</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Qualitative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Focus Group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100</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53.4</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92</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Breast cancer</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1257"/>
        </w:trPr>
        <w:tc>
          <w:tcPr>
            <w:tcW w:w="711" w:type="dxa"/>
            <w:shd w:val="clear" w:color="auto" w:fill="auto"/>
            <w:noWrap/>
            <w:vAlign w:val="center"/>
            <w:hideMark/>
          </w:tcPr>
          <w:p w:rsidR="00E570D2" w:rsidRPr="00623369" w:rsidRDefault="00E570D2" w:rsidP="00917030">
            <w:pPr>
              <w:spacing w:before="10" w:after="10"/>
              <w:rPr>
                <w:rFonts w:ascii="Calibri" w:eastAsia="Times New Roman" w:hAnsi="Calibri" w:cs="Calibri"/>
                <w:color w:val="000000"/>
                <w:sz w:val="10"/>
                <w:szCs w:val="10"/>
                <w:lang w:val="fi-FI"/>
              </w:rPr>
            </w:pPr>
            <w:r w:rsidRPr="00F660DA">
              <w:rPr>
                <w:rFonts w:ascii="Calibri" w:eastAsia="Times New Roman" w:hAnsi="Calibri" w:cs="Calibri"/>
                <w:color w:val="000000"/>
                <w:sz w:val="10"/>
                <w:szCs w:val="10"/>
              </w:rPr>
              <w:fldChar w:fldCharType="begin"/>
            </w:r>
            <w:r w:rsidRPr="00623369">
              <w:rPr>
                <w:rFonts w:ascii="Calibri" w:eastAsia="Times New Roman" w:hAnsi="Calibri" w:cs="Calibri"/>
                <w:color w:val="000000"/>
                <w:sz w:val="10"/>
                <w:szCs w:val="10"/>
                <w:lang w:val="fi-FI"/>
              </w:rPr>
              <w:instrText xml:space="preserve"> ADDIN ZOTERO_ITEM CSL_CITATION {"citationID":"SCBTAjME","properties":{"formattedCitation":"(Hietaranta-Luoma H.-L. et al., 2015)","plainCitation":"(Hietaranta-Luoma H.-L. et al., 2015)","noteIndex":0},"citationItems":[{"id":22,"uris":["http://zotero.org/users/local/hrXXo6WQ/items/BQLZ38M4"],"uri":["http://zotero.org/users/local/hrXXo6WQ/items/BQLZ38M4"],"itemData":{"id":22,"type":"article-journal","abstract":"Common health recommendations often incite very little public response, as people instead require individualized information. The purpose of this study was to assess the psychological effects of personal genetic information, provided by different apoE genotypes, as a tool to promote lifestyle changes. This study was a one-year intervention study using healthy adults, aged 20-67 years (n = 107). Their experiences of state anxiety, threat and stage of change were measured three times over a 12 months period. These psychological experiences were assessed, during the genetic information gathering, for three groups: a high-risk group (Ɛ4+, n = 16); a low-risk group (Ɛ4-, n = 35); and a control group (n = 56). The psychological effects of personal genetic risk information were shown to be short-term, although the levels of state anxiety and threat experiences in the high-risk group both remained at a slightly higher level than in the baseline. Threat experiences differed almost significantly (alpha = 0.017) between the Ɛ4+ and Ɛ4- groups (p = 0.034). Information on the apoE genotype impacted the experience of cardiovascular threat; this effect was most intense immediately after genetic feedback was received. However, fears of threat and anxiety may not be an obstacle for using gene information to motivate healthy, stable adults towards making lifestyle changes. Further studies should thus focus on how to utilize genetic screening in prevention of lifestyle-related diseases.","container-title":"Journal of genetic counseling","DOI":"10.1007/s10897-015-9826-8","issue":"6","journalAbbreviation":"Journal of genetic counseling","page":"908-921","title":"Using ApoE Genotyping to Promote Healthy Lifestyles in Finland - Psychological Impacts: Randomized Controlled Trial","volume":"24","author":[{"literal":"Hietaranta-Luoma H.-L."},{"literal":"Luomala H.T."},{"literal":"Puolijoki H."},{"literal":"Hopia A."}],"issued":{"date-parts":[["2015"]]}}}],"schema":"https://github.com/citation-style-language/schema/raw/master/csl-citation.json"} </w:instrText>
            </w:r>
            <w:r w:rsidRPr="00F660DA">
              <w:rPr>
                <w:rFonts w:ascii="Calibri" w:eastAsia="Times New Roman" w:hAnsi="Calibri" w:cs="Calibri"/>
                <w:color w:val="000000"/>
                <w:sz w:val="10"/>
                <w:szCs w:val="10"/>
              </w:rPr>
              <w:fldChar w:fldCharType="separate"/>
            </w:r>
            <w:r w:rsidRPr="00623369">
              <w:rPr>
                <w:rFonts w:ascii="Calibri" w:eastAsia="Times New Roman" w:hAnsi="Calibri" w:cs="Calibri"/>
                <w:noProof/>
                <w:color w:val="000000"/>
                <w:sz w:val="10"/>
                <w:szCs w:val="10"/>
                <w:lang w:val="fi-FI"/>
              </w:rPr>
              <w:t>(Hietaranta-Luoma H.-L. et al., 2015)</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2015</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Finland</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Regional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RCT</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RCT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Follow-up, Change in Health Behavior,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69</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47</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Cardiovascular disease </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Healthy adults aged 20-67 years</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Participants who had a session with a nutritionist, received general health and nutrition recommendations, and counseling/lecture by a professor of nutrigenomics.</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Nutritionist</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Medical Doctor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{"citationID":"11H137Mb","properties":{"formattedCitation":"(Joshi E. et al., 2020)","plainCitation":"(Joshi E. et al., 2020)","noteIndex":0},"citationItems":[{"id":28,"uris":["http://zotero.org/users/local/hrXXo6WQ/items/84EZWWSY"],"uri":["http://zotero.org/users/local/hrXXo6WQ/items/84EZWWSY"],"itemData":{"id":28,"type":"article-journal","abstract":"Genome sequencing (GS) studies involving healthy children can advance scientific knowledge of genetic variation. Little research has examined primary care providers’ views on using GS in this context. This study explored primary care provider perspectives on the use of GS in research and the care of healthy children. We conducted semi-structured interviews with 16 providers discussing their views on GS research and receiving results. Interviews were analyzed by thematic analysis and constant comparison. Participants were family physicians (11/16) and primary care pediatricians (5/16) in practice for &gt;10 years (11/16). Participants valued GS in healthy children for research purposes; however, opinions diverged on using the results in primary care. Proponents valued using results for surveillance and prevention in healthy children. Skeptics questioned the clinical utility of results and the appropriateness of applying research data in primary care. Both groups shared concerns over opportunistic screening, validity, and interpretation of results, increased health system costs and inequities, and genetic discrimination. Primary care providers were ambivalent about the appropriateness and utility of GS in the care of healthy children. Providers feel unprepared and unsure of their obligations in disclosing these results. Providers do not feel they are equipped with the necessary resources and training to support their patients in using GS results in their care.","container-title":"European Journal of Human Genetics","DOI":"10.1038/s41431-019-0547-6","issue":"5","journalAbbreviation":"European Journal of Human Genetics","page":"551-557","title":"Primary care provider perspectives on using genomic sequencing in the care of healthy children","volume":"28","author":[{"literal":"Joshi E."},{"literal":"Mighton C."},{"literal":"Clausen M."},{"literal":"Casalino S."},{"literal":"Kim T.H.M."},{"literal":"Kowal C."},{"literal":"Birken C."},{"literal":"Maguire J.L."},{"literal":"Bombard Y."}],"issued":{"date-parts":[["2020"]]}}}],"schema":"https://github.com/citation-style-language/schema/raw/master/csl-citation.json"}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(Joshi E. et al., 2020)</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2019</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Canada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2017-2018</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Qualitative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Interview data </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Providers (Primary care)</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{"citationID":"BoR1Rbo8","properties":{"formattedCitation":"(Laskey S.L. et al., 2003)","plainCitation":"(Laskey S.L. et al., 2003)","noteIndex":0},"citationItems":[{"id":10,"uris":["http://zotero.org/users/local/hrXXo6WQ/items/E6CC6U7B"],"uri":["http://zotero.org/users/local/hrXXo6WQ/items/E6CC6U7B"],"itemData":{"id":10,"type":"article-journal","abstract":"Purpose: Genetic research is progressing at a rapid rate. While most view genetic advances favorably, concerns regarding eugenics and discrimination based on genetic test results have been raised. These concerns have been found among all groups studied; however, they have particular relevance for members of the African American community. Studies have shown that because of a long history of negative experiences, African Americans have a general mistrust of the medical establishment. It is unclear whether these negative attitudes encompass genetic advances. Because there is little empiric data in the literature, it is not known whether African Americans have a positive view of genetic advances or whether they have the same level of mistrust as is seen in their attitudes toward other forms of biomedical research. Methods: This study was conducted as an initial effort to examine the attitudes of African Americans toward recent genetic advances and, specifically, genetic testing. A cohort of 97 college-age minority students, including 78 African Americans, participating in the Health Career Enhancement for Minorities Program (HCEM) at Case Western Reserve University were surveyed. Surveys were made available before and after the summer long course, which included five lectures on basic genetic principles and medical genetics. Results: Both African American students and other minority students initially (questionnaire prior to HCEM course) had an overall positive view of genetic testing. The vast majority supported genetic testing for preventive care (95%) and presymptomatic detection of disease (88%) and agreed that it should be easily available (83%). However, several concerns were expressed as well, including fears about discrimination (68%), privacy (68%), that abortions will become more common (51%), and eugenics (37%). It is interesting that in the postcourse questionnaire, the percentages of positive views remained similar to those of the precourse survey, but the number of respondents expressing concerns increased. Discussion: These results suggest that the minority students surveyed view many aspects of genetic testing and other advances favorably. However, these students expressed concerns about discrimination, privacy, and eugenics. These concerns were increased, not lessened, by exposure to genetics education. One possible explanation for this observation is that the students had a greater understanding of the issues regarding genetic testing after the HCEM lectures and discussion. Of note, there was a greater negative response toward genetic screening programs among the African American students compared with the non-African American minority students. This suggests that the negative attitudes of African Americans toward biomedical research do extend to some aspects of genetics and that educational programs must be designed and implemented if this community is going to receive the maximum benefits of this advancing technology.","container-title":"Genetics in Medicine","DOI":"10.1097/00125817-200301000-00008","issue":"1","journalAbbreviation":"Genetics in Medicine","page":"49-54","title":"Attitudes of African American premedical students toward genetic testing and screening","volume":"5","author":[{"literal":"Laskey S.L."},{"literal":"Williams J."},{"literal":"Pierre-Louis J."},{"literal":"O'Riordan M."},{"literal":"Matthews A."},{"literal":"Robin N.H."}],"issued":{"date-parts":[["2003"]]}}}],"schema":"https://github.com/citation-style-language/schema/raw/master/csl-citation.json"}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(Laskey S.L. et al., 2003)</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2003</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2001</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79</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71% African American, 11% Hispanic, 18% listed another race including Filipino, Asian, or Eastern Indian, 0.02% No Response</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{"citationID":"lVZZ8B5K","properties":{"formattedCitation":"(Neghina A.M. and Anghel A., 2010)","plainCitation":"(Neghina A.M. and Anghel A., 2010)","noteIndex":0},"citationItems":[{"id":11,"uris":["http://zotero.org/users/local/hrXXo6WQ/items/SQUX3ZBS"],"uri":["http://zotero.org/users/local/hrXXo6WQ/items/SQUX3ZBS"],"itemData":{"id":11,"type":"article-journal","abstract":"Aims: A public health strategy to promote early diagnosis of hemochromatosis gene (HFE)-related hemochromatosis (HFE-HH) largely depends on people's acceptance of available screening tests. The present study aimed at evaluating patient awareness of HFE-HH and their acceptance of DNA testing in western Romania. Results: A total of 221 participants were randomly recruited from the ambulatory unit of the Emergency County Hospital in Timisoara, Romania. They received brief information on HFE-HH and were assessed for the signs and symptoms of hemochromatosis. HFE genotyping was offered to all of them. Only two cases (0.9%) had previous knowledge of HFE-HH. Twenty-one cases (9.5%) underwent genetic testing. Characteristics associated with test acceptance were age &lt;45 years, male gender, and educational attainment. Acceptance was associated with a desire to know if they had HFE-HH (85.7%). The most prevalent refusal reason was a desire for more information (41%). Conclusions: Larger educational programs are required to increase people's awareness about HFE-HH in western Romania. Nevertheless, within health care settings, the importance of disease detection and patient's educational background appear to be essential for achieving high rates of participation in the genetic test. © 2010, Mary Ann Liebert, Inc.","container-title":"Genetic Testing and Molecular Biomarkers","DOI":"10.1089/gtmb.2010.0109","issue":"6","journalAbbreviation":"Genetic Testing and Molecular Biomarkers","page":"847-850","title":"Hereditary hemochromatosis: Awareness and genetic testing acceptability in Western Romania","volume":"14","author":[{"literal":"Neghina A.M."},{"literal":"Anghel A."}],"issued":{"date-parts":[["2010"]]}}}],"schema":"https://github.com/citation-style-language/schema/raw/master/csl-citation.json"}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(Neghina A.M. and Anghel A., 2010)</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2010</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Romania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Questionnaire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58</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54.8</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Hereditary hemochromatosis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 18 years or older who attended the ambulatory unity of the Emergency County Hospital, Timisoara, Romania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Physician And Health Professional</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{"citationID":"cOtOiSVN","properties":{"formattedCitation":"(Nicholls S.G. et al., 2016)","plainCitation":"(Nicholls S.G. et al., 2016)","noteIndex":0},"citationItems":[{"id":20,"uris":["http://zotero.org/users/local/hrXXo6WQ/items/XPQ8R267"],"uri":["http://zotero.org/users/local/hrXXo6WQ/items/XPQ8R267"],"itemData":{"id":20,"type":"article-journal","abstract":"Background: The use of an overall risk assessment based on genomic information is consistent with precision medicine. Despite the enthusiasm, there is a need for public engagement on the appropriate use of such emerging technologies in order to frame meaningful evaluations of utility, including the practical implementation and acceptability issues that might emerge. Doing so requires the involvement of the end users of these services, including patients, and sections of the public who are the target group for population based screening. In the present study we sought to explore public attitudes to the potential integration of personal genomic profiling within existing population screening programs; and to explore the evolution of these attitudes as part of a deliberative process. Methods: We conducted a mixed methods study presented in the format of a deliberative workshop. Participants were drawn from communities in Ottawa, Ontario (ON) and St John's, Newfoundland and Labrador (NL), Canada. Individuals were approached to take part in a workshop on the incorporation of genomic risk profiling for either colorectal cancer screening (CRC), or newborn screening for type 1 diabetes mellitus (T1DM). Results: A total of N = 148 (N = 65 ON, N = 83 NL) participants provided data for analysis. Participants in both groups were supportive of public funding for genomic risk profiling, although participants in the T1DM groups expressed more guarded positive attitudes than participants in the CRC groups. These views were stable throughout the workshop (CRC, p = 0.15, T1DM, p =0.39). Participants were less po</w:instrText>
            </w:r>
            <w:r w:rsidRPr="00F660DA">
              <w:rPr>
                <w:rFonts w:ascii="Calibri" w:eastAsia="Times New Roman" w:hAnsi="Calibri" w:cs="Calibri"/>
                <w:color w:val="000000"/>
                <w:sz w:val="10"/>
                <w:szCs w:val="10"/>
                <w:lang w:eastAsia="ko-KR"/>
              </w:rPr>
              <w:instrText xml:space="preserve">sitive about individual testing, with a significant decrease in support over the course of the workshop (CRC p = 0.02, T1DM, p = 0.003). Common concerns related to access to test results by third parties. Conclusions: The findings of this study suggest that members of the target populations for potential genomic profiling tests (designed for screening or risk prediction purposes) can engage in meaningful deliberation about their general acceptability and personal utility. Evaluations of whether a test would be personally useful may depend on the experience of the participants in personal health decision making, the purpose of the test, and the availability of interventions to reduce disease risk.","container-title":"BMC Medical Genomics","DOI":"10.1186/s12920-016-0186-5","issue":"1","journalAbbreviation":"BMC Medical Genomics","title":"Attitudes to incorporating genomic risk assessments into population screening programs: The importance of purpose, context and deliberation Donna Dickenson, Sandra Soo-Jin Lee, and Michael Morrison","URL":"http://www.embase.com/search/results?subaction=viewrecord&amp;from=export&amp;id=L610427795","volume":"9","author":[{"literal":"Nicholls S.G."},{"literal":"Etchegary H."},{"literal":"Carroll J.C."},{"literal":"Castle D."},{"literal":"Lemyre L."},{"literal":"Potter B.K."},{"literal":"Craigie S."},{"literal":"Wilson B.J."}],"issued":{"date-parts":[["2016"]]}}}],"schema":"https://github.com/citation-style-language/schema/raw/master/csl-citation.json"}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lang w:eastAsia="ko-KR"/>
              </w:rPr>
              <w:t>(Nicholls S.G. et al., 2016)</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2016</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Canada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 xml:space="preserve">Community </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2011-2012</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Mixed Methods</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Written comments, survey, and non-participant observation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2</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72</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58.35</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76</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1% Native Canadian</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Colorectal cancer and type 1 diabetes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lang w:eastAsia="ko-KR"/>
              </w:rPr>
            </w:pPr>
            <w:r w:rsidRPr="00F660DA">
              <w:rPr>
                <w:rFonts w:ascii="Calibri" w:eastAsia="Times New Roman" w:hAnsi="Calibri" w:cs="Calibri"/>
                <w:color w:val="000000"/>
                <w:sz w:val="10"/>
                <w:szCs w:val="10"/>
                <w:lang w:eastAsia="ko-KR"/>
              </w:rPr>
              <w:t>N/A</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lang w:eastAsia="ko-KR"/>
              </w:rPr>
              <w:instrText xml:space="preserve"> ADDIN ZOTERO_ITEM CSL_CITATION {"citationID":"tmmppouS","properties":{"formattedCitation":"(Nielsen and El-Sohemy, 2012)","plainCitation":"(Nielsen and El-Sohemy, 2012)","noteIndex":0},"citationItems":[{"id":36,"uris":["http://zotero.org/users/local/hrXXo6WQ/items/J5HNWJ2D"],"uri":["http://zotero.org/users/local/hrXXo6WQ/items/J5HNWJ2D"],"itemData":{"id":36,"type":"article-journal","abstract":"Personal genetic information has become increasingly accessible to the public as a result of direct-to-consumer (DTC) genetic tests; however, concerns have been rais</w:instrText>
            </w:r>
            <w:r w:rsidRPr="00F660DA">
              <w:rPr>
                <w:rFonts w:ascii="Calibri" w:eastAsia="Times New Roman" w:hAnsi="Calibri" w:cs="Calibri"/>
                <w:color w:val="000000"/>
                <w:sz w:val="10"/>
                <w:szCs w:val="10"/>
              </w:rPr>
              <w:instrText xml:space="preserve">ed over their value and potential risks. We compared the effects of providing genotype-based dietary advice with general recommendations on behavioral outcomes using a randomized controlled study. Participants were men and women from the Toronto Nutrigenomics and Health Study between the ages of 20-35 years (n = 149) who completed a survey to assess their awareness of DTC genetic tests and nutrigenomics, as well as potential motivations for undergoing genetic testing. Participants were then randomized into an intervention (I) or control (C) group and were given either genotype-based personalized dietary advice or general dietary advice, respectively. A second survey was administered to assess the participants' opinions of the dietary reports they received. A greater proportion of participants in the intervention group agreed that they understood the dietary advice they were given (93% (I) vs. 78% (C); p = 0.009). Participants in the intervention group were more likely to agree that the dietary recommendations they received would be useful when considering their diet (88% (I) vs. 72% (C); p = 0.02) and wanted to know more about the recommendations (95% (I) vs. 76% (C); p &lt; 0.0001). Only 9% of participants in the intervention group reported feeling uneasy about learning their genetic information. These findings suggest that individuals find dietary recommendations based on genetics more understandable and more useful than general dietary advice. Very few feel uneasy about receiving their genetic information that relates to personalized nutrition.","archive_location":"22407352","container-title":"Genes Nutr","DOI":"10.1007/s12263-012-0290-x","issue":"4","journalAbbreviation":"Genes Nutr","page":"559-66","title":"A randomized trial of genetic information for personalized nutrition","volume":"7","author":[{"family":"Nielsen","given":"D. E."},{"family":"El-Sohemy","given":"A."}],"issued":{"date-parts":[["2012"]]}}}],"schema":"https://github.com/citation-style-language/schema/raw/master/csl-citation.json"}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(Nielsen and El-Sohemy, 2012)</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2012</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Canada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Community </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2011</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RCT</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76</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26</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62</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21% East Asian, 11% South Asian, 7% Other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Nutrition</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Men and women between the ages of 20–29 years from the Toronto Nutrigenomics and Health Study</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Dietary recommendations from health organizations for the same dietary components without genetic information</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{"citationID":"elu0xZoy","properties":{"formattedCitation":"(Nusbaum R. et al., 2013)","plainCitation":"(Nusbaum R. et al., 2013)","noteIndex":0},"citationItems":[{"id":16,"uris":["http://zotero.org/users/local/hrXXo6WQ/items/MSBLFL5N"],"uri":["http://zotero.org/users/local/hrXXo6WQ/items/MSBLFL5N"],"itemData":{"id":16,"type":"article-journal","abstract":"Although single nucleotide polymorphism (SNP) testing for disease susceptibility is commercially available, translational studies are necessary to understand how to communicate genomic information and potential implications for public health. We explored attitudes about and initial responses to genomic testing for colon cancer risk. Following development of the educational materials, we offered testing for three colon cancer SNPs in a pilot study with primary care patients. Participants completed pre- and post-test sessions and interviews. We analyzed interview transcripts with qualitative software using thematic analysis. All 20 participants opted for SNP testing. Qualitative analysis identified several themes: Motivations for SNP Testing, Before/After: Meaning of Results, Emotional Responses to SNP Results, and Genomic Literacy/Information Delivery. Results demonstrate that individuals will pursue SNP testing in the context of pre- and post-test education. SNP results may influence health behaviors like healthy eating and exercise yet did not appear to impact colon cancer screening intentions. © 2012 Society of Behavioral Medicine.","container-title":"Translational Behavioral Medicine","DOI":"10.1007/s13142-012-0149-0","issue":"1","journalAbbreviation":"Translational Behavioral Medicine","page":"17-29","title":"Translational genomic research: Protocol development and initial outcomes following SNP testing for colon cancer risk","volume":"3","author":[{"literal":"Nusbaum R."},{"literal":"Leventhal K.-G."},{"literal":"Hooker G.W."},{"literal":"Peshkin B.N."},{"literal":"Butrick M."},{"literal":"Salehizadeh Y."},{"literal":"Tuong W."},{"literal":"Eggly S."},{"literal":"Mathew J."},{"literal":"Goerlitz D."},{"literal":"Shields P.G."},{"literal":"Schwartz M.D."},{"literal":"Graves K.D."}],"issued":{"date-parts":[["2013"]]}}}],"schema":"https://github.com/citation-style-language/schema/raw/master/csl-citation.json"}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(Nusbaum R. et al., 2013)</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2013</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Qualitative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Interview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 Follow-up, Change in Health Behavior,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60</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61</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65</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25% African American, 10% multi-racial</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Colon cancer</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Primary care patients aged 40 and older recruited from the Division of General Internal Medicine at Georgetown University Hospital</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Genetic Counselor </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Genetic Counselor </w:t>
            </w:r>
          </w:p>
        </w:tc>
      </w:tr>
      <w:tr w:rsidR="00E570D2" w:rsidRPr="00051688" w:rsidTr="00917030">
        <w:trPr>
          <w:trHeight w:val="320"/>
        </w:trPr>
        <w:tc>
          <w:tcPr>
            <w:tcW w:w="711" w:type="dxa"/>
            <w:shd w:val="clear" w:color="auto" w:fill="auto"/>
            <w:noWrap/>
            <w:vAlign w:val="center"/>
            <w:hideMark/>
          </w:tcPr>
          <w:p w:rsidR="00E570D2" w:rsidRPr="00623369" w:rsidRDefault="00E570D2" w:rsidP="00917030">
            <w:pPr>
              <w:spacing w:before="10" w:after="10"/>
              <w:rPr>
                <w:rFonts w:ascii="Calibri" w:eastAsia="Times New Roman" w:hAnsi="Calibri" w:cs="Calibri"/>
                <w:color w:val="000000"/>
                <w:sz w:val="10"/>
                <w:szCs w:val="10"/>
                <w:lang w:val="fr-FR"/>
              </w:rPr>
            </w:pPr>
            <w:r w:rsidRPr="00F660DA">
              <w:rPr>
                <w:rFonts w:ascii="Calibri" w:eastAsia="Times New Roman" w:hAnsi="Calibri" w:cs="Calibri"/>
                <w:color w:val="000000"/>
                <w:sz w:val="10"/>
                <w:szCs w:val="10"/>
              </w:rPr>
              <w:fldChar w:fldCharType="begin"/>
            </w:r>
            <w:r w:rsidRPr="00623369">
              <w:rPr>
                <w:rFonts w:ascii="Calibri" w:eastAsia="Times New Roman" w:hAnsi="Calibri" w:cs="Calibri"/>
                <w:color w:val="000000"/>
                <w:sz w:val="10"/>
                <w:szCs w:val="10"/>
                <w:lang w:val="fr-FR"/>
              </w:rPr>
              <w:instrText xml:space="preserve"> ADDIN ZOTERO_ITEM CSL_CITATION {"citationID":"OohNpsbk","properties":{"formattedCitation":"(O\\uc0\\u8217{}Neill S.C. et al., 2015)","plainCitation":"(O’Neill S.C. et al., 2015)","noteIndex":0},"citationItems":[{"id":17,"uris":["http://zotero.org/users/local/hrXXo6WQ/items/4988ZCN9"],"uri":["http://zotero.org/users/local/hrXXo6WQ/items/4988ZCN9"],"itemData":{"id":17,"type":"article-journal","abstract":"Aims: Personal genomic testing (PGT) for common disease risk is becoming increasingly frequent, but little is known about people's array of emotional reactions to learning their genomic risk profiles and the psychological harms/benefits of PGT. We conducted a study of post-PGT affect, including positive, neutral, and negative states that may arise after testing. Methods: A total of 228 healthy adults received PGT for common disease variants and completed a semistructured research interview within 2 weeks of disclosure. The study participants reported how the PGT results made them feel in their own words. Using an iterative coding process, the responses were organized into three broad affective categories: negative, neutral, and positive affect. Results: Neutral affect was the most prevalent response (53.9%), followed by positive affect (26.9%) and negative affect (19.2%). We found no differences by gender, race, or education. Conclusions: While &lt;20% of participants reported negative affect in response to learning their genomic risk profile for common diseases, a majority experienced either neutral or positive emotions. These findings contribute to the growing evidence that PGT does not impose significant psychological harms. Moreover, they point to a need to better link theories and assessments in both emotional and cognitive processing to capitalize on PGT information for healthy behavior change.","container-title":"Public Health Genomics","DOI":"10.1159/000370101","issue":"2","journalAbbreviation":"Public Health Genomics","page":"104-112","title":"A new approach to assessing affect and the emotional implications of personal genomic testing for common disease risk","volume":"18","author":[{"literal":"O'Neill S.C."},{"literal":"Tercyak K.P."},{"literal":"Baytop C."},{"literal":"Hensley Alford S."},{"literal":"McBride C.M."}],"issued":{"date-parts":[["2015"]]}}}],"schema":"https://github.com/citation-style-language/schema/raw/master/csl-citation.json"} </w:instrText>
            </w:r>
            <w:r w:rsidRPr="00F660DA">
              <w:rPr>
                <w:rFonts w:ascii="Calibri" w:eastAsia="Times New Roman" w:hAnsi="Calibri" w:cs="Calibri"/>
                <w:color w:val="000000"/>
                <w:sz w:val="10"/>
                <w:szCs w:val="10"/>
              </w:rPr>
              <w:fldChar w:fldCharType="separate"/>
            </w:r>
            <w:r w:rsidRPr="00623369">
              <w:rPr>
                <w:rFonts w:ascii="Calibri" w:hAnsi="Calibri" w:cs="Calibri"/>
                <w:color w:val="000000"/>
                <w:sz w:val="10"/>
                <w:szCs w:val="10"/>
                <w:lang w:val="fr-FR"/>
              </w:rPr>
              <w:t>(O’Neill S.C. et al., 2015)</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2015</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2007-2008</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Qualitative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Interview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57</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34.89</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62</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27.63% African American 10.9% Other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Participant between 25-40 in the National Human Genome Research Institute's NHGRI Multiplex Initiative and having no health conditions surveyed through the Multiplex Initiative</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87"/>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{"citationID":"3PQ5hsQk","properties":{"formattedCitation":"(Rego S. et al., 2019)","plainCitation":"(Rego S. et al., 2019)","noteIndex":0},"citationItems":[{"id":26,"uris":["http://zotero.org/users/local/hrXXo6WQ/items/B7Y87ULY"],"uri":["http://zotero.org/users/local/hrXXo6WQ/items/B7Y87ULY"],"itemData":{"id":26,"type":"article-journal","abstract":"The increasing availability of exome sequencing to the general (\"healthy\") population raises questions about the implications of genomic testing for individuals without suspected Mendelian diseases. Little is known about this population's motivations for undergoing exome sequencing, their expectations, reactions, and perceptions of utility. In order to address these questions, we conducted in-depth semi-structured interviews with 12 participants recruited from a longitudinal multi-omics profiling study that included exome sequencing. Participants were interviewed after receiving exome results, which included Mendelian disease-associated pathogenic and likely pathogenic variants, pharmacogenetic variants, and risk assessments for multifactorial diseases such as type 2 diabetes. The primary motivation driving participation in exome sequencing was personal curiosity. While they reported feeling validation and relief, participants were frequently underwhelmed by the results and described having expected more from exome sequencing. All participants reported discussing the results with at least some family, friends, and healthcare providers. Participants' recollection of the results returned to them was sometimes incorrect or incomplete, in many cases aligning with their perceptions of their health risks when entering the study. These results underscore the need for different genetic counseling approaches for generally healthy patients undergoing exome sequencing, in particular the need to provide anticipatory guidance to moderate participants' expectations. They also provide a preview of potential challenges clinicians may face as genomic sequencing continues to scale-up in the general population despite a lack of full understanding of its impact.","container-title":"Journal of genetic counseling","DOI":"10.1002/jgc4.1096","issue":"2","journalAbbreviation":"Journal of genetic counseling","page":"428-437","title":"Much ado about nothing: A qualitative study of the experiences of an average-risk population receiving results of exome sequencing","volume":"28","author":[{"literal":"Rego S."},{"literal":"Dagan-Rosenfeld O."},{"literal":"Bivona S.A."},{"literal":"Snyder M.P."},{"literal":"Ormond K.E."}],"issued":{"date-parts":[["2019"]]}}}],"schema":"https://github.com/citation-style-language/schema/raw/master/csl-citation.json"}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(Rego S. et al., 2019)</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2019</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Qualitative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Interview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33</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75</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Adult participants who were recruited from the Integrated Personal Omics Profiling (cohort is </w:t>
            </w:r>
            <w:r w:rsidRPr="00F660DA">
              <w:rPr>
                <w:rFonts w:ascii="Calibri" w:eastAsia="Times New Roman" w:hAnsi="Calibri" w:cs="Calibri"/>
                <w:color w:val="000000"/>
                <w:sz w:val="10"/>
                <w:szCs w:val="10"/>
              </w:rPr>
              <w:lastRenderedPageBreak/>
              <w:t>enriched for prediabetics)</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lastRenderedPageBreak/>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Genetic Counselors (Sometimes Included Other Study Team Members: A </w:t>
            </w:r>
            <w:r w:rsidRPr="00F660DA">
              <w:rPr>
                <w:rFonts w:ascii="Calibri" w:eastAsia="Times New Roman" w:hAnsi="Calibri" w:cs="Calibri"/>
                <w:color w:val="000000"/>
                <w:sz w:val="10"/>
                <w:szCs w:val="10"/>
              </w:rPr>
              <w:lastRenderedPageBreak/>
              <w:t>Medical Geneticist, Neurologist or Endocrinologist, Scientist And/or Student)</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lastRenderedPageBreak/>
              <w:fldChar w:fldCharType="begin"/>
            </w:r>
            <w:r w:rsidRPr="00F660DA">
              <w:rPr>
                <w:rFonts w:ascii="Calibri" w:eastAsia="Times New Roman" w:hAnsi="Calibri" w:cs="Calibri"/>
                <w:color w:val="000000"/>
                <w:sz w:val="10"/>
                <w:szCs w:val="10"/>
              </w:rPr>
              <w:instrText xml:space="preserve"> ADDIN ZOTERO_ITEM CSL_CITATION {"citationID":"qfksbQH1","properties":{"formattedCitation":"(Rubinsak et al., 2019)","plainCitation":"(Rubinsak et al., 2019)","noteIndex":0},"citationItems":[{"id":35,"uris":["http://zotero.org/users/local/hrXXo6WQ/items/ZCWA9LF4"],"uri":["http://zotero.org/users/local/hrXXo6WQ/items/ZCWA9LF4"],"itemData":{"id":35,"type":"article-journal","abstract":"OBJECTIVE: To evaluate awareness and acceptability of population-based BRCA testing among an unselected population of women presenting for annual gynecologic health assessment, with secondary objective to determine if a racial disparity exists in acceptability and awareness of this screening strategy. METHODS: Women presenting for routine gynecologic care in an outpatient setting of a single academic institution were anonymously surveyed. Survey collected age, self-identified race and ethnicity, education level, personal and family history of breast and/or ovarian cancer (BOC), awareness and interest, and willingness to pay out of pocket for testing. Responses were compared with bivariate and multivariate analysis. RESULTS: Interest in testing was expressed in 150 of 301 (45.1%) of participants. Women with a family history of BOC were more likely to be interested in testing than those without (OR=1.9 (1.0-3.6)). Interest in testing was associated willingness to pay (OR=3.3 (1.7-6.4)). Higher education level was associated with awareness of testing (OR=9.9 (2.0-49.7)). Interest in testing was similar between racial groups, but awareness and willingness to pay for testing were higher among White women. Multivariate analysis with adjustment for education level confirmed that Black and Hispanic women were less likely to have awareness of genetic testing compared to White women and non-Hispanic Women, respectively (OR=0.11 (0.05-0.3); OR=0.10 (0.01-0.8)). CONCLUSIONS: Interest in genetic testing among women in the general population is high. Despite interest, awareness of BRCA is poor among Black and Hispanic women even when adjusting for education level.","archive_location":"31239069","container-title":"Gynecol Oncol","DOI":"10.1016/j.ygyno.2019.06.009","issue":"2","journalAbbreviation":"Gynecol Oncol","page":"383-387","title":"Awareness and acceptability of population-based screening for pathogenic BRCA variants: Do race and ethnicity matter?","volume":"154","author":[{"family":"Rubinsak","given":"L. A."},{"family":"Kleinman","given":"A."},{"family":"Quillin","given":"J."},{"family":"Gordon","given":"S. W."},{"family":"Sullivan","given":"S. A."},{"family":"Sutton","given":"A. L."},{"family":"Sheppard","given":"V. B."},{"family":"Temkin","given":"S. M."}],"issued":{"date-parts":[["2019"]]}}}],"schema":"https://github.com/citation-style-language/schema/raw/master/csl-citation.json"}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(Rubinsak et al., 2019)</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2019</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2018</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100</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37.7</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37</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50.5% Black, 12.1%</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Hereditary Breast and Ovarian Cancer </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{"citationID":"yJ5mSsu9","properties":{"formattedCitation":"(Sanderson et al., 2004)","plainCitation":"(Sanderson et al., 2004)","noteIndex":0},"citationItems":[{"id":32,"uris":["http://zotero.org/users/local/hrXXo6WQ/items/DUNJ83IE"],"uri":["http://zotero.org/users/local/hrXXo6WQ/items/DUNJ83IE"],"itemData":{"id":32,"type":"article-journal","abstract":"BACKGROUND: Given the current concerns about the clinical validity of commercially marketed genetic tests for multifactorial diseases, there is a surprising dearth of information about what public demand might be for genetic tests for any complex diseases other than cancer. The aim of this study was to examine interest in genetic testing for the most common multifactorial disease, heart disease, and to compare it with interest in testing for cancer in a general population sample that had not received detailed information about genetic tests. METHODS: Interest in genetic testing for heart disease susceptibility was surveyed and compared to interest in genetic testing for cancer susceptibility among a nationally representative sample of 1,960 British adults as part of the Office for National Statistics Omnibus survey. RESULTS: Sixty-nine percent of respondents expressed interest in being tested for genetic susceptibility to heart disease. Men, people aged 45-60 years, those with less education, and those with a family history were most interested in genetic testing for heart disease. Sixty-four percent of respondents expressed interest in genetic testing for susceptibility to cancer, and gender, age, and education, but not family history, were associated with interest. CONCLUSIONS: Interest in genetic testing for susceptibility to both heart disease and cancer was high, with the most educated individuals being the least interested in testing. Although the shift toward the 'expert patient' is actively encouraged and consistent with today's health policies, there is considerable and justifiable concern about some of the genetic tests for multifactorial diseases that are currently being marketed directly to the public. The high level of initial interest in the general public found in this study supports the need for a public education program around genetic testing for multifactorial diseases.","archive_location":"15313084","container-title":"Prev Med","DOI":"10.1016/j.ypmed.2004.04.051","issue":"3","journalAbbreviation":"Prev Med","page":"458-64","title":"Public interest in genetic testing for susceptibility to heart disease and cancer: a population-based survey in the UK","volume":"39","author":[{"family":"Sanderson","given":"S. C."},{"family":"Wardle","given":"J."},{"family":"Jarvis","given":"M. J."},{"family":"Humphries","given":"S. E."}],"issued":{"date-parts":[["2004"]]}}}],"schema":"https://github.com/citation-style-language/schema/raw/master/csl-citation.json"}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(Sanderson et al., 2004)</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2004</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UK</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Community </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2002</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Questionnaire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51</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47</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94</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6% non-Caucasian</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Cancer, heart disease</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{"citationID":"lp5dXQVe","properties":{"formattedCitation":"(Sanderson S.C. et al., 2016)","plainCitation":"(Sanderson S.C. et al., 2016)","noteIndex":0},"citationItems":[{"id":19,"uris":["http://zotero.org/users/local/hrXXo6WQ/items/QPF2QYNY"],"uri":["http://zotero.org/users/local/hrXXo6WQ/items/QPF2QYNY"],"itemData":{"id":19,"type":"article-journal","abstract":"Whole exome/genome sequencing (WES/WGS) is increasingly offered to ostensibly healthy individuals. Understanding the motivations and concerns of research participants seeking out personal WGS and their preferences regarding return-of-results and data sharing will help optimize protocols for WES/WGS. Baseline interviews including both qualitative and quantitative components were conducted with research participants (n=35) in the HealthSeq project, a longitudinal cohort study of individuals receiving personal WGS results. Data sharing preferences were recorded during informed consent. In the qualitative interview component, the dominant motivations that emerged were obtaining personal disease risk information, satisfying curiosity, contributing to research, self-exploration and interest in ancestry, and the dominant concern was the potential psychological impact of the results. In the quantitative component, 57% endorsed concerns about privacy. Most wanted to receive all personal WGS results (94%) and their raw data (89%); a third (37%) consented to having their data shared to the Database of Genotypes and Phenotypes (dbGaP). Early adopters of personal WGS in the HealthSeq project express a variety of health- and non-health-related motivations. Almost all want all available findings, while also expressing concerns about the psychological impact and privacy of their results.","container-title":"European Journal of Human Genetics","DOI":"10.1038/ejhg.2015.118","issue":"1","journalAbbreviation":"European Journal of Human Genetics","page":"14-20","title":"Motivations, concerns and preferences of personal genome sequencing research participants: Baseline findings from the HealthSeq project","volume":"24","author":[{"literal":"Sanderson S.C."},{"literal":"Linderman M.D."},{"literal":"Suckiel S.A."},{"literal":"Diaz G.A."},{"literal":"Zinberg R.E."},{"literal":"Ferryman K."},{"literal":"Wasserstein M."},{"literal":"Kasarskis A."},{"literal":"Schadt E.E."}],"issued":{"date-parts":[["2016"]]}}}],"schema":"https://github.com/citation-style-language/schema/raw/master/csl-citation.json"}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(Sanderson S.C. et al., 2016)</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2016</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Mixed Methods</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Interview and Questionnaire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46</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48</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71</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8.6% African American, 5.7% Hispanic/Latino, 5.7% Asian, 5.7% Multiple Races, 2.9% Self-reported Turkish</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General population older than 18 at the Mount Sinai Medical Center in New York City</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Genetic Counselor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{"citationID":"beU5uMbR","properties":{"formattedCitation":"(Sanderson S.C. et al., 2016)","plainCitation":"(Sanderson S.C. et al., 2016)","noteIndex":0},"citationItems":[{"id":19,"uris":["http://zotero.org/users/local/hrXXo6WQ/items/QPF2QYNY"],"uri":["http://zotero.org/users/local/hrXXo6WQ/items/QPF2QYNY"],"itemData":{"id":19,"type":"article-journal","abstract":"Whole exome/genome sequencing (WES/WGS) is increasingly offered to ostensibly healthy individuals. Understanding the motivations and concerns of research participants seeking out personal WGS and their preferences regarding return-of-results and data sharing will help optimize protocols for WES/WGS. Baseline interviews including both qualitative and quantitative components were conducted with research participants (n=35) in the HealthSeq project, a longitudinal cohort study of individuals receiving personal WGS results. Data sharing preferences were recorded during informed consent. In the qualitative interview component, the dominant motivations that emerged were obtaining personal disease risk information, satisfying curiosity, contributing to research, self-exploration and interest in ancestry, and the dominant concern was the potential psychological impact of the results. In the quantitative component, 57% endorsed concerns about privacy. Most wanted to receive all personal WGS results (94%) and their raw data (89%); a third (37%) consented to having their data shared to the Database of Genotypes and Phenotypes (dbGaP). Early adopters of personal WGS in the HealthSeq project express a variety of health- and non-health-related motivations. Almost all want all available findings, while also expressing concerns about the psychological impact and privacy of their results.","container-title":"European Journal of Human Genetics","DOI":"10.1038/ejhg.2015.118","issue":"1","journalAbbreviation":"European Journal of Human Genetics","page":"14-20","title":"Motivations, concerns and preferences of personal genome sequencing research participants: Baseline findings from the HealthSeq project","volume":"24","author":[{"literal":"Sanderson S.C."},{"literal":"Linderman M.D."},{"literal":"Suckiel S.A."},{"literal":"Diaz G.A."},{"literal":"Zinberg R.E."},{"literal":"Ferryman K."},{"literal":"Wasserstein M."},{"literal":"Kasarskis A."},{"literal":"Schadt E.E."}],"issued":{"date-parts":[["2016"]]}}}],"schema":"https://github.com/citation-style-language/schema/raw/master/csl-citation.json"}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(Sanderson S.C. et al., 2016)</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2017</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Single Center</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Mixed Methods</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Interview and Questionnaire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 Follow-up,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1</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41</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48.6</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79</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3.4% African American, 3.4% Asian, 6.9% Hispanic/Latino, 6.9% More than 1 race</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Participants of the </w:t>
            </w:r>
            <w:proofErr w:type="spellStart"/>
            <w:r w:rsidRPr="00F660DA">
              <w:rPr>
                <w:rFonts w:ascii="Calibri" w:eastAsia="Times New Roman" w:hAnsi="Calibri" w:cs="Calibri"/>
                <w:color w:val="000000"/>
                <w:sz w:val="10"/>
                <w:szCs w:val="10"/>
              </w:rPr>
              <w:t>HealthSeq</w:t>
            </w:r>
            <w:proofErr w:type="spellEnd"/>
            <w:r w:rsidRPr="00F660DA">
              <w:rPr>
                <w:rFonts w:ascii="Calibri" w:eastAsia="Times New Roman" w:hAnsi="Calibri" w:cs="Calibri"/>
                <w:color w:val="000000"/>
                <w:sz w:val="10"/>
                <w:szCs w:val="10"/>
              </w:rPr>
              <w:t xml:space="preserve"> project</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Study Genetic Counselor and Medical Geneticist</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{"citationID":"emIj4Dmw","properties":{"formattedCitation":"(Shaw III and Bassi, 2001)","plainCitation":"(Shaw III and Bassi, 2001)","noteIndex":0},"citationItems":[{"id":42,"uris":["http://zotero.org/users/local/hrXXo6WQ/items/QME8ELIK"],"uri":["http://zotero.org/users/local/hrXXo6WQ/items/QME8ELIK"],"itemData":{"id":42,"type":"article-journal","abstract":"One of the most important issues facing legal and medical policy makers in the coming years will be whether to employ population-based testing for genetic markers of inherited diseases. Two hundred and twenty-six randomly selected individuals from Easton, Pennsylvania completed a mail questionnaire that was designed to assess the general public's attitudes toward many of the personal and societal issues surrounding genetic testing for disease susceptibility. Respondents were generally optimistic about the potential benefits of genetic testing, and their attitudes about genetic testing were associated with their personal interest in getting a genetic test. Respondents were more likely to be interested in undergoing genetic testing for disease susceptibility if they might have some control over the targeted disease (i.e. there was a cure) and if the test was highly predictive of their chances of developing the disease. Respondents were wary of granting access to genetic testing results to anyone other than doctors and family members, and they did not want the government, religious leaders, or the courts involved in regulating genetic testing. These results have important implications for psychologists, genetic scientists, bioethicists, and legal scholars who are grappling with the many issues related to population-based genetic testing for inherited diseases.","container-title":"J. Health Psychol.","DOI":"10.1177/135910530100600404","issue":"4","journalAbbreviation":"J. Health Psychol.","note":"publisher: SAGE Publications Ltd","page":"405-423","title":"Lay attitudes toward genetic testing for susceptibility to inherited diseases","volume":"6","author":[{"family":"Shaw III","given":"J.S."},{"family":"Bassi","given":"K.L."}],"issued":{"date-parts":[["2001"]]}}}],"schema":"https://github.com/citation-style-language/schema/raw/master/csl-citation.json"}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(Shaw III and Bassi, 2001)</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2001</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Community </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City/town</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54</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51.8</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95</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1.8% African American, 0.9% Asian American, 0.9% Native American, and 1.7% Other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{"citationID":"O8yv6BaZ","properties":{"formattedCitation":"(Shiloh S. et al., 2015)","plainCitation":"(Shiloh S. et al., 2015)","noteIndex":0},"citationItems":[{"id":18,"uris":["http://zotero.org/users/local/hrXXo6WQ/items/2V3E4R5Z"],"uri":["http://zotero.org/users/local/hrXXo6WQ/items/2V3E4R5Z"],"itemData":{"id":18,"type":"article-journal","abstract":"This study assessed the effects of multiplex genetic testing on disease risk perceptions among 216 healthy adults. Participants, aged 25-40, were recruited through the Multiplex Initiative, which offered a genetic susceptibility test for eight common diseases. Participants completed baseline telephone and web-based surveys prior to making the testing decision. Three months after the receipt of mailed test results, participants completed a follow-up telephone survey. Risk perceptions for the eight diseases were measured at baseline and follow-up, along with beliefs about genetic causation of those diseases. The main results were: (i) mean risk perceptions were considerably stable from baseline to follow-up; (ii) the best predictors of follow-up risk perceptions were the corresponding baseline perceptions and family history; and (iii) within-individuals, most participants increased or decreased their risk perceptions for specific diseases in concordance with the number of risk markers they carry, their family history and their beliefs about genetic causality of diseases. In conclusion, participants presented a vigilant approach to the interpretation of genetic test results, which provides reassurance with regard to a potential inflation of risk perceptions in the population because of multiplex genetic testing. Section Editor: Aad Tibben, email: a.tibben@lumc.nl","container-title":"Clinical Genetics","DOI":"10.1111/cge.12403","issue":"2","journalAbbreviation":"Clinical Genetics","page":"117-123","title":"The impact of multiplex genetic testing on disease risk perceptions","volume":"87","author":[{"literal":"Shiloh S."},{"literal":"deHeer H.D."},{"literal":"Peleg S."},{"literal":"Hensley Alford S."},{"literal":"Skapinsky K."},{"literal":"Roberts J.S."},{"literal":"Hadley D.W."}],"issued":{"date-parts":[["2015"]]}}}],"schema":"https://github.com/citation-style-language/schema/raw/master/csl-citation.json"}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(Shiloh S. et al., 2015)</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2014</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Non-RCT</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Interviews</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57</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35</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38% African American</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Adults ages 25 to 40 years old, not affected by Type2 diabetes, heart disease, high cholesterol, high blood pressure, osteoporosis, or lung, colon, or skin cancer</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Research Educator </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{"citationID":"1NdRR0en","properties":{"formattedCitation":"(Smit et al., 2020)","plainCitation":"(Smit et al., 2020)","noteIndex":0},"citationItems":[{"id":31,"uris":["http://zotero.org/users/local/hrXXo6WQ/items/Y4ZCRZQM"],"uri":["http://zotero.org/users/local/hrXXo6WQ/items/Y4ZCRZQM"],"itemData":{"id":31,"type":"article-journal","abstract":"Publics are key stakeholders in population genomic screening and their perspectives on ethical considerations are relevant to programme design and policy making. Using semi-structured interviews, we explored social views and attitudes towards possible future provision of personalised genomic risk information to populations to inform prevention and/or early detection of relevant conditions. Participants were members of the public (n=30) who had received information on their personal genomic risk of melanoma as part of a research project. The focus of the analysis presented here is participants' views regarding ethical considerations relevant to population genomic screening more generally. Data were analysed thematically and four key themes related to ethical considerations were identified: (i) personal responsibility for health: 'forewarned is forearmed'; (ii) perceptions of, and responses to, genetic fatalism; (iii) implications for parenting and reproduction; (iv) divided views on choosing to receive genomic risk information. Ethical considerations underlying these themes include the valorisation of information and choice, paternalism, non-directiveness and increasing responsibilisation of individuals in health and healthcare. These findings arguably indicate a thin public conceptualisation of population genomic testing, which draws heavily on how these themes tend to be described in existing social discourses. Findings suggest that further public engagement is required to increase complexity of debate, to consider (for example) the appropriate place of individual and social interests in population genomic testing. Further discernment of relevant ethical approaches, drawing on ethical frameworks from both public health and clinical settings, will also assist in determining the appropriate implementation of population genomic screening for complex conditions.","archive_location":"32434901","container-title":"J Med Ethics","DOI":"10.1136/medethics-2019-105934","journalAbbreviation":"J Med Ethics","title":"'There is a lot of good in knowing, but there is also a lot of downs': public views on ethical considerations in population genomic screening","author":[{"family":"Smit","given":"A. K."},{"family":"Reyes-Marcelino","given":"G."},{"family":"Keogh","given":"L."},{"family":"Cust","given":"A. E."},{"family":"Newson","given":"A. J."}],"issued":{"date-parts":[["2020"]]}}}],"schema":"https://github.com/citation-style-language/schema/raw/master/csl-citation.json"}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(Smit et al., 2020)</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2020</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Australia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Community</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State</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Qualitative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Interview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50</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53</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Melanoma</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All participants part of a pilot trial to give information on personalized melanoma genomic risk to the public</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Genetic Counselor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{"citationID":"QQPQycKI","properties":{"formattedCitation":"(Vassy J.L. et al., 2014)","plainCitation":"(Vassy J.L. et al., 2014)","noteIndex":0},"citationItems":[{"id":15,"uris":["http://zotero.org/users/local/hrXXo6WQ/items/INAPJM8Y"],"uri":["http://zotero.org/users/local/hrXXo6WQ/items/INAPJM8Y"],"itemData":{"id":15,"type":"article-journal","abstract":"BACKGROUND: There is excitement that medicine is entering a genomic era, in which knowledge of one's genetic makeup can guide medical decision-making. Whole genome sequencing (WGS) can identify 3-5 million genetic variants for an individual. However, the clinical significance of most of these variants is currently unknown, and the specific clinical contexts in which WGS might add value to current standards of care have not been identified. The uptake of WGS into medical practice will largely depend on whether and how physicians perceive it to improve patient care. METHODS: We have enrolled primary care physicians (PCPs) and cardiologists to participate with their patients in the MedSeq Project: a randomized trial of WGS in the clinical care of healthy adult primary care patients and cardiomyopathy patients. We used mixed methods to describe the clinical utility that physicians perceive WGS to have. In a baseline survey on enrollment, we asked physicians to rate on a scale of 1-10 (“Not at all useful” to “Extremely useful”) how useful they thought WGS would be for “managing [their] patients' health” at two times: now and in the future. We categorized responses as not useful (1-5) or useful (6-10) for analyses. We then conducted in-depth semi-structured interviews to explore whether and in what circumstances physicians might perceive WGS to have clinical utility. Transcribed interviews were consensus-coded with thematic content analysis to identify emergent themes. RESULTS: Of 17 physicians (mean age 52 years), nine were women, and five were of non-white race. Nine were PCPs, and 11 reported no genetics training “beyond the typical medical school curriculum.” Only 4 (24 %) said that WGS had utility now, but 15 (88 %) predicted it would have future utility for their patients' care. We identified three major themes influencing physician perceptions of utility. 1) Inevitability: Physicians expected WGS to be widely integrated into medical practice in the near future. When asked his opinion about the routine use of WGS in clinical care, one responded, “That's like saying, 'What do I think about getting cholesterol tests on people?' I mean, it's a reality, and I think it's going to happen.” 2) Uncertainty: Physicians perceived WGS results to have too little analytic and clinical validity at present to be useful for patient care. One commented, “It's like doing a CT scan and finding a nodule and not knowing what it means. And the next thing you know, you have a biopsy, and then you have a complication from the biopsy.” 3) Contexts of utility: In particular, physicians anticipated that WGS may 1 day be useful for nudging patient behavior change, tailoring drug therapy (pharmacogenomics), and efficiently targeting preventive health maintenance. One said, “If it turns out that we don't have to do colonoscopies every 10 years on 100 % of the people, maybe that will save a lot of money. If we know who we really should be doing PSA's or mammograms on, instead of doing them on everybody, we can save a lot of money, stop creating a lot of harm and disability.” Physicians often used analogies to current medical testing to describe their perceptions of WGS. CONCLUSIONS: Physicians are skeptical about the current clinical utility of WGS for general patient care but anticipate a near future when the clinical integration of WGS will be widespread. Evidence that WGS improves health outcomes will likely be necessary to persuade physicians of its utility in patient care.","container-title":"Journal of General Internal Medicine","issue":"(Vassy J.L.) VA Boston Healthcare System, Boston, MA, United States(Vassy J.L.; Christensen K.D.; Lautenbach D.; Green R.C.) Brigham and Women's Hospital, Boston, MA, United States(Slashinski M.J.; Robinson J.O.; Blumenthal-Barby J.A.; Feuerman L.; McGuir","journalAbbreviation":"Journal of General Internal Medicine","page":"S4","title":"“Someday it will be the norm”: Physician perceptions of the clinical utility of whole genome sequencing","volume":"29","author":[{"literal":"Vassy J.L."},{"literal":"Christensen K.D."},{"literal":"Slashinski M.J."},{"literal":"Lautenbach D."},{"literal":"Robinson J.O."},{"literal":"Blumenthal-Barby J.A."},{"literal":"Feuerman L."},{"literal":"Green R.C."},{"literal":"McGuire A.L."}],"issued":{"date-parts":[["2014"]]}}}],"schema":"https://github.com/citation-style-language/schema/raw/master/csl-citation.json"}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(Vassy J.L. et al., 2014)</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2015</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2013</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City/town</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Mixed Methods</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Interview and 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Providers (Primary care or Cardiologist)</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39</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52</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78</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22.22% Non-white race/ethnicity</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Evaluating patients based on family history only</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{"citationID":"WcyOenb7","properties":{"formattedCitation":"(Vassy et al., 2017)","plainCitation":"(Vassy et al., 2017)","noteIndex":0},"citationItems":[{"id":30,"uris":["http://zotero.org/users/local/hrXXo6WQ/items/3M5ILBMB"],"uri":["http://zotero.org/users/local/hrXXo6WQ/items/3M5ILBMB"],"itemData":{"id":30,"type":"article-journal","abstract":"Background: Whole-genome sequencing (WGS) in asymptomatic adults might prevent disease but increase health care use without clinical value. Objective: To describe the effect on clinical care and outcomes of adding WGS to standardized family history assessment in primary care. Design: Pilot randomized trial. (ClinicalTrials.gov: NCT01736566). Setting: Academic primary care practices. Participants: 9 primary care physicians (PCPs) and 100 generally healthy patients recruited at ages 40 to 65 years. Intervention: Patients were randomly assigned to receive a family history report alone (FH group) or in combination with an interpreted WGS report (FH + WGS group), which included monogenic disease risk (MDR) results (associated with Mendelian disorders), carrier variants, pharmacogenomic associations, and polygenic risk estimates for cardiometabolic traits. Each patient met with his or her PCP to discuss the report. Measurements: Clinical outcomes and health care use through 6 months were obtained from medical records and audio-recorded discussions between PCPs and patients. Patients' health behavior changes were surveyed 6 months after receiving results. A panel of clinician-geneticists rated the appropriateness of how PCPs managed MDR results. Results: Mean age was 55 years; 58% of patients were female. Eleven FH + WGS patients (22% [95% CI, 12% to 36%]) had new MDR results. Only 2 (4% [CI, 0.01% to 15%]) had evidence of the phenotypes predicted by an MDR result (fundus albipunctatus due to RDH5 and variegate porphyria due to PPOX). Primary care physicians recommended new clinical actions for 16% (CI, 8% to 30%) of FH patients and 34% (CI, 22% to 49%) of FH + WGS patients. Thirty percent (CI, 17% to 45%) and 41% (CI, 27% to 56%) of FH and FH + WGS patients, respectively, reported making a health behavior change after 6 months. Geneticists rated PCP management of 8 MDR results (73% [CI, 39% to 99%]) as appropriate and 2 results (18% [CI, 3% to 52%]) as inappropriate. Limitation: Limited sample size and ancestral and socioeconomic diversity. Conclusion: Adding WGS to primary care reveals new molecular findings of uncertain clinical utility. Nongeneticist providers may be able to manage WGS results appropriately, but WGS may prompt additional clinical actions of unclear value. Primary Funding Source: National Institutes of Health.","archive_location":"28654958","container-title":"Ann Intern Med","DOI":"10.7326/m17-0188","issue":"3","journalAbbreviation":"Ann Intern Med","page":"159-169","title":"The Impact of Whole-Genome Sequencing on the Primary Care and Outcomes of Healthy Adult Patients: A Pilot Randomized Trial","volume":"167","author":[{"family":"Vassy","given":"J. L."},{"family":"Christensen","given":"K. D."},{"family":"Schonman","given":"E. F."},{"family":"Blout","given":"C. L."},{"family":"Robinson","given":"J. O."},{"family":"Krier","given":"J. B."},{"family":"Diamond","given":"P. M."},{"family":"Lebo","given":"M."},{"family":"Machini","given":"K."},{"family":"Azzariti","given":"D. R."},{"family":"Dukhovny","given":"D."},{"family":"Bates","given":"D. W."},{"family":"MacRae","given":"C. A."},{"family":"Murray","given":"M. F."},{"family":"Rehm","given":"H. L."},{"family":"McGuire","given":"A. L."},{"family":"Green","given":"R. C."}],"issued":{"date-parts":[["2017"]]}}}],"schema":"https://github.com/citation-style-language/schema/raw/master/csl-citation.json"}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(Vassy et al., 2017)</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2017</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NR</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City/town</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RCT</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Results, Follow-up, Change in Health Behavior,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Patients and providers (Primary care)</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58</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55</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89</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11% Other </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Participants (45-60) of the </w:t>
            </w:r>
            <w:proofErr w:type="spellStart"/>
            <w:r w:rsidRPr="00F660DA">
              <w:rPr>
                <w:rFonts w:ascii="Calibri" w:eastAsia="Times New Roman" w:hAnsi="Calibri" w:cs="Calibri"/>
                <w:color w:val="000000"/>
                <w:sz w:val="10"/>
                <w:szCs w:val="10"/>
              </w:rPr>
              <w:t>MedSeq</w:t>
            </w:r>
            <w:proofErr w:type="spellEnd"/>
            <w:r w:rsidRPr="00F660DA">
              <w:rPr>
                <w:rFonts w:ascii="Calibri" w:eastAsia="Times New Roman" w:hAnsi="Calibri" w:cs="Calibri"/>
                <w:color w:val="000000"/>
                <w:sz w:val="10"/>
                <w:szCs w:val="10"/>
              </w:rPr>
              <w:t xml:space="preserve"> Project</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Primary Care provider</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Primary Care Provider</w:t>
            </w:r>
          </w:p>
        </w:tc>
      </w:tr>
      <w:tr w:rsidR="00E570D2" w:rsidRPr="00051688" w:rsidTr="00917030">
        <w:trPr>
          <w:trHeight w:val="320"/>
        </w:trPr>
        <w:tc>
          <w:tcPr>
            <w:tcW w:w="71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fldChar w:fldCharType="begin"/>
            </w:r>
            <w:r w:rsidRPr="00F660DA">
              <w:rPr>
                <w:rFonts w:ascii="Calibri" w:eastAsia="Times New Roman" w:hAnsi="Calibri" w:cs="Calibri"/>
                <w:color w:val="000000"/>
                <w:sz w:val="10"/>
                <w:szCs w:val="10"/>
              </w:rPr>
              <w:instrText xml:space="preserve"> ADDIN ZOTERO_ITEM CSL_CITATION {"citationID":"8WCc36e3","properties":{"formattedCitation":"(Zoltick E.S. et al., 2019)","plainCitation":"(Zoltick E.S. et al., 2019)","noteIndex":0},"citationItems":[{"id":25,"uris":["http://zotero.org/users/local/hrXXo6WQ/items/RLL7276Y"],"uri":["http://zotero.org/users/local/hrXXo6WQ/items/RLL7276Y"],"itemData":{"id":25,"type":"article-journal","abstract":"Background: Increasing numbers of healthy individuals are undergoing predispositional personal genome sequencing. Here we describe the design and early outcomes of the PeopleSeq Consortium, a multi-cohort collaboration of predispositional genome sequencing projects, which is examining the medical, behavioral, and economic outcomes of returning genomic sequencing information to healthy individuals. Methods: Apparently healthy adults who participated in four of the sequencing projects in the Consortium were included. Web-based surveys were administered before and after genomic results disclosure, or in some cases only after results disclosure. Surveys inquired about sociodemographic characteristics, motivations and concerns, behavioral and medical responses to sequencing results, and perceived utility. Results: Among 1395 eligible individuals, 658 enrolled in the Consortium when contacted and 543 have completed a survey after receiving their genomic results thus far (mean age 53.0 years, 61.4% male, 91.7% white, 95.5% college graduates). Most participants (98.1%) were motivated to undergo sequencing because of curiosity about their genetic make-up. The most commonly reported concerns prior to pursuing sequencing included how well the results would predict future risk (59.2%) and the complexity of genetic variant interpretation (56.8%), while 47.8% of participants were concerned about the privacy of their genetic information. Half of participants reported discussing their genomic results with a healthcare provider during a median of 8.0 months after receiving the results; 13.5% reported making an additional appointment with a healthcare provider specifically because of their results. Few participants (&lt; 10%) reported making changes to their diet, exercise habits, or insurance coverage because of their results. Many participants (39.5%) reported learning something new to improve their health that they did not know before. Reporting regret or harm from the decision to undergo sequencing was rare (&lt; 3.0%). Conclusions: Healthy individuals who underwent predispositional sequencing expressed some concern around privacy prior to pursuing sequencing, but were enthusiastic about their experience and not distressed by their results. While reporting value in their health-related results, few participants reported making medical or lifestyle changes.","container-title":"Genome Medicine","DOI":"10.1186/s13073-019-0619-9","issue":"1","journalAbbreviation":"Genome Medicine","title":"Predispositional genome sequencing in healthy adults: Design, participant characteristics, and early outcomes of the PeopleSeq Consortium","URL":"http://www.embase.com/search/results?subaction=viewrecord&amp;from=export&amp;id=L626519425","volume":"11","author":[{"literal":"Zoltick E.S."},{"literal":"Linderman M.D."},{"literal":"McGinniss M.A."},{"literal":"Ramos E."},{"literal":"Ball M.P."},{"literal":"Church G.M."},{"literal":"Leonard D.G.B."},{"literal":"Pereira S."},{"literal":"McGuire A.L."},{"literal":"Caskey C.T."},{"literal":"Sanderson S.C."},{"literal":"Schadt E.E."},{"literal":"Nielsen D.E."},{"literal":"Crawford S.D."},{"literal":"Green R.C."}],"issued":{"date-parts":[["2019"]]}}}],"schema":"https://github.com/citation-style-language/schema/raw/master/csl-citation.json"} </w:instrText>
            </w:r>
            <w:r w:rsidRPr="00F660DA">
              <w:rPr>
                <w:rFonts w:ascii="Calibri" w:eastAsia="Times New Roman" w:hAnsi="Calibri" w:cs="Calibri"/>
                <w:color w:val="000000"/>
                <w:sz w:val="10"/>
                <w:szCs w:val="10"/>
              </w:rPr>
              <w:fldChar w:fldCharType="separate"/>
            </w:r>
            <w:r w:rsidRPr="00F660DA">
              <w:rPr>
                <w:rFonts w:ascii="Calibri" w:eastAsia="Times New Roman" w:hAnsi="Calibri" w:cs="Calibri"/>
                <w:noProof/>
                <w:color w:val="000000"/>
                <w:sz w:val="10"/>
                <w:szCs w:val="10"/>
              </w:rPr>
              <w:t>(Zoltick E.S. et al., 2019)</w:t>
            </w:r>
            <w:r w:rsidRPr="00F660DA">
              <w:rPr>
                <w:rFonts w:ascii="Calibri" w:eastAsia="Times New Roman" w:hAnsi="Calibri" w:cs="Calibri"/>
                <w:color w:val="000000"/>
                <w:sz w:val="10"/>
                <w:szCs w:val="10"/>
              </w:rPr>
              <w:fldChar w:fldCharType="end"/>
            </w:r>
          </w:p>
        </w:tc>
        <w:tc>
          <w:tcPr>
            <w:tcW w:w="62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2019</w:t>
            </w:r>
          </w:p>
        </w:tc>
        <w:tc>
          <w:tcPr>
            <w:tcW w:w="71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USA</w:t>
            </w:r>
          </w:p>
        </w:tc>
        <w:tc>
          <w:tcPr>
            <w:tcW w:w="689"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Clinic</w:t>
            </w:r>
          </w:p>
        </w:tc>
        <w:tc>
          <w:tcPr>
            <w:tcW w:w="62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2014-2017</w:t>
            </w:r>
          </w:p>
        </w:tc>
        <w:tc>
          <w:tcPr>
            <w:tcW w:w="74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National</w:t>
            </w:r>
          </w:p>
        </w:tc>
        <w:tc>
          <w:tcPr>
            <w:tcW w:w="671"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Descriptive</w:t>
            </w:r>
          </w:p>
        </w:tc>
        <w:tc>
          <w:tcPr>
            <w:tcW w:w="79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Survey data</w:t>
            </w:r>
          </w:p>
        </w:tc>
        <w:tc>
          <w:tcPr>
            <w:tcW w:w="81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Change in Health Behavior, Interpretation</w:t>
            </w:r>
          </w:p>
        </w:tc>
        <w:tc>
          <w:tcPr>
            <w:tcW w:w="625"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4</w:t>
            </w:r>
          </w:p>
        </w:tc>
        <w:tc>
          <w:tcPr>
            <w:tcW w:w="75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Public</w:t>
            </w:r>
          </w:p>
        </w:tc>
        <w:tc>
          <w:tcPr>
            <w:tcW w:w="518"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38</w:t>
            </w:r>
          </w:p>
        </w:tc>
        <w:tc>
          <w:tcPr>
            <w:tcW w:w="45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53</w:t>
            </w:r>
          </w:p>
        </w:tc>
        <w:tc>
          <w:tcPr>
            <w:tcW w:w="470"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92</w:t>
            </w:r>
          </w:p>
        </w:tc>
        <w:tc>
          <w:tcPr>
            <w:tcW w:w="87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2.8% Asian 0.6% African American/Black 4.9% More than one race/other</w:t>
            </w:r>
          </w:p>
        </w:tc>
        <w:tc>
          <w:tcPr>
            <w:tcW w:w="11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 variety of conditions</w:t>
            </w:r>
          </w:p>
        </w:tc>
        <w:tc>
          <w:tcPr>
            <w:tcW w:w="1027"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Adults aged 18 years or older who independently decided to pursue pre-dispositional personal genome sequencing through one of the collaborating projects (PGP, Health-</w:t>
            </w:r>
            <w:proofErr w:type="spellStart"/>
            <w:r w:rsidRPr="00F660DA">
              <w:rPr>
                <w:rFonts w:ascii="Calibri" w:eastAsia="Times New Roman" w:hAnsi="Calibri" w:cs="Calibri"/>
                <w:color w:val="000000"/>
                <w:sz w:val="10"/>
                <w:szCs w:val="10"/>
              </w:rPr>
              <w:t>Seq</w:t>
            </w:r>
            <w:proofErr w:type="spellEnd"/>
            <w:r w:rsidRPr="00F660DA">
              <w:rPr>
                <w:rFonts w:ascii="Calibri" w:eastAsia="Times New Roman" w:hAnsi="Calibri" w:cs="Calibri"/>
                <w:color w:val="000000"/>
                <w:sz w:val="10"/>
                <w:szCs w:val="10"/>
              </w:rPr>
              <w:t xml:space="preserve">, and the YPO and MD/PhD Genome Projects) </w:t>
            </w:r>
          </w:p>
        </w:tc>
        <w:tc>
          <w:tcPr>
            <w:tcW w:w="984"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N/A</w:t>
            </w:r>
          </w:p>
        </w:tc>
        <w:tc>
          <w:tcPr>
            <w:tcW w:w="1036"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Varies By Project</w:t>
            </w:r>
          </w:p>
        </w:tc>
        <w:tc>
          <w:tcPr>
            <w:tcW w:w="872" w:type="dxa"/>
            <w:shd w:val="clear" w:color="auto" w:fill="auto"/>
            <w:noWrap/>
            <w:vAlign w:val="center"/>
            <w:hideMark/>
          </w:tcPr>
          <w:p w:rsidR="00E570D2" w:rsidRPr="00F660DA" w:rsidRDefault="00E570D2" w:rsidP="00917030">
            <w:pPr>
              <w:spacing w:before="10" w:after="10"/>
              <w:rPr>
                <w:rFonts w:ascii="Calibri" w:eastAsia="Times New Roman" w:hAnsi="Calibri" w:cs="Calibri"/>
                <w:color w:val="000000"/>
                <w:sz w:val="10"/>
                <w:szCs w:val="10"/>
              </w:rPr>
            </w:pPr>
            <w:r w:rsidRPr="00F660DA">
              <w:rPr>
                <w:rFonts w:ascii="Calibri" w:eastAsia="Times New Roman" w:hAnsi="Calibri" w:cs="Calibri"/>
                <w:color w:val="000000"/>
                <w:sz w:val="10"/>
                <w:szCs w:val="10"/>
              </w:rPr>
              <w:t xml:space="preserve">Varies By Project </w:t>
            </w:r>
          </w:p>
        </w:tc>
      </w:tr>
    </w:tbl>
    <w:p w:rsidR="00E570D2" w:rsidRDefault="00E570D2" w:rsidP="00E570D2">
      <w:pPr>
        <w:spacing w:before="0" w:after="200" w:line="276" w:lineRule="auto"/>
      </w:pPr>
      <w:r>
        <w:br w:type="page"/>
      </w:r>
    </w:p>
    <w:p w:rsidR="00E570D2" w:rsidRDefault="00E570D2"/>
    <w:sectPr w:rsidR="00E570D2" w:rsidSect="00E570D2">
      <w:pgSz w:w="15840" w:h="12240" w:orient="landscape"/>
      <w:pgMar w:top="1440" w:right="1440" w:bottom="1440"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0D2"/>
    <w:rsid w:val="00582772"/>
    <w:rsid w:val="00E57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DE5642-0C03-6C4B-9082-E540998D0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570D2"/>
    <w:pPr>
      <w:spacing w:before="120" w:after="240"/>
    </w:pPr>
    <w:rPr>
      <w:rFonts w:ascii="Times New Roman" w:hAnsi="Times New Roman"/>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13831</Words>
  <Characters>78843</Characters>
  <Application>Microsoft Office Word</Application>
  <DocSecurity>0</DocSecurity>
  <Lines>657</Lines>
  <Paragraphs>184</Paragraphs>
  <ScaleCrop>false</ScaleCrop>
  <Company/>
  <LinksUpToDate>false</LinksUpToDate>
  <CharactersWithSpaces>92490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2022-01-31T19:57:00Z</dcterms:created>
  <dcterms:modified xsi:type="dcterms:W3CDTF">2022-01-31T19:59:00Z</dcterms:modified>
</cp:coreProperties>
</file>