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9B68D" w14:textId="77777777" w:rsidR="00842849" w:rsidRPr="00DB4EC8" w:rsidRDefault="00842849" w:rsidP="00842849">
      <w:pPr>
        <w:spacing w:line="480" w:lineRule="auto"/>
        <w:rPr>
          <w:rFonts w:ascii="Arial" w:eastAsia="Calibri" w:hAnsi="Arial" w:cs="Arial"/>
          <w:sz w:val="22"/>
          <w:szCs w:val="22"/>
        </w:rPr>
      </w:pPr>
    </w:p>
    <w:p w14:paraId="046D2FFE" w14:textId="77777777" w:rsidR="00842849" w:rsidRDefault="00842849" w:rsidP="00842849">
      <w:pPr>
        <w:spacing w:line="480" w:lineRule="auto"/>
        <w:rPr>
          <w:rFonts w:ascii="Arial" w:eastAsia="Calibri" w:hAnsi="Arial" w:cs="Arial"/>
          <w:sz w:val="20"/>
          <w:szCs w:val="20"/>
        </w:rPr>
      </w:pPr>
      <w:r w:rsidRPr="00DB4EC8">
        <w:rPr>
          <w:rFonts w:ascii="Arial" w:hAnsi="Arial" w:cs="Arial"/>
          <w:sz w:val="22"/>
          <w:szCs w:val="22"/>
        </w:rPr>
        <w:t xml:space="preserve">Supplementary Figure 1. Distributions of 21 PQ-B Distress Items. Each item shows a similar Poisson distribution. </w:t>
      </w:r>
    </w:p>
    <w:p w14:paraId="3E15549B" w14:textId="77777777" w:rsidR="006E2E61" w:rsidRDefault="006E2E61">
      <w:bookmarkStart w:id="0" w:name="_GoBack"/>
      <w:bookmarkEnd w:id="0"/>
    </w:p>
    <w:sectPr w:rsidR="006E2E61" w:rsidSect="001764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849"/>
    <w:rsid w:val="001764D7"/>
    <w:rsid w:val="006E2E61"/>
    <w:rsid w:val="00842849"/>
    <w:rsid w:val="00F0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6F578"/>
  <w15:chartTrackingRefBased/>
  <w15:docId w15:val="{5C8BE82B-5EBB-4240-8A24-26DDD2AB9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284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Bearden, Carrie</dc:creator>
  <cp:keywords/>
  <dc:description/>
  <cp:lastModifiedBy>Bearden, Carrie</cp:lastModifiedBy>
  <cp:revision>1</cp:revision>
  <dcterms:created xsi:type="dcterms:W3CDTF">2021-04-12T20:44:00Z</dcterms:created>
  <dcterms:modified xsi:type="dcterms:W3CDTF">2021-04-12T20:44:00Z</dcterms:modified>
</cp:coreProperties>
</file>