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8AEA9" w14:textId="55FE6111" w:rsidR="00EB3C78" w:rsidRPr="00407C4C" w:rsidRDefault="00EB3C78" w:rsidP="00407C4C">
      <w:pPr>
        <w:spacing w:line="360" w:lineRule="auto"/>
        <w:jc w:val="center"/>
        <w:rPr>
          <w:rFonts w:asciiTheme="minorBidi" w:hAnsiTheme="minorBidi"/>
          <w:b/>
          <w:bCs/>
        </w:rPr>
      </w:pPr>
      <w:r w:rsidRPr="00407C4C">
        <w:rPr>
          <w:rFonts w:asciiTheme="minorBidi" w:hAnsiTheme="minorBidi"/>
          <w:b/>
          <w:bCs/>
        </w:rPr>
        <w:t>Supplementary information</w:t>
      </w:r>
    </w:p>
    <w:p w14:paraId="6C5128E7" w14:textId="77777777" w:rsidR="00407C4C" w:rsidRDefault="00407C4C" w:rsidP="002136C0">
      <w:pPr>
        <w:spacing w:line="360" w:lineRule="auto"/>
        <w:ind w:left="720" w:hanging="360"/>
        <w:jc w:val="center"/>
        <w:rPr>
          <w:rFonts w:asciiTheme="minorBidi" w:hAnsiTheme="minorBidi"/>
          <w:b/>
          <w:bCs/>
          <w:sz w:val="20"/>
          <w:szCs w:val="20"/>
        </w:rPr>
      </w:pPr>
    </w:p>
    <w:p w14:paraId="73F68D8E" w14:textId="46D15415" w:rsidR="002136C0" w:rsidRPr="00407C4C" w:rsidRDefault="002136C0" w:rsidP="002136C0">
      <w:pPr>
        <w:spacing w:line="360" w:lineRule="auto"/>
        <w:ind w:left="720" w:hanging="360"/>
        <w:jc w:val="center"/>
        <w:rPr>
          <w:rFonts w:asciiTheme="minorBidi" w:hAnsiTheme="minorBidi"/>
          <w:b/>
          <w:bCs/>
          <w:sz w:val="20"/>
          <w:szCs w:val="20"/>
        </w:rPr>
      </w:pPr>
      <w:r w:rsidRPr="005C13FF">
        <w:rPr>
          <w:rFonts w:asciiTheme="minorBidi" w:hAnsiTheme="minorBidi"/>
          <w:b/>
          <w:bCs/>
          <w:i/>
          <w:iCs/>
          <w:sz w:val="20"/>
          <w:szCs w:val="20"/>
        </w:rPr>
        <w:t>De novo</w:t>
      </w:r>
      <w:r w:rsidRPr="00407C4C">
        <w:rPr>
          <w:rFonts w:asciiTheme="minorBidi" w:hAnsiTheme="minorBidi"/>
          <w:b/>
          <w:bCs/>
          <w:sz w:val="20"/>
          <w:szCs w:val="20"/>
        </w:rPr>
        <w:t xml:space="preserve"> identification of complex </w:t>
      </w:r>
      <w:r w:rsidR="000A587B">
        <w:rPr>
          <w:rFonts w:asciiTheme="minorBidi" w:hAnsiTheme="minorBidi"/>
          <w:b/>
          <w:bCs/>
          <w:sz w:val="20"/>
          <w:szCs w:val="20"/>
        </w:rPr>
        <w:t>traits associated with asthma</w:t>
      </w:r>
      <w:r w:rsidR="000A587B" w:rsidRPr="00407C4C">
        <w:rPr>
          <w:rFonts w:asciiTheme="minorBidi" w:hAnsiTheme="minorBidi"/>
          <w:b/>
          <w:bCs/>
          <w:sz w:val="20"/>
          <w:szCs w:val="20"/>
        </w:rPr>
        <w:t xml:space="preserve"> </w:t>
      </w:r>
    </w:p>
    <w:p w14:paraId="54A1873B" w14:textId="77777777" w:rsidR="002136C0" w:rsidRPr="00662010" w:rsidRDefault="002136C0" w:rsidP="002136C0">
      <w:pPr>
        <w:spacing w:line="360" w:lineRule="auto"/>
        <w:ind w:left="720" w:hanging="360"/>
        <w:rPr>
          <w:rFonts w:asciiTheme="minorBidi" w:hAnsiTheme="minorBidi"/>
          <w:sz w:val="20"/>
          <w:szCs w:val="20"/>
          <w:vertAlign w:val="superscript"/>
        </w:rPr>
      </w:pPr>
      <w:r w:rsidRPr="00662010">
        <w:rPr>
          <w:rFonts w:asciiTheme="minorBidi" w:hAnsiTheme="minorBidi"/>
          <w:sz w:val="20"/>
          <w:szCs w:val="20"/>
        </w:rPr>
        <w:t>Roan E. Zaied</w:t>
      </w:r>
      <w:r w:rsidRPr="00662010">
        <w:rPr>
          <w:rFonts w:asciiTheme="minorBidi" w:hAnsiTheme="minorBidi"/>
          <w:sz w:val="20"/>
          <w:szCs w:val="20"/>
          <w:vertAlign w:val="superscript"/>
        </w:rPr>
        <w:t>1</w:t>
      </w:r>
      <w:r w:rsidRPr="00662010">
        <w:rPr>
          <w:rFonts w:asciiTheme="minorBidi" w:hAnsiTheme="minorBidi"/>
          <w:sz w:val="20"/>
          <w:szCs w:val="20"/>
        </w:rPr>
        <w:t>, Tayaza Fadason</w:t>
      </w:r>
      <w:r w:rsidRPr="00662010">
        <w:rPr>
          <w:rFonts w:asciiTheme="minorBidi" w:hAnsiTheme="minorBidi"/>
          <w:sz w:val="20"/>
          <w:szCs w:val="20"/>
          <w:vertAlign w:val="superscript"/>
        </w:rPr>
        <w:t>1,2</w:t>
      </w:r>
      <w:r w:rsidRPr="00662010">
        <w:rPr>
          <w:rFonts w:asciiTheme="minorBidi" w:hAnsiTheme="minorBidi"/>
          <w:sz w:val="20"/>
          <w:szCs w:val="20"/>
        </w:rPr>
        <w:t>, Justin M. O’Sullivan</w:t>
      </w:r>
      <w:r w:rsidRPr="00662010">
        <w:rPr>
          <w:rFonts w:asciiTheme="minorBidi" w:hAnsiTheme="minorBidi"/>
          <w:sz w:val="20"/>
          <w:szCs w:val="20"/>
          <w:vertAlign w:val="superscript"/>
        </w:rPr>
        <w:t>1,2,3,4 *</w:t>
      </w:r>
    </w:p>
    <w:p w14:paraId="53CDCC02" w14:textId="77777777" w:rsidR="002136C0" w:rsidRPr="00662010" w:rsidRDefault="002136C0" w:rsidP="002136C0">
      <w:pPr>
        <w:spacing w:line="360" w:lineRule="auto"/>
        <w:ind w:left="720" w:hanging="360"/>
        <w:rPr>
          <w:rFonts w:asciiTheme="minorBidi" w:hAnsiTheme="minorBidi"/>
          <w:sz w:val="20"/>
          <w:szCs w:val="20"/>
        </w:rPr>
      </w:pPr>
      <w:r w:rsidRPr="00662010">
        <w:rPr>
          <w:rFonts w:asciiTheme="minorBidi" w:hAnsiTheme="minorBidi"/>
          <w:sz w:val="20"/>
          <w:szCs w:val="20"/>
          <w:vertAlign w:val="superscript"/>
        </w:rPr>
        <w:t>1</w:t>
      </w:r>
      <w:r w:rsidRPr="00662010">
        <w:rPr>
          <w:rFonts w:asciiTheme="minorBidi" w:hAnsiTheme="minorBidi"/>
          <w:sz w:val="20"/>
          <w:szCs w:val="20"/>
        </w:rPr>
        <w:t xml:space="preserve"> The Liggins Institute, The University of Auckland, Auckland, Private Bag 92019, New Zealand</w:t>
      </w:r>
    </w:p>
    <w:p w14:paraId="19183FF2" w14:textId="77777777" w:rsidR="002136C0" w:rsidRPr="00662010" w:rsidRDefault="002136C0" w:rsidP="002136C0">
      <w:pPr>
        <w:spacing w:line="360" w:lineRule="auto"/>
        <w:ind w:left="720" w:hanging="360"/>
        <w:rPr>
          <w:rFonts w:asciiTheme="minorBidi" w:hAnsiTheme="minorBidi"/>
          <w:sz w:val="20"/>
          <w:szCs w:val="20"/>
        </w:rPr>
      </w:pPr>
      <w:r w:rsidRPr="00662010">
        <w:rPr>
          <w:rFonts w:asciiTheme="minorBidi" w:hAnsiTheme="minorBidi"/>
          <w:sz w:val="20"/>
          <w:szCs w:val="20"/>
          <w:vertAlign w:val="superscript"/>
        </w:rPr>
        <w:t>2</w:t>
      </w:r>
      <w:r w:rsidRPr="00662010">
        <w:rPr>
          <w:rFonts w:asciiTheme="minorBidi" w:hAnsiTheme="minorBidi"/>
          <w:sz w:val="20"/>
          <w:szCs w:val="20"/>
        </w:rPr>
        <w:t xml:space="preserve"> The Maurice Wilkins Centre, The University of Auckland, Auckland, Private Bag 92019, New Zealand </w:t>
      </w:r>
    </w:p>
    <w:p w14:paraId="5259EAE0" w14:textId="77777777" w:rsidR="002136C0" w:rsidRPr="00662010" w:rsidRDefault="002136C0" w:rsidP="002136C0">
      <w:pPr>
        <w:spacing w:line="360" w:lineRule="auto"/>
        <w:ind w:left="720" w:hanging="360"/>
        <w:rPr>
          <w:rFonts w:asciiTheme="minorBidi" w:hAnsiTheme="minorBidi"/>
          <w:sz w:val="20"/>
          <w:szCs w:val="20"/>
        </w:rPr>
      </w:pPr>
      <w:r w:rsidRPr="00662010">
        <w:rPr>
          <w:rFonts w:asciiTheme="minorBidi" w:hAnsiTheme="minorBidi"/>
          <w:sz w:val="20"/>
          <w:szCs w:val="20"/>
          <w:vertAlign w:val="superscript"/>
        </w:rPr>
        <w:t>3</w:t>
      </w:r>
      <w:r w:rsidRPr="00662010">
        <w:rPr>
          <w:rFonts w:asciiTheme="minorBidi" w:hAnsiTheme="minorBidi"/>
          <w:sz w:val="20"/>
          <w:szCs w:val="20"/>
        </w:rPr>
        <w:t xml:space="preserve"> Australian </w:t>
      </w:r>
      <w:proofErr w:type="spellStart"/>
      <w:r w:rsidRPr="00662010">
        <w:rPr>
          <w:rFonts w:asciiTheme="minorBidi" w:hAnsiTheme="minorBidi"/>
          <w:sz w:val="20"/>
          <w:szCs w:val="20"/>
        </w:rPr>
        <w:t>Parkinsons</w:t>
      </w:r>
      <w:proofErr w:type="spellEnd"/>
      <w:r w:rsidRPr="00662010">
        <w:rPr>
          <w:rFonts w:asciiTheme="minorBidi" w:hAnsiTheme="minorBidi"/>
          <w:sz w:val="20"/>
          <w:szCs w:val="20"/>
        </w:rPr>
        <w:t xml:space="preserve"> Mission, </w:t>
      </w:r>
      <w:proofErr w:type="spellStart"/>
      <w:r w:rsidRPr="00662010">
        <w:rPr>
          <w:rFonts w:asciiTheme="minorBidi" w:hAnsiTheme="minorBidi"/>
          <w:sz w:val="20"/>
          <w:szCs w:val="20"/>
        </w:rPr>
        <w:t>Garvan</w:t>
      </w:r>
      <w:proofErr w:type="spellEnd"/>
      <w:r w:rsidRPr="00662010">
        <w:rPr>
          <w:rFonts w:asciiTheme="minorBidi" w:hAnsiTheme="minorBidi"/>
          <w:sz w:val="20"/>
          <w:szCs w:val="20"/>
        </w:rPr>
        <w:t xml:space="preserve"> Institute of Medical Research, Sydney, New South Wales, 384 Victoria Street, Darlinghurst NSW 2010, Australia</w:t>
      </w:r>
    </w:p>
    <w:p w14:paraId="5E94638C" w14:textId="77777777" w:rsidR="002136C0" w:rsidRPr="00662010" w:rsidRDefault="002136C0" w:rsidP="002136C0">
      <w:pPr>
        <w:spacing w:line="360" w:lineRule="auto"/>
        <w:ind w:left="720" w:hanging="360"/>
        <w:rPr>
          <w:rFonts w:asciiTheme="minorBidi" w:hAnsiTheme="minorBidi"/>
          <w:sz w:val="20"/>
          <w:szCs w:val="20"/>
        </w:rPr>
      </w:pPr>
      <w:r w:rsidRPr="00662010">
        <w:rPr>
          <w:rFonts w:asciiTheme="minorBidi" w:hAnsiTheme="minorBidi"/>
          <w:sz w:val="20"/>
          <w:szCs w:val="20"/>
          <w:vertAlign w:val="superscript"/>
        </w:rPr>
        <w:t>4</w:t>
      </w:r>
      <w:r w:rsidRPr="00662010">
        <w:rPr>
          <w:rFonts w:asciiTheme="minorBidi" w:hAnsiTheme="minorBidi"/>
          <w:sz w:val="20"/>
          <w:szCs w:val="20"/>
        </w:rPr>
        <w:t xml:space="preserve"> MRC </w:t>
      </w:r>
      <w:proofErr w:type="spellStart"/>
      <w:r w:rsidRPr="00662010">
        <w:rPr>
          <w:rFonts w:asciiTheme="minorBidi" w:hAnsiTheme="minorBidi"/>
          <w:sz w:val="20"/>
          <w:szCs w:val="20"/>
        </w:rPr>
        <w:t>Lifecourse</w:t>
      </w:r>
      <w:proofErr w:type="spellEnd"/>
      <w:r w:rsidRPr="00662010">
        <w:rPr>
          <w:rFonts w:asciiTheme="minorBidi" w:hAnsiTheme="minorBidi"/>
          <w:sz w:val="20"/>
          <w:szCs w:val="20"/>
        </w:rPr>
        <w:t xml:space="preserve"> Epidemiology Unit, University of Southampton, Southampton, SO16 6YD, United</w:t>
      </w:r>
    </w:p>
    <w:p w14:paraId="7DBBD955" w14:textId="77777777" w:rsidR="002136C0" w:rsidRPr="00662010" w:rsidRDefault="002136C0" w:rsidP="002136C0">
      <w:pPr>
        <w:spacing w:line="360" w:lineRule="auto"/>
        <w:ind w:left="720" w:hanging="360"/>
        <w:rPr>
          <w:rFonts w:asciiTheme="minorBidi" w:hAnsiTheme="minorBidi"/>
          <w:sz w:val="20"/>
          <w:szCs w:val="20"/>
        </w:rPr>
      </w:pPr>
      <w:r w:rsidRPr="00662010">
        <w:rPr>
          <w:rFonts w:asciiTheme="minorBidi" w:hAnsiTheme="minorBidi"/>
          <w:sz w:val="20"/>
          <w:szCs w:val="20"/>
        </w:rPr>
        <w:t xml:space="preserve"> Kingdom</w:t>
      </w:r>
    </w:p>
    <w:p w14:paraId="5480866C" w14:textId="7B07850F" w:rsidR="002136C0" w:rsidRDefault="002136C0" w:rsidP="001C5348">
      <w:pPr>
        <w:spacing w:line="360" w:lineRule="auto"/>
        <w:ind w:left="720" w:hanging="360"/>
        <w:rPr>
          <w:rFonts w:asciiTheme="minorBidi" w:hAnsiTheme="minorBidi"/>
          <w:sz w:val="20"/>
          <w:szCs w:val="20"/>
        </w:rPr>
      </w:pPr>
      <w:r w:rsidRPr="00662010">
        <w:rPr>
          <w:rFonts w:asciiTheme="minorBidi" w:hAnsiTheme="minorBidi"/>
          <w:sz w:val="20"/>
          <w:szCs w:val="20"/>
        </w:rPr>
        <w:t xml:space="preserve">* To whom correspondence should be addressed: </w:t>
      </w:r>
      <w:hyperlink r:id="rId6" w:history="1">
        <w:r w:rsidRPr="00662010">
          <w:rPr>
            <w:rStyle w:val="Hyperlink"/>
            <w:rFonts w:asciiTheme="minorBidi" w:hAnsiTheme="minorBidi"/>
            <w:sz w:val="20"/>
            <w:szCs w:val="20"/>
          </w:rPr>
          <w:t>justin.osullivan@auckland.ac.nz</w:t>
        </w:r>
      </w:hyperlink>
    </w:p>
    <w:p w14:paraId="6A8898E4" w14:textId="155E5A31" w:rsidR="00D53FCF" w:rsidRPr="00D53FCF" w:rsidRDefault="00D53FCF" w:rsidP="00D53FCF">
      <w:pPr>
        <w:rPr>
          <w:rFonts w:asciiTheme="minorBidi" w:hAnsiTheme="minorBidi"/>
          <w:sz w:val="20"/>
          <w:szCs w:val="20"/>
        </w:rPr>
      </w:pPr>
    </w:p>
    <w:p w14:paraId="5FB6CAD6" w14:textId="02906710" w:rsidR="00D53FCF" w:rsidRPr="00D53FCF" w:rsidRDefault="00D53FCF" w:rsidP="00D53FCF">
      <w:pPr>
        <w:rPr>
          <w:rFonts w:asciiTheme="minorBidi" w:hAnsiTheme="minorBidi"/>
          <w:sz w:val="20"/>
          <w:szCs w:val="20"/>
        </w:rPr>
      </w:pPr>
    </w:p>
    <w:p w14:paraId="78CE72D4" w14:textId="23181AB1" w:rsidR="00D53FCF" w:rsidRPr="00D53FCF" w:rsidRDefault="00D53FCF" w:rsidP="00D53FCF">
      <w:pPr>
        <w:rPr>
          <w:rFonts w:asciiTheme="minorBidi" w:hAnsiTheme="minorBidi"/>
          <w:sz w:val="20"/>
          <w:szCs w:val="20"/>
        </w:rPr>
      </w:pPr>
    </w:p>
    <w:p w14:paraId="6EC4C374" w14:textId="0D8B1A1A" w:rsidR="00D53FCF" w:rsidRPr="00D53FCF" w:rsidRDefault="00D53FCF" w:rsidP="00D53FCF">
      <w:pPr>
        <w:rPr>
          <w:rFonts w:asciiTheme="minorBidi" w:hAnsiTheme="minorBidi"/>
          <w:sz w:val="20"/>
          <w:szCs w:val="20"/>
        </w:rPr>
      </w:pPr>
    </w:p>
    <w:p w14:paraId="2C750CB9" w14:textId="2175CE4E" w:rsidR="00D53FCF" w:rsidRPr="00D53FCF" w:rsidRDefault="00D53FCF" w:rsidP="00D53FCF">
      <w:pPr>
        <w:rPr>
          <w:rFonts w:asciiTheme="minorBidi" w:hAnsiTheme="minorBidi"/>
          <w:sz w:val="20"/>
          <w:szCs w:val="20"/>
        </w:rPr>
      </w:pPr>
    </w:p>
    <w:p w14:paraId="3F78498C" w14:textId="04AA5714" w:rsidR="00D53FCF" w:rsidRPr="00D53FCF" w:rsidRDefault="00D53FCF" w:rsidP="00D53FCF">
      <w:pPr>
        <w:rPr>
          <w:rFonts w:asciiTheme="minorBidi" w:hAnsiTheme="minorBidi"/>
          <w:sz w:val="20"/>
          <w:szCs w:val="20"/>
        </w:rPr>
      </w:pPr>
    </w:p>
    <w:p w14:paraId="15DB5E3A" w14:textId="1BBAA73F" w:rsidR="00D53FCF" w:rsidRDefault="00D53FCF" w:rsidP="00D53FCF">
      <w:pPr>
        <w:rPr>
          <w:rFonts w:asciiTheme="minorBidi" w:hAnsiTheme="minorBidi"/>
          <w:sz w:val="20"/>
          <w:szCs w:val="20"/>
        </w:rPr>
      </w:pPr>
    </w:p>
    <w:p w14:paraId="62AEDCFF" w14:textId="69611CEB" w:rsidR="00D53FCF" w:rsidRPr="00D53FCF" w:rsidRDefault="00D53FCF" w:rsidP="00D53FCF">
      <w:pPr>
        <w:tabs>
          <w:tab w:val="left" w:pos="1823"/>
        </w:tabs>
        <w:rPr>
          <w:rFonts w:asciiTheme="minorBidi" w:hAnsiTheme="minorBidi"/>
          <w:i/>
          <w:iCs/>
          <w:sz w:val="20"/>
          <w:szCs w:val="20"/>
        </w:rPr>
      </w:pPr>
      <w:r>
        <w:rPr>
          <w:rFonts w:asciiTheme="minorBidi" w:hAnsiTheme="minorBidi"/>
          <w:sz w:val="20"/>
          <w:szCs w:val="20"/>
        </w:rPr>
        <w:tab/>
      </w:r>
    </w:p>
    <w:p w14:paraId="35950A8B" w14:textId="77777777" w:rsidR="00D53FCF" w:rsidRDefault="00D53FCF" w:rsidP="00B133CC">
      <w:pPr>
        <w:spacing w:line="360" w:lineRule="auto"/>
        <w:jc w:val="center"/>
      </w:pPr>
    </w:p>
    <w:p w14:paraId="46D134B2" w14:textId="316B1735" w:rsidR="00A330DA" w:rsidRDefault="00562707" w:rsidP="00A330DA">
      <w:pPr>
        <w:spacing w:line="360" w:lineRule="auto"/>
        <w:jc w:val="center"/>
      </w:pPr>
      <w:r>
        <w:rPr>
          <w:noProof/>
        </w:rPr>
        <w:lastRenderedPageBreak/>
        <w:drawing>
          <wp:inline distT="0" distB="0" distL="0" distR="0" wp14:anchorId="092B2E8C" wp14:editId="792075EC">
            <wp:extent cx="5816600" cy="6248400"/>
            <wp:effectExtent l="0" t="0" r="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16600" cy="6248400"/>
                    </a:xfrm>
                    <a:prstGeom prst="rect">
                      <a:avLst/>
                    </a:prstGeom>
                    <a:noFill/>
                    <a:ln>
                      <a:noFill/>
                    </a:ln>
                  </pic:spPr>
                </pic:pic>
              </a:graphicData>
            </a:graphic>
          </wp:inline>
        </w:drawing>
      </w:r>
    </w:p>
    <w:p w14:paraId="64B776CF" w14:textId="304FCD11" w:rsidR="00A330DA" w:rsidRDefault="00A330DA" w:rsidP="003F111D">
      <w:pPr>
        <w:spacing w:line="360" w:lineRule="auto"/>
        <w:rPr>
          <w:rFonts w:asciiTheme="minorBidi" w:hAnsiTheme="minorBidi"/>
          <w:sz w:val="20"/>
          <w:szCs w:val="20"/>
        </w:rPr>
      </w:pPr>
      <w:r w:rsidRPr="00BC0C3F">
        <w:rPr>
          <w:rFonts w:asciiTheme="minorBidi" w:hAnsiTheme="minorBidi"/>
          <w:b/>
          <w:bCs/>
          <w:sz w:val="20"/>
          <w:szCs w:val="20"/>
        </w:rPr>
        <w:t xml:space="preserve">Supplementary Figure </w:t>
      </w:r>
      <w:r>
        <w:rPr>
          <w:rFonts w:asciiTheme="minorBidi" w:hAnsiTheme="minorBidi"/>
          <w:b/>
          <w:bCs/>
          <w:sz w:val="20"/>
          <w:szCs w:val="20"/>
        </w:rPr>
        <w:t>1</w:t>
      </w:r>
      <w:r w:rsidRPr="00662010">
        <w:rPr>
          <w:rFonts w:asciiTheme="minorBidi" w:hAnsiTheme="minorBidi"/>
          <w:b/>
          <w:bCs/>
          <w:sz w:val="20"/>
          <w:szCs w:val="20"/>
        </w:rPr>
        <w:t xml:space="preserve">. </w:t>
      </w:r>
      <w:r w:rsidR="0038667A">
        <w:rPr>
          <w:rFonts w:asciiTheme="minorBidi" w:hAnsiTheme="minorBidi"/>
          <w:b/>
          <w:bCs/>
          <w:sz w:val="20"/>
          <w:szCs w:val="20"/>
        </w:rPr>
        <w:t>eQTL-targeted</w:t>
      </w:r>
      <w:r w:rsidR="000D7C89">
        <w:rPr>
          <w:rFonts w:asciiTheme="minorBidi" w:hAnsiTheme="minorBidi"/>
          <w:b/>
          <w:bCs/>
          <w:sz w:val="20"/>
          <w:szCs w:val="20"/>
        </w:rPr>
        <w:t xml:space="preserve"> </w:t>
      </w:r>
      <w:r w:rsidR="0038667A">
        <w:rPr>
          <w:rFonts w:asciiTheme="minorBidi" w:hAnsiTheme="minorBidi"/>
          <w:b/>
          <w:bCs/>
          <w:sz w:val="20"/>
          <w:szCs w:val="20"/>
        </w:rPr>
        <w:t>protein-coding</w:t>
      </w:r>
      <w:r w:rsidRPr="00662010">
        <w:rPr>
          <w:rFonts w:asciiTheme="minorBidi" w:hAnsiTheme="minorBidi"/>
          <w:b/>
          <w:bCs/>
          <w:sz w:val="20"/>
          <w:szCs w:val="20"/>
        </w:rPr>
        <w:t xml:space="preserve"> </w:t>
      </w:r>
      <w:r w:rsidR="000D7C89">
        <w:rPr>
          <w:rFonts w:asciiTheme="minorBidi" w:hAnsiTheme="minorBidi"/>
          <w:b/>
          <w:bCs/>
          <w:sz w:val="20"/>
          <w:szCs w:val="20"/>
        </w:rPr>
        <w:t>g</w:t>
      </w:r>
      <w:r w:rsidRPr="00662010">
        <w:rPr>
          <w:rFonts w:asciiTheme="minorBidi" w:hAnsiTheme="minorBidi"/>
          <w:b/>
          <w:bCs/>
          <w:sz w:val="20"/>
          <w:szCs w:val="20"/>
        </w:rPr>
        <w:t xml:space="preserve">enes are significantly more intolerant to loss of function </w:t>
      </w:r>
      <w:r w:rsidR="000D7C89">
        <w:rPr>
          <w:rFonts w:asciiTheme="minorBidi" w:hAnsiTheme="minorBidi"/>
          <w:b/>
          <w:bCs/>
          <w:sz w:val="20"/>
          <w:szCs w:val="20"/>
        </w:rPr>
        <w:t>than g</w:t>
      </w:r>
      <w:r w:rsidRPr="00662010">
        <w:rPr>
          <w:rFonts w:asciiTheme="minorBidi" w:hAnsiTheme="minorBidi"/>
          <w:b/>
          <w:bCs/>
          <w:sz w:val="20"/>
          <w:szCs w:val="20"/>
        </w:rPr>
        <w:t>enes</w:t>
      </w:r>
      <w:r w:rsidR="000D7C89">
        <w:rPr>
          <w:rFonts w:asciiTheme="minorBidi" w:hAnsiTheme="minorBidi"/>
          <w:b/>
          <w:bCs/>
          <w:sz w:val="20"/>
          <w:szCs w:val="20"/>
        </w:rPr>
        <w:t xml:space="preserve"> that are not targeted by eQTLs</w:t>
      </w:r>
      <w:r w:rsidRPr="00662010">
        <w:rPr>
          <w:rFonts w:asciiTheme="minorBidi" w:hAnsiTheme="minorBidi"/>
          <w:b/>
          <w:bCs/>
          <w:sz w:val="20"/>
          <w:szCs w:val="20"/>
        </w:rPr>
        <w:t xml:space="preserve">. </w:t>
      </w:r>
      <w:r w:rsidRPr="00662010">
        <w:rPr>
          <w:rFonts w:asciiTheme="minorBidi" w:hAnsiTheme="minorBidi"/>
          <w:sz w:val="20"/>
          <w:szCs w:val="20"/>
        </w:rPr>
        <w:t>A)</w:t>
      </w:r>
      <w:r w:rsidRPr="00662010">
        <w:rPr>
          <w:rFonts w:asciiTheme="minorBidi" w:hAnsiTheme="minorBidi"/>
          <w:b/>
          <w:bCs/>
          <w:sz w:val="20"/>
          <w:szCs w:val="20"/>
        </w:rPr>
        <w:t xml:space="preserve"> </w:t>
      </w:r>
      <w:r w:rsidRPr="00662010">
        <w:rPr>
          <w:rFonts w:asciiTheme="minorBidi" w:hAnsiTheme="minorBidi"/>
          <w:sz w:val="20"/>
          <w:szCs w:val="20"/>
        </w:rPr>
        <w:t>Number of eQTL</w:t>
      </w:r>
      <w:r w:rsidR="000D7C89">
        <w:rPr>
          <w:rFonts w:asciiTheme="minorBidi" w:hAnsiTheme="minorBidi"/>
          <w:sz w:val="20"/>
          <w:szCs w:val="20"/>
        </w:rPr>
        <w:t>-g</w:t>
      </w:r>
      <w:r w:rsidRPr="00662010">
        <w:rPr>
          <w:rFonts w:asciiTheme="minorBidi" w:hAnsiTheme="minorBidi"/>
          <w:sz w:val="20"/>
          <w:szCs w:val="20"/>
        </w:rPr>
        <w:t>ene interactions in GTEx v8 compared to spatial eQTL-</w:t>
      </w:r>
      <w:r w:rsidR="000D7C89">
        <w:rPr>
          <w:rFonts w:asciiTheme="minorBidi" w:hAnsiTheme="minorBidi"/>
          <w:sz w:val="20"/>
          <w:szCs w:val="20"/>
        </w:rPr>
        <w:t>g</w:t>
      </w:r>
      <w:r w:rsidRPr="00662010">
        <w:rPr>
          <w:rFonts w:asciiTheme="minorBidi" w:hAnsiTheme="minorBidi"/>
          <w:sz w:val="20"/>
          <w:szCs w:val="20"/>
        </w:rPr>
        <w:t xml:space="preserve">ene interactions </w:t>
      </w:r>
      <w:r w:rsidR="000D7C89">
        <w:rPr>
          <w:rFonts w:asciiTheme="minorBidi" w:hAnsiTheme="minorBidi"/>
          <w:sz w:val="20"/>
          <w:szCs w:val="20"/>
        </w:rPr>
        <w:t>observed</w:t>
      </w:r>
      <w:r w:rsidRPr="00662010">
        <w:rPr>
          <w:rFonts w:asciiTheme="minorBidi" w:hAnsiTheme="minorBidi"/>
          <w:sz w:val="20"/>
          <w:szCs w:val="20"/>
        </w:rPr>
        <w:t xml:space="preserve"> in whole blood, classified by interaction type. B) Proportion of eQTL-</w:t>
      </w:r>
      <w:r w:rsidR="000D7C89">
        <w:rPr>
          <w:rFonts w:asciiTheme="minorBidi" w:hAnsiTheme="minorBidi"/>
          <w:sz w:val="20"/>
          <w:szCs w:val="20"/>
        </w:rPr>
        <w:t>g</w:t>
      </w:r>
      <w:r w:rsidRPr="00662010">
        <w:rPr>
          <w:rFonts w:asciiTheme="minorBidi" w:hAnsiTheme="minorBidi"/>
          <w:sz w:val="20"/>
          <w:szCs w:val="20"/>
        </w:rPr>
        <w:t xml:space="preserve">ene interactions across chromosomes. C) Proportion of </w:t>
      </w:r>
      <w:r w:rsidR="00AE2A27">
        <w:rPr>
          <w:rFonts w:asciiTheme="minorBidi" w:hAnsiTheme="minorBidi"/>
          <w:sz w:val="20"/>
          <w:szCs w:val="20"/>
        </w:rPr>
        <w:t xml:space="preserve">spatially regulated and non-spatially regulated </w:t>
      </w:r>
      <w:r w:rsidR="000D7C89">
        <w:rPr>
          <w:rFonts w:asciiTheme="minorBidi" w:hAnsiTheme="minorBidi"/>
          <w:sz w:val="20"/>
          <w:szCs w:val="20"/>
        </w:rPr>
        <w:t>g</w:t>
      </w:r>
      <w:r w:rsidRPr="00662010">
        <w:rPr>
          <w:rFonts w:asciiTheme="minorBidi" w:hAnsiTheme="minorBidi"/>
          <w:sz w:val="20"/>
          <w:szCs w:val="20"/>
        </w:rPr>
        <w:t>enes expressed in whole blood (median TPM &gt;0.1) classified by biotype. D) expression level and E) tolerance to loss of function of protein</w:t>
      </w:r>
      <w:r w:rsidR="00B90235">
        <w:rPr>
          <w:rFonts w:asciiTheme="minorBidi" w:hAnsiTheme="minorBidi"/>
          <w:sz w:val="20"/>
          <w:szCs w:val="20"/>
        </w:rPr>
        <w:t>-</w:t>
      </w:r>
      <w:r w:rsidRPr="00662010">
        <w:rPr>
          <w:rFonts w:asciiTheme="minorBidi" w:hAnsiTheme="minorBidi"/>
          <w:sz w:val="20"/>
          <w:szCs w:val="20"/>
        </w:rPr>
        <w:t xml:space="preserve">coding </w:t>
      </w:r>
      <w:r w:rsidR="000D7C89">
        <w:rPr>
          <w:rFonts w:asciiTheme="minorBidi" w:hAnsiTheme="minorBidi"/>
          <w:sz w:val="20"/>
          <w:szCs w:val="20"/>
        </w:rPr>
        <w:t>g</w:t>
      </w:r>
      <w:r w:rsidRPr="00662010">
        <w:rPr>
          <w:rFonts w:asciiTheme="minorBidi" w:hAnsiTheme="minorBidi"/>
          <w:sz w:val="20"/>
          <w:szCs w:val="20"/>
        </w:rPr>
        <w:t>enes in whole blood. In both D and E, the mean is shown in red. NS, not significant, ****P &lt;1 × 10−4</w:t>
      </w:r>
      <w:r w:rsidR="00AE2A27">
        <w:rPr>
          <w:rFonts w:asciiTheme="minorBidi" w:hAnsiTheme="minorBidi"/>
          <w:sz w:val="20"/>
          <w:szCs w:val="20"/>
        </w:rPr>
        <w:t xml:space="preserve"> (t-test)</w:t>
      </w:r>
      <w:r w:rsidRPr="00662010">
        <w:rPr>
          <w:rFonts w:asciiTheme="minorBidi" w:hAnsiTheme="minorBidi"/>
          <w:sz w:val="20"/>
          <w:szCs w:val="20"/>
        </w:rPr>
        <w:t>.</w:t>
      </w:r>
    </w:p>
    <w:p w14:paraId="058265DA" w14:textId="51BD89B3" w:rsidR="00641C77" w:rsidRDefault="00641C77" w:rsidP="00641C77">
      <w:pPr>
        <w:rPr>
          <w:noProof/>
        </w:rPr>
      </w:pPr>
      <w:r w:rsidRPr="00280595">
        <w:rPr>
          <w:b/>
          <w:bCs/>
        </w:rPr>
        <w:lastRenderedPageBreak/>
        <w:t xml:space="preserve">Supplementary Note </w:t>
      </w:r>
      <w:r>
        <w:rPr>
          <w:b/>
          <w:bCs/>
        </w:rPr>
        <w:t>1</w:t>
      </w:r>
      <w:r>
        <w:rPr>
          <w:noProof/>
        </w:rPr>
        <w:t xml:space="preserve"> – Structure of the blood GRN</w:t>
      </w:r>
      <w:r w:rsidRPr="00581ED8" w:rsidDel="00581ED8">
        <w:rPr>
          <w:noProof/>
        </w:rPr>
        <w:t xml:space="preserve"> </w:t>
      </w:r>
    </w:p>
    <w:p w14:paraId="007AE3D0" w14:textId="1B8310A5" w:rsidR="00641C77" w:rsidRDefault="00BA65D2" w:rsidP="005C13FF">
      <w:pPr>
        <w:spacing w:line="360" w:lineRule="auto"/>
        <w:jc w:val="both"/>
        <w:rPr>
          <w:b/>
          <w:bCs/>
        </w:rPr>
      </w:pPr>
      <w:r>
        <w:rPr>
          <w:rFonts w:asciiTheme="minorBidi" w:hAnsiTheme="minorBidi"/>
          <w:sz w:val="20"/>
          <w:szCs w:val="20"/>
        </w:rPr>
        <w:t>Genes</w:t>
      </w:r>
      <w:r w:rsidR="00641C77" w:rsidRPr="00D456CB">
        <w:rPr>
          <w:rFonts w:asciiTheme="minorBidi" w:hAnsiTheme="minorBidi"/>
          <w:sz w:val="20"/>
          <w:szCs w:val="20"/>
        </w:rPr>
        <w:t xml:space="preserve"> regulated in trans</w:t>
      </w:r>
      <w:r>
        <w:rPr>
          <w:rFonts w:asciiTheme="minorBidi" w:hAnsiTheme="minorBidi"/>
          <w:sz w:val="20"/>
          <w:szCs w:val="20"/>
        </w:rPr>
        <w:t xml:space="preserve"> in the blood GRN</w:t>
      </w:r>
      <w:r w:rsidR="00641C77" w:rsidRPr="00D456CB">
        <w:rPr>
          <w:rFonts w:asciiTheme="minorBidi" w:hAnsiTheme="minorBidi"/>
          <w:sz w:val="20"/>
          <w:szCs w:val="20"/>
        </w:rPr>
        <w:t xml:space="preserve"> were enriched for developmentally essential genes (Supplementary Fig 2). Correlating the number of whole blood spatial eQTLs against the number of GTEx SNPs per chromosome identifies chromosomes 4, 8, 9, 13</w:t>
      </w:r>
      <w:r w:rsidR="00641C77">
        <w:rPr>
          <w:rFonts w:asciiTheme="minorBidi" w:hAnsiTheme="minorBidi"/>
          <w:sz w:val="20"/>
          <w:szCs w:val="20"/>
        </w:rPr>
        <w:t>,</w:t>
      </w:r>
      <w:r w:rsidR="00641C77" w:rsidRPr="00D456CB">
        <w:rPr>
          <w:rFonts w:asciiTheme="minorBidi" w:hAnsiTheme="minorBidi"/>
          <w:sz w:val="20"/>
          <w:szCs w:val="20"/>
        </w:rPr>
        <w:t xml:space="preserve"> and 18 as having fewer spatial eQTLs than expected and chromosomes 6, 17</w:t>
      </w:r>
      <w:r w:rsidR="00641C77">
        <w:rPr>
          <w:rFonts w:asciiTheme="minorBidi" w:hAnsiTheme="minorBidi"/>
          <w:sz w:val="20"/>
          <w:szCs w:val="20"/>
        </w:rPr>
        <w:t>,</w:t>
      </w:r>
      <w:r w:rsidR="00641C77" w:rsidRPr="00D456CB">
        <w:rPr>
          <w:rFonts w:asciiTheme="minorBidi" w:hAnsiTheme="minorBidi"/>
          <w:sz w:val="20"/>
          <w:szCs w:val="20"/>
        </w:rPr>
        <w:t xml:space="preserve"> and 19 as having more spatial eQTLs than expected, with chromosome 6 having the greatest enrichment (Supplementary Fig. </w:t>
      </w:r>
      <w:r w:rsidR="00641C77">
        <w:rPr>
          <w:rFonts w:asciiTheme="minorBidi" w:hAnsiTheme="minorBidi"/>
          <w:sz w:val="20"/>
          <w:szCs w:val="20"/>
        </w:rPr>
        <w:t xml:space="preserve">2d and </w:t>
      </w:r>
      <w:r w:rsidR="00641C77" w:rsidRPr="00D456CB">
        <w:rPr>
          <w:rFonts w:asciiTheme="minorBidi" w:hAnsiTheme="minorBidi"/>
          <w:sz w:val="20"/>
          <w:szCs w:val="20"/>
        </w:rPr>
        <w:t xml:space="preserve">3). </w:t>
      </w:r>
      <w:bookmarkStart w:id="0" w:name="_Hlk114949718"/>
      <w:r w:rsidR="00641C77" w:rsidRPr="00D456CB">
        <w:rPr>
          <w:rFonts w:asciiTheme="minorBidi" w:hAnsiTheme="minorBidi"/>
          <w:sz w:val="20"/>
          <w:szCs w:val="20"/>
        </w:rPr>
        <w:t xml:space="preserve">While it is possible that the peak on chromosome 6 represents a study bias associated with the HLA locus, we </w:t>
      </w:r>
      <w:r w:rsidR="00641C77">
        <w:rPr>
          <w:rFonts w:asciiTheme="minorBidi" w:hAnsiTheme="minorBidi"/>
          <w:sz w:val="20"/>
          <w:szCs w:val="20"/>
        </w:rPr>
        <w:t>suggest</w:t>
      </w:r>
      <w:r w:rsidR="00641C77" w:rsidRPr="00D456CB">
        <w:rPr>
          <w:rFonts w:asciiTheme="minorBidi" w:hAnsiTheme="minorBidi"/>
          <w:sz w:val="20"/>
          <w:szCs w:val="20"/>
        </w:rPr>
        <w:t xml:space="preserve"> that the peak in</w:t>
      </w:r>
      <w:r w:rsidR="00641C77">
        <w:rPr>
          <w:rFonts w:asciiTheme="minorBidi" w:hAnsiTheme="minorBidi"/>
          <w:sz w:val="20"/>
          <w:szCs w:val="20"/>
        </w:rPr>
        <w:t xml:space="preserve"> ratio of</w:t>
      </w:r>
      <w:r w:rsidR="00641C77" w:rsidRPr="00D456CB">
        <w:rPr>
          <w:rFonts w:asciiTheme="minorBidi" w:hAnsiTheme="minorBidi"/>
          <w:sz w:val="20"/>
          <w:szCs w:val="20"/>
        </w:rPr>
        <w:t xml:space="preserve"> </w:t>
      </w:r>
      <w:r w:rsidR="00641C77">
        <w:rPr>
          <w:rFonts w:asciiTheme="minorBidi" w:hAnsiTheme="minorBidi"/>
          <w:sz w:val="20"/>
          <w:szCs w:val="20"/>
        </w:rPr>
        <w:t xml:space="preserve">spatial </w:t>
      </w:r>
      <w:r w:rsidR="00641C77" w:rsidRPr="00D456CB">
        <w:rPr>
          <w:rFonts w:asciiTheme="minorBidi" w:hAnsiTheme="minorBidi"/>
          <w:sz w:val="20"/>
          <w:szCs w:val="20"/>
        </w:rPr>
        <w:t>eQTL</w:t>
      </w:r>
      <w:r w:rsidR="00641C77">
        <w:rPr>
          <w:rFonts w:asciiTheme="minorBidi" w:hAnsiTheme="minorBidi"/>
          <w:sz w:val="20"/>
          <w:szCs w:val="20"/>
        </w:rPr>
        <w:t>-gene interactions</w:t>
      </w:r>
      <w:r w:rsidR="00641C77" w:rsidRPr="00D456CB">
        <w:rPr>
          <w:rFonts w:asciiTheme="minorBidi" w:hAnsiTheme="minorBidi"/>
          <w:sz w:val="20"/>
          <w:szCs w:val="20"/>
        </w:rPr>
        <w:t>/SNP reflects a regulatory feature of the HLA region, consistent with the observation of additional tissue-specific spikes on chromosomes 7, 18, and 19 (Supplementary Fig. 4).</w:t>
      </w:r>
      <w:bookmarkEnd w:id="0"/>
    </w:p>
    <w:p w14:paraId="5F5C0DCA" w14:textId="0EF7B643" w:rsidR="00F77475" w:rsidRDefault="00562707" w:rsidP="00F77475">
      <w:pPr>
        <w:spacing w:line="360" w:lineRule="auto"/>
        <w:ind w:firstLine="720"/>
        <w:jc w:val="center"/>
        <w:rPr>
          <w:rFonts w:asciiTheme="minorBidi" w:hAnsiTheme="minorBidi"/>
          <w:sz w:val="20"/>
          <w:szCs w:val="20"/>
        </w:rPr>
      </w:pPr>
      <w:r>
        <w:rPr>
          <w:noProof/>
        </w:rPr>
        <w:lastRenderedPageBreak/>
        <w:drawing>
          <wp:inline distT="0" distB="0" distL="0" distR="0" wp14:anchorId="1D63EC9D" wp14:editId="7D6B13E3">
            <wp:extent cx="5499100" cy="6655800"/>
            <wp:effectExtent l="0" t="0" r="6350" b="0"/>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06098" cy="6664269"/>
                    </a:xfrm>
                    <a:prstGeom prst="rect">
                      <a:avLst/>
                    </a:prstGeom>
                    <a:noFill/>
                    <a:ln>
                      <a:noFill/>
                    </a:ln>
                  </pic:spPr>
                </pic:pic>
              </a:graphicData>
            </a:graphic>
          </wp:inline>
        </w:drawing>
      </w:r>
    </w:p>
    <w:p w14:paraId="6989F1EC" w14:textId="21776295" w:rsidR="00F77475" w:rsidRDefault="0072215B" w:rsidP="00F77475">
      <w:pPr>
        <w:spacing w:line="360" w:lineRule="auto"/>
        <w:jc w:val="both"/>
        <w:rPr>
          <w:rFonts w:asciiTheme="minorBidi" w:hAnsiTheme="minorBidi"/>
          <w:sz w:val="20"/>
          <w:szCs w:val="20"/>
        </w:rPr>
      </w:pPr>
      <w:r>
        <w:rPr>
          <w:rFonts w:asciiTheme="minorBidi" w:hAnsiTheme="minorBidi"/>
          <w:b/>
          <w:bCs/>
          <w:sz w:val="20"/>
          <w:szCs w:val="20"/>
        </w:rPr>
        <w:t xml:space="preserve">Supplementary </w:t>
      </w:r>
      <w:r w:rsidR="007B53F1">
        <w:rPr>
          <w:rFonts w:asciiTheme="minorBidi" w:hAnsiTheme="minorBidi"/>
          <w:b/>
          <w:bCs/>
          <w:sz w:val="20"/>
          <w:szCs w:val="20"/>
        </w:rPr>
        <w:t>F</w:t>
      </w:r>
      <w:r w:rsidR="00F77475" w:rsidRPr="00421326">
        <w:rPr>
          <w:rFonts w:asciiTheme="minorBidi" w:hAnsiTheme="minorBidi"/>
          <w:b/>
          <w:bCs/>
          <w:sz w:val="20"/>
          <w:szCs w:val="20"/>
        </w:rPr>
        <w:t xml:space="preserve">igure </w:t>
      </w:r>
      <w:r w:rsidR="00A330DA">
        <w:rPr>
          <w:rFonts w:asciiTheme="minorBidi" w:hAnsiTheme="minorBidi"/>
          <w:b/>
          <w:bCs/>
          <w:sz w:val="20"/>
          <w:szCs w:val="20"/>
        </w:rPr>
        <w:t>2</w:t>
      </w:r>
      <w:r w:rsidR="00F77475" w:rsidRPr="00421326">
        <w:rPr>
          <w:rFonts w:asciiTheme="minorBidi" w:hAnsiTheme="minorBidi"/>
          <w:b/>
          <w:bCs/>
          <w:sz w:val="20"/>
          <w:szCs w:val="20"/>
        </w:rPr>
        <w:t xml:space="preserve">. Characteristics of the blood GRN. </w:t>
      </w:r>
      <w:r w:rsidR="00F77475" w:rsidRPr="00421326">
        <w:rPr>
          <w:rFonts w:asciiTheme="minorBidi" w:hAnsiTheme="minorBidi"/>
          <w:sz w:val="20"/>
          <w:szCs w:val="20"/>
        </w:rPr>
        <w:t>Mean (red line)</w:t>
      </w:r>
      <w:r w:rsidR="00562707">
        <w:rPr>
          <w:rFonts w:asciiTheme="minorBidi" w:hAnsiTheme="minorBidi"/>
          <w:sz w:val="20"/>
          <w:szCs w:val="20"/>
        </w:rPr>
        <w:t xml:space="preserve"> </w:t>
      </w:r>
      <w:r w:rsidR="00F77475" w:rsidRPr="00421326">
        <w:rPr>
          <w:rFonts w:asciiTheme="minorBidi" w:hAnsiTheme="minorBidi"/>
          <w:sz w:val="20"/>
          <w:szCs w:val="20"/>
        </w:rPr>
        <w:t xml:space="preserve">and standard deviation of A) </w:t>
      </w:r>
      <w:r w:rsidR="00AA56F6">
        <w:rPr>
          <w:rFonts w:asciiTheme="minorBidi" w:hAnsiTheme="minorBidi"/>
          <w:sz w:val="20"/>
          <w:szCs w:val="20"/>
        </w:rPr>
        <w:t xml:space="preserve">the </w:t>
      </w:r>
      <w:r w:rsidR="00F77475" w:rsidRPr="00421326">
        <w:rPr>
          <w:rFonts w:asciiTheme="minorBidi" w:hAnsiTheme="minorBidi"/>
          <w:sz w:val="20"/>
          <w:szCs w:val="20"/>
        </w:rPr>
        <w:t>number of spatial eQTLs per gene grouped by interaction type and B) gene expression grouped by interaction type.</w:t>
      </w:r>
      <w:r w:rsidR="002E3E68">
        <w:rPr>
          <w:rFonts w:asciiTheme="minorBidi" w:hAnsiTheme="minorBidi"/>
          <w:sz w:val="20"/>
          <w:szCs w:val="20"/>
        </w:rPr>
        <w:t xml:space="preserve"> In both A and B, the mean of the untransformed data points is also denoted.</w:t>
      </w:r>
      <w:r w:rsidR="00F77475" w:rsidRPr="00421326">
        <w:rPr>
          <w:rFonts w:asciiTheme="minorBidi" w:hAnsiTheme="minorBidi"/>
          <w:sz w:val="20"/>
          <w:szCs w:val="20"/>
        </w:rPr>
        <w:t xml:space="preserve"> C) Tolerance to loss of function of spatial</w:t>
      </w:r>
      <w:r w:rsidR="005A465E">
        <w:rPr>
          <w:rFonts w:asciiTheme="minorBidi" w:hAnsiTheme="minorBidi"/>
          <w:sz w:val="20"/>
          <w:szCs w:val="20"/>
        </w:rPr>
        <w:t>ly regulated g</w:t>
      </w:r>
      <w:r w:rsidR="00F77475" w:rsidRPr="00421326">
        <w:rPr>
          <w:rFonts w:asciiTheme="minorBidi" w:hAnsiTheme="minorBidi"/>
          <w:sz w:val="20"/>
          <w:szCs w:val="20"/>
        </w:rPr>
        <w:t xml:space="preserve">enes grouped by interaction type. D) Correlation of blood GRN eQTLs and all variants genotyped from whole blood samples obtained from GTEx v8. </w:t>
      </w:r>
      <w:bookmarkStart w:id="1" w:name="_Hlk114220728"/>
      <w:r w:rsidR="00F77475" w:rsidRPr="00421326">
        <w:rPr>
          <w:rFonts w:asciiTheme="minorBidi" w:hAnsiTheme="minorBidi"/>
          <w:sz w:val="20"/>
          <w:szCs w:val="20"/>
        </w:rPr>
        <w:t xml:space="preserve">NS, not significant, </w:t>
      </w:r>
      <w:r w:rsidR="00F77475" w:rsidRPr="00DF414F">
        <w:rPr>
          <w:rFonts w:asciiTheme="minorBidi" w:hAnsiTheme="minorBidi"/>
          <w:sz w:val="20"/>
          <w:szCs w:val="20"/>
        </w:rPr>
        <w:t>****</w:t>
      </w:r>
      <w:r w:rsidR="00F77475" w:rsidRPr="00421326">
        <w:rPr>
          <w:rFonts w:asciiTheme="minorBidi" w:hAnsiTheme="minorBidi"/>
          <w:sz w:val="20"/>
          <w:szCs w:val="20"/>
        </w:rPr>
        <w:t>P &lt;1 × 10−4</w:t>
      </w:r>
      <w:r w:rsidR="00DF414F">
        <w:rPr>
          <w:rFonts w:asciiTheme="minorBidi" w:hAnsiTheme="minorBidi"/>
          <w:sz w:val="20"/>
          <w:szCs w:val="20"/>
        </w:rPr>
        <w:t xml:space="preserve"> (t-test)</w:t>
      </w:r>
      <w:bookmarkEnd w:id="1"/>
      <w:r w:rsidR="00F77475" w:rsidRPr="00421326">
        <w:rPr>
          <w:rFonts w:asciiTheme="minorBidi" w:hAnsiTheme="minorBidi"/>
          <w:sz w:val="20"/>
          <w:szCs w:val="20"/>
        </w:rPr>
        <w:t>.</w:t>
      </w:r>
    </w:p>
    <w:p w14:paraId="3D84A2AF" w14:textId="72F6E4B0" w:rsidR="00F77475" w:rsidRDefault="00EF2047" w:rsidP="00F77475">
      <w:pPr>
        <w:spacing w:line="360" w:lineRule="auto"/>
        <w:jc w:val="center"/>
        <w:rPr>
          <w:rFonts w:asciiTheme="minorBidi" w:hAnsiTheme="minorBidi"/>
          <w:sz w:val="20"/>
          <w:szCs w:val="20"/>
        </w:rPr>
      </w:pPr>
      <w:r>
        <w:rPr>
          <w:noProof/>
        </w:rPr>
        <w:lastRenderedPageBreak/>
        <w:drawing>
          <wp:inline distT="0" distB="0" distL="0" distR="0" wp14:anchorId="4996901B" wp14:editId="62F26CC7">
            <wp:extent cx="5629110" cy="6434987"/>
            <wp:effectExtent l="0" t="0" r="0" b="4445"/>
            <wp:docPr id="13" name="Picture 1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histogram&#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34993" cy="6441713"/>
                    </a:xfrm>
                    <a:prstGeom prst="rect">
                      <a:avLst/>
                    </a:prstGeom>
                    <a:noFill/>
                    <a:ln>
                      <a:noFill/>
                    </a:ln>
                  </pic:spPr>
                </pic:pic>
              </a:graphicData>
            </a:graphic>
          </wp:inline>
        </w:drawing>
      </w:r>
    </w:p>
    <w:p w14:paraId="0F41EDD2" w14:textId="7C0DACFE" w:rsidR="0072215B" w:rsidRDefault="00F25936" w:rsidP="007B57BA">
      <w:pPr>
        <w:spacing w:line="360" w:lineRule="auto"/>
        <w:jc w:val="both"/>
        <w:rPr>
          <w:rFonts w:asciiTheme="minorBidi" w:hAnsiTheme="minorBidi"/>
          <w:b/>
          <w:bCs/>
          <w:sz w:val="20"/>
          <w:szCs w:val="20"/>
        </w:rPr>
      </w:pPr>
      <w:r>
        <w:rPr>
          <w:rFonts w:asciiTheme="minorBidi" w:hAnsiTheme="minorBidi"/>
          <w:b/>
          <w:bCs/>
          <w:sz w:val="20"/>
          <w:szCs w:val="20"/>
        </w:rPr>
        <w:t xml:space="preserve">Supplementary </w:t>
      </w:r>
      <w:r w:rsidR="00F77475" w:rsidRPr="00421326">
        <w:rPr>
          <w:rFonts w:asciiTheme="minorBidi" w:hAnsiTheme="minorBidi"/>
          <w:b/>
          <w:bCs/>
          <w:sz w:val="20"/>
          <w:szCs w:val="20"/>
        </w:rPr>
        <w:t>Figure 3. eQTL-</w:t>
      </w:r>
      <w:r w:rsidR="005A465E">
        <w:rPr>
          <w:rFonts w:asciiTheme="minorBidi" w:hAnsiTheme="minorBidi"/>
          <w:b/>
          <w:bCs/>
          <w:sz w:val="20"/>
          <w:szCs w:val="20"/>
        </w:rPr>
        <w:t>g</w:t>
      </w:r>
      <w:r w:rsidR="00F77475" w:rsidRPr="00421326">
        <w:rPr>
          <w:rFonts w:asciiTheme="minorBidi" w:hAnsiTheme="minorBidi"/>
          <w:b/>
          <w:bCs/>
          <w:sz w:val="20"/>
          <w:szCs w:val="20"/>
        </w:rPr>
        <w:t xml:space="preserve">ene interactions </w:t>
      </w:r>
      <w:r w:rsidR="000D7C89">
        <w:rPr>
          <w:rFonts w:asciiTheme="minorBidi" w:hAnsiTheme="minorBidi"/>
          <w:b/>
          <w:bCs/>
          <w:sz w:val="20"/>
          <w:szCs w:val="20"/>
        </w:rPr>
        <w:t xml:space="preserve">spike within </w:t>
      </w:r>
      <w:r w:rsidR="00F77475" w:rsidRPr="00421326">
        <w:rPr>
          <w:rFonts w:asciiTheme="minorBidi" w:hAnsiTheme="minorBidi"/>
          <w:b/>
          <w:bCs/>
          <w:sz w:val="20"/>
          <w:szCs w:val="20"/>
        </w:rPr>
        <w:t>the HLA region of chromosome 6 in whole blood</w:t>
      </w:r>
      <w:r w:rsidR="000D7C89">
        <w:rPr>
          <w:rFonts w:asciiTheme="minorBidi" w:hAnsiTheme="minorBidi"/>
          <w:b/>
          <w:bCs/>
          <w:sz w:val="20"/>
          <w:szCs w:val="20"/>
        </w:rPr>
        <w:t xml:space="preserve"> but </w:t>
      </w:r>
      <w:r w:rsidR="0002687B">
        <w:rPr>
          <w:rFonts w:asciiTheme="minorBidi" w:hAnsiTheme="minorBidi"/>
          <w:b/>
          <w:bCs/>
          <w:sz w:val="20"/>
          <w:szCs w:val="20"/>
        </w:rPr>
        <w:t xml:space="preserve">not in </w:t>
      </w:r>
      <w:r w:rsidR="000D7C89">
        <w:rPr>
          <w:rFonts w:asciiTheme="minorBidi" w:hAnsiTheme="minorBidi"/>
          <w:b/>
          <w:bCs/>
          <w:sz w:val="20"/>
          <w:szCs w:val="20"/>
        </w:rPr>
        <w:t>adult brain</w:t>
      </w:r>
      <w:r w:rsidR="00F77475" w:rsidRPr="00421326">
        <w:rPr>
          <w:rFonts w:asciiTheme="minorBidi" w:hAnsiTheme="minorBidi"/>
          <w:b/>
          <w:bCs/>
          <w:sz w:val="20"/>
          <w:szCs w:val="20"/>
        </w:rPr>
        <w:t xml:space="preserve">. </w:t>
      </w:r>
      <w:r w:rsidR="00F77475" w:rsidRPr="00421326">
        <w:rPr>
          <w:rFonts w:asciiTheme="minorBidi" w:hAnsiTheme="minorBidi"/>
          <w:sz w:val="20"/>
          <w:szCs w:val="20"/>
        </w:rPr>
        <w:t>A) Proportion of spatial eQTL-</w:t>
      </w:r>
      <w:r w:rsidR="000D7C89">
        <w:rPr>
          <w:rFonts w:asciiTheme="minorBidi" w:hAnsiTheme="minorBidi"/>
          <w:sz w:val="20"/>
          <w:szCs w:val="20"/>
        </w:rPr>
        <w:t>g</w:t>
      </w:r>
      <w:r w:rsidR="00F77475" w:rsidRPr="00421326">
        <w:rPr>
          <w:rFonts w:asciiTheme="minorBidi" w:hAnsiTheme="minorBidi"/>
          <w:sz w:val="20"/>
          <w:szCs w:val="20"/>
        </w:rPr>
        <w:t>ene interactions across chromosome 6 grouped by type B) Gene density across chromosome 6. C) Ratio of blood GRN eQTL</w:t>
      </w:r>
      <w:r w:rsidR="000D7C89">
        <w:rPr>
          <w:rFonts w:asciiTheme="minorBidi" w:hAnsiTheme="minorBidi"/>
          <w:sz w:val="20"/>
          <w:szCs w:val="20"/>
        </w:rPr>
        <w:t>-g</w:t>
      </w:r>
      <w:r w:rsidR="00F77475" w:rsidRPr="00421326">
        <w:rPr>
          <w:rFonts w:asciiTheme="minorBidi" w:hAnsiTheme="minorBidi"/>
          <w:sz w:val="20"/>
          <w:szCs w:val="20"/>
        </w:rPr>
        <w:t xml:space="preserve">ene interaction to SNPs genotyped in chromosome 6; G-banding ideogram of chromosome 6 is shown below. D) magnified view of B showing the position of </w:t>
      </w:r>
      <w:r w:rsidR="000D7C89">
        <w:rPr>
          <w:rFonts w:asciiTheme="minorBidi" w:hAnsiTheme="minorBidi"/>
          <w:sz w:val="20"/>
          <w:szCs w:val="20"/>
        </w:rPr>
        <w:t>eQTL targeted g</w:t>
      </w:r>
      <w:r w:rsidR="00F77475" w:rsidRPr="00421326">
        <w:rPr>
          <w:rFonts w:asciiTheme="minorBidi" w:hAnsiTheme="minorBidi"/>
          <w:sz w:val="20"/>
          <w:szCs w:val="20"/>
        </w:rPr>
        <w:t>enes in the HLA region. A sliding window of 100 Mb was used for all plots.</w:t>
      </w:r>
      <w:r w:rsidR="00FD5494">
        <w:rPr>
          <w:rFonts w:asciiTheme="minorBidi" w:hAnsiTheme="minorBidi"/>
          <w:sz w:val="20"/>
          <w:szCs w:val="20"/>
        </w:rPr>
        <w:t xml:space="preserve"> The adult brain and left ventricle GRNs were constructed using the same method as the blood and lung GRNs (see </w:t>
      </w:r>
      <w:r w:rsidR="00D63713">
        <w:rPr>
          <w:rFonts w:asciiTheme="minorBidi" w:hAnsiTheme="minorBidi"/>
          <w:sz w:val="20"/>
          <w:szCs w:val="20"/>
        </w:rPr>
        <w:t>d</w:t>
      </w:r>
      <w:r w:rsidR="00FD5494">
        <w:rPr>
          <w:rFonts w:asciiTheme="minorBidi" w:hAnsiTheme="minorBidi"/>
          <w:sz w:val="20"/>
          <w:szCs w:val="20"/>
        </w:rPr>
        <w:t>ata availability</w:t>
      </w:r>
      <w:r w:rsidR="002F27BB">
        <w:rPr>
          <w:rFonts w:asciiTheme="minorBidi" w:hAnsiTheme="minorBidi"/>
          <w:sz w:val="20"/>
          <w:szCs w:val="20"/>
        </w:rPr>
        <w:t>)</w:t>
      </w:r>
      <w:r w:rsidR="00FD5494">
        <w:rPr>
          <w:rFonts w:asciiTheme="minorBidi" w:hAnsiTheme="minorBidi"/>
          <w:sz w:val="20"/>
          <w:szCs w:val="20"/>
        </w:rPr>
        <w:t>.</w:t>
      </w:r>
      <w:r w:rsidR="00F77475" w:rsidRPr="00421326">
        <w:rPr>
          <w:rFonts w:asciiTheme="minorBidi" w:hAnsiTheme="minorBidi"/>
          <w:b/>
          <w:bCs/>
          <w:sz w:val="20"/>
          <w:szCs w:val="20"/>
        </w:rPr>
        <w:t xml:space="preserve"> </w:t>
      </w:r>
    </w:p>
    <w:p w14:paraId="5676184C" w14:textId="7B1AEFD6" w:rsidR="0072215B" w:rsidRPr="00662010" w:rsidRDefault="00B96138" w:rsidP="0072215B">
      <w:pPr>
        <w:spacing w:line="360" w:lineRule="auto"/>
        <w:jc w:val="center"/>
        <w:rPr>
          <w:rFonts w:asciiTheme="minorBidi" w:hAnsiTheme="minorBidi"/>
          <w:b/>
          <w:bCs/>
          <w:sz w:val="20"/>
          <w:szCs w:val="20"/>
        </w:rPr>
      </w:pPr>
      <w:r>
        <w:rPr>
          <w:noProof/>
        </w:rPr>
        <w:lastRenderedPageBreak/>
        <w:softHyphen/>
      </w:r>
      <w:r>
        <w:rPr>
          <w:noProof/>
        </w:rPr>
        <w:softHyphen/>
      </w:r>
      <w:r>
        <w:rPr>
          <w:noProof/>
        </w:rPr>
        <w:drawing>
          <wp:inline distT="0" distB="0" distL="0" distR="0" wp14:anchorId="5D35E67B" wp14:editId="6BDC1818">
            <wp:extent cx="5317262" cy="4646327"/>
            <wp:effectExtent l="0" t="0" r="0" b="1905"/>
            <wp:docPr id="14" name="Picture 1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21501" cy="4650031"/>
                    </a:xfrm>
                    <a:prstGeom prst="rect">
                      <a:avLst/>
                    </a:prstGeom>
                    <a:noFill/>
                    <a:ln>
                      <a:noFill/>
                    </a:ln>
                  </pic:spPr>
                </pic:pic>
              </a:graphicData>
            </a:graphic>
          </wp:inline>
        </w:drawing>
      </w:r>
      <w:r>
        <w:rPr>
          <w:noProof/>
        </w:rPr>
        <w:softHyphen/>
      </w:r>
      <w:r>
        <w:rPr>
          <w:noProof/>
        </w:rPr>
        <w:softHyphen/>
      </w:r>
    </w:p>
    <w:p w14:paraId="0B8EF2C1" w14:textId="7F1F42F5" w:rsidR="0072215B" w:rsidRPr="00662010" w:rsidRDefault="0072215B" w:rsidP="0072215B">
      <w:pPr>
        <w:spacing w:line="360" w:lineRule="auto"/>
        <w:jc w:val="both"/>
        <w:rPr>
          <w:rFonts w:asciiTheme="minorBidi" w:hAnsiTheme="minorBidi"/>
          <w:b/>
          <w:bCs/>
          <w:sz w:val="20"/>
          <w:szCs w:val="20"/>
        </w:rPr>
      </w:pPr>
      <w:r w:rsidRPr="00AE3080">
        <w:rPr>
          <w:rFonts w:asciiTheme="minorBidi" w:hAnsiTheme="minorBidi"/>
          <w:b/>
          <w:bCs/>
          <w:sz w:val="20"/>
          <w:szCs w:val="20"/>
        </w:rPr>
        <w:t>Supplementary Figure</w:t>
      </w:r>
      <w:r>
        <w:rPr>
          <w:rFonts w:asciiTheme="minorBidi" w:hAnsiTheme="minorBidi"/>
          <w:b/>
          <w:bCs/>
          <w:sz w:val="20"/>
          <w:szCs w:val="20"/>
        </w:rPr>
        <w:t xml:space="preserve"> </w:t>
      </w:r>
      <w:r w:rsidR="002365B5">
        <w:rPr>
          <w:rFonts w:asciiTheme="minorBidi" w:hAnsiTheme="minorBidi"/>
          <w:b/>
          <w:bCs/>
          <w:sz w:val="20"/>
          <w:szCs w:val="20"/>
        </w:rPr>
        <w:t>4</w:t>
      </w:r>
      <w:r w:rsidRPr="00662010">
        <w:rPr>
          <w:rFonts w:asciiTheme="minorBidi" w:hAnsiTheme="minorBidi"/>
          <w:b/>
          <w:bCs/>
          <w:sz w:val="20"/>
          <w:szCs w:val="20"/>
        </w:rPr>
        <w:t>. Tissue-specific spikes in the ratio of eQTL-</w:t>
      </w:r>
      <w:r w:rsidR="000D7C89">
        <w:rPr>
          <w:rFonts w:asciiTheme="minorBidi" w:hAnsiTheme="minorBidi"/>
          <w:b/>
          <w:bCs/>
          <w:sz w:val="20"/>
          <w:szCs w:val="20"/>
        </w:rPr>
        <w:t>g</w:t>
      </w:r>
      <w:r w:rsidRPr="00662010">
        <w:rPr>
          <w:rFonts w:asciiTheme="minorBidi" w:hAnsiTheme="minorBidi"/>
          <w:b/>
          <w:bCs/>
          <w:sz w:val="20"/>
          <w:szCs w:val="20"/>
        </w:rPr>
        <w:t xml:space="preserve">ene interactions to SNPs </w:t>
      </w:r>
      <w:r w:rsidR="000D7C89">
        <w:rPr>
          <w:rFonts w:asciiTheme="minorBidi" w:hAnsiTheme="minorBidi"/>
          <w:b/>
          <w:bCs/>
          <w:sz w:val="20"/>
          <w:szCs w:val="20"/>
        </w:rPr>
        <w:t>observed</w:t>
      </w:r>
      <w:r w:rsidRPr="00662010">
        <w:rPr>
          <w:rFonts w:asciiTheme="minorBidi" w:hAnsiTheme="minorBidi"/>
          <w:b/>
          <w:bCs/>
          <w:sz w:val="20"/>
          <w:szCs w:val="20"/>
        </w:rPr>
        <w:t xml:space="preserve"> in chromosomes 7, 18 and 19. </w:t>
      </w:r>
      <w:r w:rsidRPr="00662010">
        <w:rPr>
          <w:rFonts w:asciiTheme="minorBidi" w:hAnsiTheme="minorBidi"/>
          <w:sz w:val="20"/>
          <w:szCs w:val="20"/>
        </w:rPr>
        <w:t>Ratio of whole blood, adult brain, and left ventricle spatial eQTL-</w:t>
      </w:r>
      <w:r w:rsidR="000D7C89">
        <w:rPr>
          <w:rFonts w:asciiTheme="minorBidi" w:hAnsiTheme="minorBidi"/>
          <w:sz w:val="20"/>
          <w:szCs w:val="20"/>
        </w:rPr>
        <w:t>g</w:t>
      </w:r>
      <w:r w:rsidRPr="00662010">
        <w:rPr>
          <w:rFonts w:asciiTheme="minorBidi" w:hAnsiTheme="minorBidi"/>
          <w:sz w:val="20"/>
          <w:szCs w:val="20"/>
        </w:rPr>
        <w:t xml:space="preserve">ene interactions to SNPs across A) chromosome 7, B) chromosome 18 and C) chromosome 19. </w:t>
      </w:r>
    </w:p>
    <w:p w14:paraId="71AE0D1A" w14:textId="77777777" w:rsidR="0072215B" w:rsidRPr="00421326" w:rsidRDefault="0072215B" w:rsidP="00F77475">
      <w:pPr>
        <w:spacing w:line="360" w:lineRule="auto"/>
        <w:jc w:val="both"/>
        <w:rPr>
          <w:rFonts w:asciiTheme="minorBidi" w:hAnsiTheme="minorBidi"/>
          <w:b/>
          <w:bCs/>
          <w:sz w:val="20"/>
          <w:szCs w:val="20"/>
        </w:rPr>
      </w:pPr>
    </w:p>
    <w:p w14:paraId="5B7931B4" w14:textId="77777777" w:rsidR="00F77475" w:rsidRDefault="00F77475" w:rsidP="00F77475">
      <w:pPr>
        <w:spacing w:line="360" w:lineRule="auto"/>
        <w:rPr>
          <w:rFonts w:asciiTheme="minorBidi" w:hAnsiTheme="minorBidi"/>
          <w:sz w:val="20"/>
          <w:szCs w:val="20"/>
        </w:rPr>
      </w:pPr>
    </w:p>
    <w:p w14:paraId="51827F4A" w14:textId="37756DC8" w:rsidR="00D53FCF" w:rsidRPr="00AE2A27" w:rsidRDefault="00D53FCF">
      <w:pPr>
        <w:rPr>
          <w:b/>
          <w:bCs/>
        </w:rPr>
      </w:pPr>
      <w:r w:rsidRPr="00AE2A27">
        <w:rPr>
          <w:b/>
          <w:bCs/>
        </w:rPr>
        <w:br w:type="page"/>
      </w:r>
    </w:p>
    <w:p w14:paraId="6EFE7DC5" w14:textId="28A2D62C" w:rsidR="00581ED8" w:rsidRDefault="00581ED8" w:rsidP="00581ED8">
      <w:pPr>
        <w:rPr>
          <w:noProof/>
        </w:rPr>
      </w:pPr>
      <w:r w:rsidRPr="00280595">
        <w:rPr>
          <w:b/>
          <w:bCs/>
        </w:rPr>
        <w:t xml:space="preserve">Supplementary Note </w:t>
      </w:r>
      <w:r w:rsidR="00641C77">
        <w:rPr>
          <w:b/>
          <w:bCs/>
        </w:rPr>
        <w:t>2</w:t>
      </w:r>
      <w:r w:rsidR="00641C77">
        <w:rPr>
          <w:noProof/>
        </w:rPr>
        <w:t xml:space="preserve"> </w:t>
      </w:r>
      <w:r>
        <w:rPr>
          <w:noProof/>
        </w:rPr>
        <w:t xml:space="preserve">- </w:t>
      </w:r>
      <w:r w:rsidRPr="00581ED8">
        <w:rPr>
          <w:noProof/>
        </w:rPr>
        <w:t xml:space="preserve">Functional mapping and annotation in </w:t>
      </w:r>
      <w:r w:rsidR="005023C1">
        <w:rPr>
          <w:noProof/>
        </w:rPr>
        <w:t xml:space="preserve">the </w:t>
      </w:r>
      <w:r>
        <w:rPr>
          <w:noProof/>
        </w:rPr>
        <w:t>lung using FUMA</w:t>
      </w:r>
      <w:r w:rsidRPr="00581ED8" w:rsidDel="00581ED8">
        <w:rPr>
          <w:noProof/>
        </w:rPr>
        <w:t xml:space="preserve"> </w:t>
      </w:r>
    </w:p>
    <w:p w14:paraId="7C04F3BE" w14:textId="445E988F" w:rsidR="00FA10D8" w:rsidRDefault="00510DE4" w:rsidP="002A51B8">
      <w:pPr>
        <w:jc w:val="both"/>
      </w:pPr>
      <w:r w:rsidRPr="00510DE4">
        <w:rPr>
          <w:noProof/>
        </w:rPr>
        <w:t>To compare the asthma L-GRN genes (level 0 genes) identified by our pipeline to those prioritized by FUMA, we ran the asthma-associated GWAS SNPs through FUMA’s SNP2GENE function. The SNPs were mapped to 1) lung eQTLs (eQTL mapping) and 2) chromatin contact interactions (chromatin interaction mapping). GTEx v8 lung data was used to perform the lung cis-eQTL mapping (nominal pvalue &lt;0.05). Chromatin interaction mapping was performed using Hi-C data of lung tissue (GEO accession number GSE87112, pvalue ≤0.05). This prioritized 313 genes by FUMA, while our pipeline prioritized 112 genes (level 0 genes) after bootstrapping. The lower number of genes identified by our pipeline can be attributed to the additional filtering applied in the identification of level 0, i.e., hypergeometric testing followed by multiple testing correction and bootstrapping (Monte Carlo simulation). Of the 112 genes identified by our pipeline, 104 were also identified by FUMA, and 8 genes were unique to our pipeline. Of the 104 shared genes, 67 were identified by both pipelines as being spatially regulated (i.e., eQTL physically contacts the gene as identified by chromatin interaction mapping), and 37 genes were identified by our pipeline as spatially regulated and by FUMA as regulated only by non-spatial eQTLs (i.e., no evidence for chromatin interaction was identified by FUMA). The differences in the chromatin interaction results could be attributed to the different processing of the Hi-C data, where FUMA uses Fit-Hi-C to compute the significant connections while our pipeline analyses them as per Rao et al. (please see methods). Moreover, we consider cis, trans-interchromosomal, and trans-intrachromosomal eQTLs in our pipeline, which we calculate using TensorFlow as part of the CoDeS3D pipeline (methods); whereas FUMA uses only cis eQTLs downloaded from GTEx. Finally, both pipelines use FDR correction. Thus, rank scores will differ between pipelines.</w:t>
      </w:r>
    </w:p>
    <w:p w14:paraId="3BD7A501" w14:textId="0FC4915A" w:rsidR="00EF1167" w:rsidRDefault="00EF1167" w:rsidP="00B133CC">
      <w:pPr>
        <w:spacing w:line="360" w:lineRule="auto"/>
        <w:jc w:val="center"/>
        <w:rPr>
          <w:noProof/>
        </w:rPr>
      </w:pPr>
    </w:p>
    <w:p w14:paraId="2F8D058F" w14:textId="679494DD" w:rsidR="00963504" w:rsidRDefault="00963504" w:rsidP="00B133CC">
      <w:pPr>
        <w:spacing w:line="360" w:lineRule="auto"/>
        <w:jc w:val="center"/>
        <w:rPr>
          <w:noProof/>
        </w:rPr>
      </w:pPr>
    </w:p>
    <w:p w14:paraId="4A1FD5AD" w14:textId="0714B1D7" w:rsidR="00963504" w:rsidRPr="00662010" w:rsidRDefault="002A51B8" w:rsidP="00B133CC">
      <w:pPr>
        <w:spacing w:line="360" w:lineRule="auto"/>
        <w:jc w:val="center"/>
        <w:rPr>
          <w:rFonts w:asciiTheme="minorBidi" w:hAnsiTheme="minorBidi"/>
          <w:sz w:val="20"/>
          <w:szCs w:val="20"/>
        </w:rPr>
      </w:pPr>
      <w:r>
        <w:rPr>
          <w:noProof/>
        </w:rPr>
        <w:drawing>
          <wp:inline distT="0" distB="0" distL="0" distR="0" wp14:anchorId="0D2057FF" wp14:editId="5177108D">
            <wp:extent cx="3575116" cy="9028352"/>
            <wp:effectExtent l="0" t="0" r="635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84956" cy="9053202"/>
                    </a:xfrm>
                    <a:prstGeom prst="rect">
                      <a:avLst/>
                    </a:prstGeom>
                    <a:noFill/>
                    <a:ln>
                      <a:noFill/>
                    </a:ln>
                  </pic:spPr>
                </pic:pic>
              </a:graphicData>
            </a:graphic>
          </wp:inline>
        </w:drawing>
      </w:r>
    </w:p>
    <w:p w14:paraId="40FB8193" w14:textId="593C0541" w:rsidR="00720102" w:rsidRDefault="00BC0C3F" w:rsidP="00720102">
      <w:pPr>
        <w:spacing w:line="360" w:lineRule="auto"/>
        <w:ind w:firstLine="720"/>
        <w:jc w:val="both"/>
        <w:rPr>
          <w:rFonts w:asciiTheme="minorBidi" w:hAnsiTheme="minorBidi"/>
          <w:sz w:val="20"/>
          <w:szCs w:val="20"/>
        </w:rPr>
      </w:pPr>
      <w:r w:rsidRPr="00AE3080">
        <w:rPr>
          <w:rFonts w:asciiTheme="minorBidi" w:hAnsiTheme="minorBidi"/>
          <w:b/>
          <w:bCs/>
          <w:sz w:val="20"/>
          <w:szCs w:val="20"/>
        </w:rPr>
        <w:t>Supplementary Figure</w:t>
      </w:r>
      <w:r>
        <w:rPr>
          <w:rFonts w:asciiTheme="minorBidi" w:hAnsiTheme="minorBidi"/>
          <w:b/>
          <w:bCs/>
          <w:sz w:val="20"/>
          <w:szCs w:val="20"/>
        </w:rPr>
        <w:t xml:space="preserve"> </w:t>
      </w:r>
      <w:r w:rsidR="0002687B">
        <w:rPr>
          <w:rFonts w:asciiTheme="minorBidi" w:hAnsiTheme="minorBidi"/>
          <w:b/>
          <w:bCs/>
          <w:sz w:val="20"/>
          <w:szCs w:val="20"/>
        </w:rPr>
        <w:t>5</w:t>
      </w:r>
      <w:r w:rsidR="00EF1167" w:rsidRPr="00662010">
        <w:rPr>
          <w:rFonts w:asciiTheme="minorBidi" w:hAnsiTheme="minorBidi"/>
          <w:b/>
          <w:bCs/>
          <w:sz w:val="20"/>
          <w:szCs w:val="20"/>
        </w:rPr>
        <w:t xml:space="preserve">. </w:t>
      </w:r>
      <w:r w:rsidR="00720102" w:rsidRPr="00A05565">
        <w:rPr>
          <w:rFonts w:asciiTheme="minorBidi" w:hAnsiTheme="minorBidi"/>
          <w:b/>
          <w:bCs/>
          <w:sz w:val="20"/>
          <w:szCs w:val="20"/>
        </w:rPr>
        <w:t xml:space="preserve">Genes regulated by asthma-associated </w:t>
      </w:r>
      <w:r w:rsidR="00720102">
        <w:rPr>
          <w:rFonts w:asciiTheme="minorBidi" w:hAnsiTheme="minorBidi"/>
          <w:b/>
          <w:bCs/>
          <w:sz w:val="20"/>
          <w:szCs w:val="20"/>
        </w:rPr>
        <w:t xml:space="preserve">spatial </w:t>
      </w:r>
      <w:r w:rsidR="00720102" w:rsidRPr="00A05565">
        <w:rPr>
          <w:rFonts w:asciiTheme="minorBidi" w:hAnsiTheme="minorBidi"/>
          <w:b/>
          <w:bCs/>
          <w:sz w:val="20"/>
          <w:szCs w:val="20"/>
        </w:rPr>
        <w:t xml:space="preserve">eQTLs are also regulated by </w:t>
      </w:r>
      <w:r w:rsidR="00720102">
        <w:rPr>
          <w:rFonts w:asciiTheme="minorBidi" w:hAnsiTheme="minorBidi"/>
          <w:b/>
          <w:bCs/>
          <w:sz w:val="20"/>
          <w:szCs w:val="20"/>
        </w:rPr>
        <w:t xml:space="preserve">spatial </w:t>
      </w:r>
      <w:r w:rsidR="00720102" w:rsidRPr="00A05565">
        <w:rPr>
          <w:rFonts w:asciiTheme="minorBidi" w:hAnsiTheme="minorBidi"/>
          <w:b/>
          <w:bCs/>
          <w:sz w:val="20"/>
          <w:szCs w:val="20"/>
        </w:rPr>
        <w:t xml:space="preserve">eQTLs associated with </w:t>
      </w:r>
      <w:r w:rsidR="001A6705">
        <w:rPr>
          <w:rFonts w:asciiTheme="minorBidi" w:hAnsiTheme="minorBidi"/>
          <w:b/>
          <w:bCs/>
          <w:sz w:val="20"/>
          <w:szCs w:val="20"/>
        </w:rPr>
        <w:t>70 other</w:t>
      </w:r>
      <w:r w:rsidR="00720102" w:rsidRPr="00A05565">
        <w:rPr>
          <w:rFonts w:asciiTheme="minorBidi" w:hAnsiTheme="minorBidi"/>
          <w:b/>
          <w:bCs/>
          <w:sz w:val="20"/>
          <w:szCs w:val="20"/>
        </w:rPr>
        <w:t xml:space="preserve"> conditions</w:t>
      </w:r>
      <w:r w:rsidR="00720102">
        <w:rPr>
          <w:rFonts w:asciiTheme="minorBidi" w:hAnsiTheme="minorBidi"/>
          <w:b/>
          <w:bCs/>
          <w:sz w:val="20"/>
          <w:szCs w:val="20"/>
        </w:rPr>
        <w:t xml:space="preserve"> in the </w:t>
      </w:r>
      <w:r w:rsidR="0058787F">
        <w:rPr>
          <w:rFonts w:asciiTheme="minorBidi" w:hAnsiTheme="minorBidi"/>
          <w:b/>
          <w:bCs/>
          <w:sz w:val="20"/>
          <w:szCs w:val="20"/>
        </w:rPr>
        <w:t xml:space="preserve">blood-specific </w:t>
      </w:r>
      <w:r w:rsidR="0002687B">
        <w:rPr>
          <w:rFonts w:asciiTheme="minorBidi" w:hAnsiTheme="minorBidi"/>
          <w:b/>
          <w:bCs/>
          <w:sz w:val="20"/>
          <w:szCs w:val="20"/>
        </w:rPr>
        <w:t xml:space="preserve">asthma </w:t>
      </w:r>
      <w:r w:rsidR="00720102">
        <w:rPr>
          <w:rFonts w:asciiTheme="minorBidi" w:hAnsiTheme="minorBidi"/>
          <w:b/>
          <w:bCs/>
          <w:sz w:val="20"/>
          <w:szCs w:val="20"/>
        </w:rPr>
        <w:t>GRN</w:t>
      </w:r>
      <w:r w:rsidR="00720102">
        <w:rPr>
          <w:rFonts w:asciiTheme="minorBidi" w:hAnsiTheme="minorBidi"/>
          <w:sz w:val="20"/>
          <w:szCs w:val="20"/>
        </w:rPr>
        <w:t xml:space="preserve">. </w:t>
      </w:r>
      <w:r w:rsidR="00315D16">
        <w:rPr>
          <w:rFonts w:asciiTheme="minorBidi" w:hAnsiTheme="minorBidi"/>
          <w:sz w:val="20"/>
          <w:szCs w:val="20"/>
        </w:rPr>
        <w:t xml:space="preserve">Convex </w:t>
      </w:r>
      <w:proofErr w:type="spellStart"/>
      <w:r w:rsidR="00720102">
        <w:rPr>
          <w:rFonts w:asciiTheme="minorBidi" w:hAnsiTheme="minorBidi"/>
          <w:sz w:val="20"/>
          <w:szCs w:val="20"/>
        </w:rPr>
        <w:t>biclustering</w:t>
      </w:r>
      <w:proofErr w:type="spellEnd"/>
      <w:r w:rsidR="00720102">
        <w:rPr>
          <w:rFonts w:asciiTheme="minorBidi" w:hAnsiTheme="minorBidi"/>
          <w:sz w:val="20"/>
          <w:szCs w:val="20"/>
        </w:rPr>
        <w:t xml:space="preserve"> of trait-eQTL-</w:t>
      </w:r>
      <w:r w:rsidR="000D7C89">
        <w:rPr>
          <w:rFonts w:asciiTheme="minorBidi" w:hAnsiTheme="minorBidi"/>
          <w:sz w:val="20"/>
          <w:szCs w:val="20"/>
        </w:rPr>
        <w:t>g</w:t>
      </w:r>
      <w:r w:rsidR="00720102">
        <w:rPr>
          <w:rFonts w:asciiTheme="minorBidi" w:hAnsiTheme="minorBidi"/>
          <w:sz w:val="20"/>
          <w:szCs w:val="20"/>
        </w:rPr>
        <w:t xml:space="preserve">ene interactions occurring </w:t>
      </w:r>
      <w:r w:rsidR="0002687B">
        <w:rPr>
          <w:rFonts w:asciiTheme="minorBidi" w:hAnsiTheme="minorBidi"/>
          <w:sz w:val="20"/>
          <w:szCs w:val="20"/>
        </w:rPr>
        <w:t xml:space="preserve">within the </w:t>
      </w:r>
      <w:r w:rsidR="000A18F2">
        <w:rPr>
          <w:rFonts w:asciiTheme="minorBidi" w:hAnsiTheme="minorBidi"/>
          <w:sz w:val="20"/>
          <w:szCs w:val="20"/>
        </w:rPr>
        <w:t xml:space="preserve">blood-specific </w:t>
      </w:r>
      <w:r w:rsidR="0002687B">
        <w:rPr>
          <w:rFonts w:asciiTheme="minorBidi" w:hAnsiTheme="minorBidi"/>
          <w:sz w:val="20"/>
          <w:szCs w:val="20"/>
        </w:rPr>
        <w:t xml:space="preserve">asthma </w:t>
      </w:r>
      <w:r w:rsidR="00720102">
        <w:rPr>
          <w:rFonts w:asciiTheme="minorBidi" w:hAnsiTheme="minorBidi"/>
          <w:sz w:val="20"/>
          <w:szCs w:val="20"/>
        </w:rPr>
        <w:t>GRN</w:t>
      </w:r>
      <w:r w:rsidR="0002687B">
        <w:rPr>
          <w:rFonts w:asciiTheme="minorBidi" w:hAnsiTheme="minorBidi"/>
          <w:sz w:val="20"/>
          <w:szCs w:val="20"/>
        </w:rPr>
        <w:t xml:space="preserve"> (level 0)</w:t>
      </w:r>
      <w:r w:rsidR="00720102">
        <w:rPr>
          <w:rFonts w:asciiTheme="minorBidi" w:hAnsiTheme="minorBidi"/>
          <w:sz w:val="20"/>
          <w:szCs w:val="20"/>
        </w:rPr>
        <w:t xml:space="preserve">. For a given eQTL(s), the x-axis represents the target </w:t>
      </w:r>
      <w:r w:rsidR="000D7C89">
        <w:rPr>
          <w:rFonts w:asciiTheme="minorBidi" w:hAnsiTheme="minorBidi"/>
          <w:sz w:val="20"/>
          <w:szCs w:val="20"/>
        </w:rPr>
        <w:t>g</w:t>
      </w:r>
      <w:r w:rsidR="00720102">
        <w:rPr>
          <w:rFonts w:asciiTheme="minorBidi" w:hAnsiTheme="minorBidi"/>
          <w:sz w:val="20"/>
          <w:szCs w:val="20"/>
        </w:rPr>
        <w:t>ene</w:t>
      </w:r>
      <w:r w:rsidR="000A18F2">
        <w:rPr>
          <w:rFonts w:asciiTheme="minorBidi" w:hAnsiTheme="minorBidi"/>
          <w:sz w:val="20"/>
          <w:szCs w:val="20"/>
        </w:rPr>
        <w:t>,</w:t>
      </w:r>
      <w:r w:rsidR="00720102">
        <w:rPr>
          <w:rFonts w:asciiTheme="minorBidi" w:hAnsiTheme="minorBidi"/>
          <w:sz w:val="20"/>
          <w:szCs w:val="20"/>
        </w:rPr>
        <w:t xml:space="preserve"> and the y-axis represents the trait associated with it</w:t>
      </w:r>
      <w:r w:rsidR="000D7C89">
        <w:rPr>
          <w:rFonts w:asciiTheme="minorBidi" w:hAnsiTheme="minorBidi"/>
          <w:sz w:val="20"/>
          <w:szCs w:val="20"/>
        </w:rPr>
        <w:t>.</w:t>
      </w:r>
    </w:p>
    <w:p w14:paraId="6054CEAC" w14:textId="3F70DD32" w:rsidR="00930358" w:rsidRPr="00662010" w:rsidRDefault="00930358" w:rsidP="00720102">
      <w:pPr>
        <w:spacing w:line="360" w:lineRule="auto"/>
        <w:rPr>
          <w:rFonts w:asciiTheme="minorBidi" w:hAnsiTheme="minorBidi"/>
          <w:sz w:val="20"/>
          <w:szCs w:val="20"/>
        </w:rPr>
      </w:pPr>
    </w:p>
    <w:sectPr w:rsidR="00930358" w:rsidRPr="006620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C4054E" w14:textId="77777777" w:rsidR="0024336C" w:rsidRDefault="0024336C" w:rsidP="00963504">
      <w:pPr>
        <w:spacing w:after="0" w:line="240" w:lineRule="auto"/>
      </w:pPr>
      <w:r>
        <w:separator/>
      </w:r>
    </w:p>
  </w:endnote>
  <w:endnote w:type="continuationSeparator" w:id="0">
    <w:p w14:paraId="63E44A11" w14:textId="77777777" w:rsidR="0024336C" w:rsidRDefault="0024336C" w:rsidP="009635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7F4B99" w14:textId="77777777" w:rsidR="0024336C" w:rsidRDefault="0024336C" w:rsidP="00963504">
      <w:pPr>
        <w:spacing w:after="0" w:line="240" w:lineRule="auto"/>
      </w:pPr>
      <w:r>
        <w:separator/>
      </w:r>
    </w:p>
  </w:footnote>
  <w:footnote w:type="continuationSeparator" w:id="0">
    <w:p w14:paraId="4443F1F0" w14:textId="77777777" w:rsidR="0024336C" w:rsidRDefault="0024336C" w:rsidP="0096350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tLQwNjU0MjU1NTIHspV0lIJTi4sz8/NACgwNagH8hPjfLQAAAA=="/>
  </w:docVars>
  <w:rsids>
    <w:rsidRoot w:val="00892952"/>
    <w:rsid w:val="00015CB8"/>
    <w:rsid w:val="0002687B"/>
    <w:rsid w:val="00060B5F"/>
    <w:rsid w:val="00062432"/>
    <w:rsid w:val="0008067C"/>
    <w:rsid w:val="000A18F2"/>
    <w:rsid w:val="000A587B"/>
    <w:rsid w:val="000D7C89"/>
    <w:rsid w:val="000F5D5C"/>
    <w:rsid w:val="0015120B"/>
    <w:rsid w:val="001A6705"/>
    <w:rsid w:val="001C5348"/>
    <w:rsid w:val="00207DD0"/>
    <w:rsid w:val="002136C0"/>
    <w:rsid w:val="00225D4A"/>
    <w:rsid w:val="002365B5"/>
    <w:rsid w:val="00242392"/>
    <w:rsid w:val="0024336C"/>
    <w:rsid w:val="00261390"/>
    <w:rsid w:val="002A51B8"/>
    <w:rsid w:val="002B4B01"/>
    <w:rsid w:val="002E3E68"/>
    <w:rsid w:val="002F27BB"/>
    <w:rsid w:val="003070AD"/>
    <w:rsid w:val="00315D16"/>
    <w:rsid w:val="003503F4"/>
    <w:rsid w:val="0038667A"/>
    <w:rsid w:val="003F111D"/>
    <w:rsid w:val="00407C4C"/>
    <w:rsid w:val="00411A33"/>
    <w:rsid w:val="00432042"/>
    <w:rsid w:val="00461EAC"/>
    <w:rsid w:val="005023C1"/>
    <w:rsid w:val="00510DE4"/>
    <w:rsid w:val="00553BAE"/>
    <w:rsid w:val="00562687"/>
    <w:rsid w:val="00562707"/>
    <w:rsid w:val="00581ED8"/>
    <w:rsid w:val="0058787F"/>
    <w:rsid w:val="005A465E"/>
    <w:rsid w:val="005C13FF"/>
    <w:rsid w:val="005C1A2C"/>
    <w:rsid w:val="00611C7F"/>
    <w:rsid w:val="00641C77"/>
    <w:rsid w:val="00662010"/>
    <w:rsid w:val="00720102"/>
    <w:rsid w:val="0072215B"/>
    <w:rsid w:val="007323FA"/>
    <w:rsid w:val="00762ABA"/>
    <w:rsid w:val="0078443E"/>
    <w:rsid w:val="007B531C"/>
    <w:rsid w:val="007B53F1"/>
    <w:rsid w:val="007B57BA"/>
    <w:rsid w:val="007F4274"/>
    <w:rsid w:val="00892952"/>
    <w:rsid w:val="00930358"/>
    <w:rsid w:val="0094555B"/>
    <w:rsid w:val="00963504"/>
    <w:rsid w:val="0099062F"/>
    <w:rsid w:val="009C0D52"/>
    <w:rsid w:val="009C5273"/>
    <w:rsid w:val="00A16D80"/>
    <w:rsid w:val="00A330DA"/>
    <w:rsid w:val="00A94FE7"/>
    <w:rsid w:val="00AA56F6"/>
    <w:rsid w:val="00AB1A84"/>
    <w:rsid w:val="00AC24BD"/>
    <w:rsid w:val="00AE2A27"/>
    <w:rsid w:val="00AE3080"/>
    <w:rsid w:val="00B038FA"/>
    <w:rsid w:val="00B133CC"/>
    <w:rsid w:val="00B44005"/>
    <w:rsid w:val="00B620AD"/>
    <w:rsid w:val="00B64BCA"/>
    <w:rsid w:val="00B675BB"/>
    <w:rsid w:val="00B82373"/>
    <w:rsid w:val="00B90235"/>
    <w:rsid w:val="00B9398C"/>
    <w:rsid w:val="00B96138"/>
    <w:rsid w:val="00BA65D2"/>
    <w:rsid w:val="00BC0C3F"/>
    <w:rsid w:val="00BD145C"/>
    <w:rsid w:val="00C10812"/>
    <w:rsid w:val="00C20220"/>
    <w:rsid w:val="00C85B72"/>
    <w:rsid w:val="00C90B48"/>
    <w:rsid w:val="00CA019F"/>
    <w:rsid w:val="00CB5257"/>
    <w:rsid w:val="00CC462B"/>
    <w:rsid w:val="00CD7CF3"/>
    <w:rsid w:val="00D34815"/>
    <w:rsid w:val="00D53FCF"/>
    <w:rsid w:val="00D607CC"/>
    <w:rsid w:val="00D63713"/>
    <w:rsid w:val="00D76CF0"/>
    <w:rsid w:val="00D85C74"/>
    <w:rsid w:val="00DC7A62"/>
    <w:rsid w:val="00DD2429"/>
    <w:rsid w:val="00DF414F"/>
    <w:rsid w:val="00E53052"/>
    <w:rsid w:val="00EB3C78"/>
    <w:rsid w:val="00EE2604"/>
    <w:rsid w:val="00EF1167"/>
    <w:rsid w:val="00EF2047"/>
    <w:rsid w:val="00F25936"/>
    <w:rsid w:val="00F57D56"/>
    <w:rsid w:val="00F77475"/>
    <w:rsid w:val="00FA10D8"/>
    <w:rsid w:val="00FA5382"/>
    <w:rsid w:val="00FD549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BB3A0"/>
  <w15:chartTrackingRefBased/>
  <w15:docId w15:val="{8D910A89-AF08-4B85-BE87-0E8BBC133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11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36C0"/>
    <w:rPr>
      <w:color w:val="0000FF"/>
      <w:u w:val="single"/>
    </w:rPr>
  </w:style>
  <w:style w:type="paragraph" w:styleId="Revision">
    <w:name w:val="Revision"/>
    <w:hidden/>
    <w:uiPriority w:val="99"/>
    <w:semiHidden/>
    <w:rsid w:val="00D53FCF"/>
    <w:pPr>
      <w:spacing w:after="0" w:line="240" w:lineRule="auto"/>
    </w:pPr>
  </w:style>
  <w:style w:type="character" w:styleId="CommentReference">
    <w:name w:val="annotation reference"/>
    <w:basedOn w:val="DefaultParagraphFont"/>
    <w:uiPriority w:val="99"/>
    <w:semiHidden/>
    <w:unhideWhenUsed/>
    <w:rsid w:val="0002687B"/>
    <w:rPr>
      <w:sz w:val="16"/>
      <w:szCs w:val="16"/>
    </w:rPr>
  </w:style>
  <w:style w:type="paragraph" w:styleId="CommentText">
    <w:name w:val="annotation text"/>
    <w:basedOn w:val="Normal"/>
    <w:link w:val="CommentTextChar"/>
    <w:uiPriority w:val="99"/>
    <w:unhideWhenUsed/>
    <w:rsid w:val="0002687B"/>
    <w:pPr>
      <w:spacing w:line="240" w:lineRule="auto"/>
    </w:pPr>
    <w:rPr>
      <w:sz w:val="20"/>
      <w:szCs w:val="20"/>
    </w:rPr>
  </w:style>
  <w:style w:type="character" w:customStyle="1" w:styleId="CommentTextChar">
    <w:name w:val="Comment Text Char"/>
    <w:basedOn w:val="DefaultParagraphFont"/>
    <w:link w:val="CommentText"/>
    <w:uiPriority w:val="99"/>
    <w:rsid w:val="0002687B"/>
    <w:rPr>
      <w:sz w:val="20"/>
      <w:szCs w:val="20"/>
    </w:rPr>
  </w:style>
  <w:style w:type="paragraph" w:styleId="CommentSubject">
    <w:name w:val="annotation subject"/>
    <w:basedOn w:val="CommentText"/>
    <w:next w:val="CommentText"/>
    <w:link w:val="CommentSubjectChar"/>
    <w:uiPriority w:val="99"/>
    <w:semiHidden/>
    <w:unhideWhenUsed/>
    <w:rsid w:val="0002687B"/>
    <w:rPr>
      <w:b/>
      <w:bCs/>
    </w:rPr>
  </w:style>
  <w:style w:type="character" w:customStyle="1" w:styleId="CommentSubjectChar">
    <w:name w:val="Comment Subject Char"/>
    <w:basedOn w:val="CommentTextChar"/>
    <w:link w:val="CommentSubject"/>
    <w:uiPriority w:val="99"/>
    <w:semiHidden/>
    <w:rsid w:val="0002687B"/>
    <w:rPr>
      <w:b/>
      <w:bCs/>
      <w:sz w:val="20"/>
      <w:szCs w:val="20"/>
    </w:rPr>
  </w:style>
  <w:style w:type="paragraph" w:styleId="Header">
    <w:name w:val="header"/>
    <w:basedOn w:val="Normal"/>
    <w:link w:val="HeaderChar"/>
    <w:uiPriority w:val="99"/>
    <w:unhideWhenUsed/>
    <w:rsid w:val="009635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3504"/>
  </w:style>
  <w:style w:type="paragraph" w:styleId="Footer">
    <w:name w:val="footer"/>
    <w:basedOn w:val="Normal"/>
    <w:link w:val="FooterChar"/>
    <w:uiPriority w:val="99"/>
    <w:unhideWhenUsed/>
    <w:rsid w:val="009635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35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ustin.osullivan@auckland.ac.nz" TargetMode="External"/><Relationship Id="rId11" Type="http://schemas.openxmlformats.org/officeDocument/2006/relationships/image" Target="media/image5.png"/><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960</Words>
  <Characters>5275</Characters>
  <Application>Microsoft Office Word</Application>
  <DocSecurity>0</DocSecurity>
  <Lines>125</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Roan Zaied</dc:creator>
  <cp:keywords/>
  <dc:description/>
  <cp:lastModifiedBy>Roan Zaied</cp:lastModifiedBy>
  <cp:revision>2</cp:revision>
  <dcterms:created xsi:type="dcterms:W3CDTF">2023-01-26T01:01:00Z</dcterms:created>
  <dcterms:modified xsi:type="dcterms:W3CDTF">2023-01-26T01:01:00Z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127d6e6c097366582995ca24ba79cd79c0cc393b795ac178863507c302164f75</vt:lpwstr>
  </property>
</Properties>
</file>