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PCR I 16S rDNA primer sets for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V. harveyi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infection experiments in summer 2015 and winter 2016 (sequences grouped together) showing the average ± SD numbers of raw and classified sequences and sample number (n) taken from Fuks et al. (2018).</w:t>
      </w:r>
    </w:p>
    <w:tbl>
      <w:tblPr>
        <w:tblStyle w:val="Table1"/>
        <w:tblW w:w="922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0"/>
        <w:gridCol w:w="2835"/>
        <w:gridCol w:w="1740"/>
        <w:gridCol w:w="2310"/>
        <w:tblGridChange w:id="0">
          <w:tblGrid>
            <w:gridCol w:w="2340"/>
            <w:gridCol w:w="2835"/>
            <w:gridCol w:w="1740"/>
            <w:gridCol w:w="231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Forward primer (3`-5`) [Conc]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Reverse primer (3`-5`) [Conc]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Raw sequences  ± SD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Classified sequences (number of samples)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F70:TGGCGAACGGGTGAGTAA [10 µM]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R307:GACGTGTGCTCTTCCGATCTCCGTGTCTCAGTCCCARTG [20 µM]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16,894 ± 26,072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16,783 ± 25,651 (n=173)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F310:ACTCCTACGGGAGGCAGC [10 µM]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R499:AGACGTGTGCTCTTCCGATCTGTATTACCGCGGCTGCTG [10 µM]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4,312 ± 5,387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4,282 ± 5,383 (n=57)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F649:GTGTAGCGGTGRAATGCG [20 µM]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R889:AGACGTGTGCTCTTCCGATCTCCCGTCAATTCMTTTGAGTT [20 µM]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45,464 ± 43,892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44,920 ± 43,374 (n=194)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F908:GGAGCATGTGGWTTAATTCGA [20 µM]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R1067:AGACGTGTGCTCTTCCGATCTCGTTGCGGGACTTAACCC [10 µM]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19,999 ± 21,659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20,042 ± 21,611 (n=115)</w:t>
            </w:r>
          </w:p>
        </w:tc>
      </w:tr>
      <w:tr>
        <w:trPr>
          <w:cantSplit w:val="0"/>
          <w:trHeight w:val="106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F1139:GGAGGAAGGTGGGGATGAC [10 µM]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R1364:AGACGTGTGCTCTTCCGATCTAAGGCCCGGGAACGTATT [10 µM]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6,307 ± 11,315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6,668 ± 11,820 (n=9)</w:t>
            </w:r>
          </w:p>
        </w:tc>
      </w:tr>
    </w:tbl>
    <w:p w:rsidR="00000000" w:rsidDel="00000000" w:rsidP="00000000" w:rsidRDefault="00000000" w:rsidRPr="00000000" w14:paraId="0000001A">
      <w:pPr>
        <w:spacing w:before="20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PCR II primers sequences and working concentrations for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V. harveyi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infection experiment.</w:t>
      </w:r>
    </w:p>
    <w:tbl>
      <w:tblPr>
        <w:tblStyle w:val="Table2"/>
        <w:tblW w:w="5955.0" w:type="dxa"/>
        <w:jc w:val="left"/>
        <w:tblInd w:w="1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70"/>
        <w:gridCol w:w="4785"/>
        <w:tblGridChange w:id="0">
          <w:tblGrid>
            <w:gridCol w:w="1170"/>
            <w:gridCol w:w="478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360" w:lineRule="auto"/>
              <w:ind w:left="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Primer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360" w:lineRule="auto"/>
              <w:ind w:left="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Sequence (5`-3`) [Concentration]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360" w:lineRule="auto"/>
              <w:ind w:left="2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360" w:lineRule="auto"/>
              <w:ind w:left="2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AATGATACGGCGACCACCGAGATCTACACTCTTTCCCTACACGACGCTCTTCCGATCTTGGCGAACGGGTGAGTAA [4 µM]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360" w:lineRule="auto"/>
              <w:ind w:left="2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F310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360" w:lineRule="auto"/>
              <w:ind w:left="2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AATGATACGGCGACCACCGAGATCTACACTCTTTCCCTACACGACGCTCTTCCGATCTACTCCTACGGGAGGCAGC [4 µM]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360" w:lineRule="auto"/>
              <w:ind w:left="2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F649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360" w:lineRule="auto"/>
              <w:ind w:left="2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AATGATACGGCGACCACCGAGATCTACACTCTTTCCCTACACGACGCTCTTCCGATCTGTGTAGCGGTGRAATGCG [8 µM]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F908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360" w:lineRule="auto"/>
              <w:ind w:left="2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AATGATACGGCGACCACCGAGATCTACACTCTTTCCCTACACGACGCTCTTCCGATCTGGAGCATGTGGWTTAATTCGA [8 µM]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360" w:lineRule="auto"/>
              <w:ind w:left="2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F1139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360" w:lineRule="auto"/>
              <w:ind w:left="2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AATGATACGGCGACCACCGAGATCTACACTCTTTCCCTACACGACGCTCTTCCGATCTGGAGGAAGGTGGGGATGAC [4 µM]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360" w:lineRule="auto"/>
              <w:ind w:left="2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Reverse primer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360" w:lineRule="auto"/>
              <w:ind w:left="2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CAAGCAGAAGACGGCATACGAGAT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NNNNNNNN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GTGACTGGAGTTCAGACGTGTGCTCTTCCGATCT [8 µM]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S3.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PCR I and II 16S rDNA primer sets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(Caporaso et al. 2011)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S. iniae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infection experiment.</w:t>
      </w:r>
    </w:p>
    <w:tbl>
      <w:tblPr>
        <w:tblStyle w:val="Table3"/>
        <w:tblW w:w="934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5"/>
        <w:gridCol w:w="4140"/>
        <w:gridCol w:w="4350"/>
        <w:tblGridChange w:id="0">
          <w:tblGrid>
            <w:gridCol w:w="855"/>
            <w:gridCol w:w="4140"/>
            <w:gridCol w:w="435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PCR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Forward primer (5`-3`) [Conc]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Reverse primer (5`-3`) [Conc]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PCR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360" w:lineRule="auto"/>
              <w:ind w:left="2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PCRI-F515:TCGTCGGCAGCGTCAGATGTGTATAAGAGACAGGTGYCAGCMGCCGCGGTAA[4 µM]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360" w:lineRule="auto"/>
              <w:ind w:left="2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PCRI-R806:GTCTCGTGGGCTCGGAGATGTGTATAAGAGACAGGACTACNVGGGTWTCTAAT [4 µM]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PCR 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360" w:lineRule="auto"/>
              <w:ind w:left="2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PCRII-F515:AATGATACGGCGACCACCGAGATCTACACTCTTTCCCTACACGACGCTCTTCCGATCTGTGTAGCGGTGRAATGCG [8 µM]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360" w:lineRule="auto"/>
              <w:ind w:left="2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Reverse-primer:CAAGCAGAAGACGGCATACGAGAT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NNNNNNNN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GTGACTGGAGTTCAGACGTGTGCTCTTCCGATCT [8 µM]</w:t>
            </w:r>
          </w:p>
        </w:tc>
      </w:tr>
    </w:tbl>
    <w:p w:rsidR="00000000" w:rsidDel="00000000" w:rsidP="00000000" w:rsidRDefault="00000000" w:rsidRPr="00000000" w14:paraId="00000036">
      <w:pPr>
        <w:pStyle w:val="Heading3"/>
        <w:widowControl w:val="0"/>
        <w:spacing w:after="160" w:before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17dp8v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S4.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Average and standard deviations of obtained ASV’s and after data curation</w:t>
      </w:r>
    </w:p>
    <w:tbl>
      <w:tblPr>
        <w:tblStyle w:val="Table4"/>
        <w:tblW w:w="616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1545"/>
        <w:gridCol w:w="1785"/>
        <w:tblGridChange w:id="0">
          <w:tblGrid>
            <w:gridCol w:w="2835"/>
            <w:gridCol w:w="1545"/>
            <w:gridCol w:w="1785"/>
          </w:tblGrid>
        </w:tblGridChange>
      </w:tblGrid>
      <w:tr>
        <w:trPr>
          <w:cantSplit w:val="0"/>
          <w:trHeight w:val="7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ASV sequences (Avg. ± SD)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Curated sequences (Avg. ± SD)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V. harveyi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infection experiment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45,464 ±43,893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44,920  ± 43,375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S. iniae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infection experiment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30,464 ± 22,104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30,882 ± 23,982</w:t>
            </w:r>
          </w:p>
        </w:tc>
      </w:tr>
    </w:tbl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S5: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UV vs non-UV treatments, adonis-pairwise significance test for different body sites at different time points in all infectious experiments.</w:t>
      </w:r>
      <w:r w:rsidDel="00000000" w:rsidR="00000000" w:rsidRPr="00000000">
        <w:rPr>
          <w:rtl w:val="0"/>
        </w:rPr>
      </w:r>
    </w:p>
    <w:tbl>
      <w:tblPr>
        <w:tblStyle w:val="Table5"/>
        <w:tblW w:w="462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5"/>
        <w:gridCol w:w="1275"/>
        <w:gridCol w:w="1425"/>
        <w:gridCol w:w="1425"/>
        <w:tblGridChange w:id="0">
          <w:tblGrid>
            <w:gridCol w:w="495"/>
            <w:gridCol w:w="1275"/>
            <w:gridCol w:w="1425"/>
            <w:gridCol w:w="142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Non-UV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S. artura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L. calcifer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V. harveyi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S.inea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S.iniae</w:t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d9d9" w:val="clear"/>
                <w:rtl w:val="0"/>
              </w:rPr>
              <w:t xml:space="preserve">A-T0 = 0.004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G-T0 = 0.118 </w:t>
            </w:r>
            <w:r w:rsidDel="00000000" w:rsidR="00000000" w:rsidRPr="00000000">
              <w:rPr>
                <w:b w:val="1"/>
                <w:sz w:val="20"/>
                <w:szCs w:val="20"/>
                <w:shd w:fill="d9d9d9" w:val="clear"/>
                <w:rtl w:val="0"/>
              </w:rPr>
              <w:t xml:space="preserve">L-T0 = 0.001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---------------- A-T1 = 0.254   G-T1 = 0.366 L-T1 = 0.170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d9d9" w:val="clear"/>
                <w:rtl w:val="0"/>
              </w:rPr>
              <w:t xml:space="preserve">L-T0    = 0.008 L-T1    = 0.002 L-T1-2 = 0.001 L-T1-3 = 0.001 L-T1-5 = 0.001 L-T2    = 0.017 L-T2-2 = 0.015 L-T3    = 0.003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d9d9" w:val="clear"/>
                <w:rtl w:val="0"/>
              </w:rPr>
              <w:t xml:space="preserve">L-T0    = 0.048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L-T1    = 0.539 L-T1-2 = 0.059 L-T1-3 = 0.383 L-T1-5 = 0.250 L-T2    = 0.667 L-T2-2 = 0.250 L-T3    = 0.333</w:t>
            </w:r>
          </w:p>
        </w:tc>
      </w:tr>
    </w:tbl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S6.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Absolute and weighted percentages of unique and shared ASV’s for UV vs non-UV treatments at different time points and body sites, during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V. harveyi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(A)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S. iniae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 infection.</w:t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(A)</w:t>
      </w:r>
    </w:p>
    <w:tbl>
      <w:tblPr>
        <w:tblStyle w:val="Table6"/>
        <w:tblW w:w="595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975"/>
        <w:gridCol w:w="765"/>
        <w:gridCol w:w="540"/>
        <w:gridCol w:w="675"/>
        <w:gridCol w:w="705"/>
        <w:gridCol w:w="435"/>
        <w:gridCol w:w="660"/>
        <w:tblGridChange w:id="0">
          <w:tblGrid>
            <w:gridCol w:w="1200"/>
            <w:gridCol w:w="975"/>
            <w:gridCol w:w="765"/>
            <w:gridCol w:w="540"/>
            <w:gridCol w:w="675"/>
            <w:gridCol w:w="705"/>
            <w:gridCol w:w="435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Time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Body sites</w:t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Percent</w:t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Weighted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Non-UV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Shared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Non-UV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Shared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abdomen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31%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77%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Gills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59%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69%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Lateral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49%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34%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79%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abdomen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41%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96%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Gills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56%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97%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Lateral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41%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98%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T0, T1 and T2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93%</w:t>
            </w:r>
          </w:p>
        </w:tc>
      </w:tr>
    </w:tbl>
    <w:p w:rsidR="00000000" w:rsidDel="00000000" w:rsidP="00000000" w:rsidRDefault="00000000" w:rsidRPr="00000000" w14:paraId="0000009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</w:t>
      </w:r>
    </w:p>
    <w:tbl>
      <w:tblPr>
        <w:tblStyle w:val="Table7"/>
        <w:tblW w:w="859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60"/>
        <w:gridCol w:w="705"/>
        <w:gridCol w:w="465"/>
        <w:gridCol w:w="630"/>
        <w:gridCol w:w="690"/>
        <w:gridCol w:w="480"/>
        <w:gridCol w:w="645"/>
        <w:gridCol w:w="705"/>
        <w:gridCol w:w="525"/>
        <w:gridCol w:w="630"/>
        <w:gridCol w:w="675"/>
        <w:gridCol w:w="570"/>
        <w:gridCol w:w="615"/>
        <w:tblGridChange w:id="0">
          <w:tblGrid>
            <w:gridCol w:w="1260"/>
            <w:gridCol w:w="705"/>
            <w:gridCol w:w="465"/>
            <w:gridCol w:w="630"/>
            <w:gridCol w:w="690"/>
            <w:gridCol w:w="480"/>
            <w:gridCol w:w="645"/>
            <w:gridCol w:w="705"/>
            <w:gridCol w:w="525"/>
            <w:gridCol w:w="630"/>
            <w:gridCol w:w="675"/>
            <w:gridCol w:w="570"/>
            <w:gridCol w:w="61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Time</w:t>
            </w:r>
          </w:p>
        </w:tc>
        <w:tc>
          <w:tcPr>
            <w:gridSpan w:val="6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S. aurata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L. cacifier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Percent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Percent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Non-UV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shared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Non-UV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shared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Non-UV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shared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Non-UV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shared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T1-3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T1-5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47%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All time points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93%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85%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S7.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Body sites adonis-pairwise significance test at different time points for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S. aurata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during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V. harveyi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infection at summer seasons (only non-UV treatments) and winter (non-UV and UV treatments) (A), and unique unweighted and weighted ASV’s at different body sites in the non-UV treatment both summer and winter experiments (B).</w:t>
      </w:r>
    </w:p>
    <w:p w:rsidR="00000000" w:rsidDel="00000000" w:rsidP="00000000" w:rsidRDefault="00000000" w:rsidRPr="00000000" w14:paraId="0000014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(A)</w:t>
      </w:r>
    </w:p>
    <w:tbl>
      <w:tblPr>
        <w:tblStyle w:val="Table8"/>
        <w:tblW w:w="6516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"/>
        <w:gridCol w:w="936"/>
        <w:gridCol w:w="936"/>
        <w:gridCol w:w="936"/>
        <w:gridCol w:w="936"/>
        <w:gridCol w:w="936"/>
        <w:gridCol w:w="900"/>
        <w:tblGridChange w:id="0">
          <w:tblGrid>
            <w:gridCol w:w="936"/>
            <w:gridCol w:w="936"/>
            <w:gridCol w:w="936"/>
            <w:gridCol w:w="936"/>
            <w:gridCol w:w="936"/>
            <w:gridCol w:w="936"/>
            <w:gridCol w:w="900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Season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Summer 2015</w:t>
            </w:r>
          </w:p>
        </w:tc>
        <w:tc>
          <w:tcPr>
            <w:gridSpan w:val="4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Winter 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Treatment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Non-UV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Non-UV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Body 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Abdomen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Abdomen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Abdomen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T0 = 0.228 </w:t>
            </w: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T1 = 0.018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T2 = 1.000 T3 = 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T0 = 0.084 T1 = 1.000 T2 = 1.000 T3 = 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T0 = 1.000 T1 = 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Lateral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T0 = 1.000 T1 = 0.492 T2 = 0.750 T3 = 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T0 = 0.006 T1 = 0.012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T2 = 0.162 T3 = 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T0 = 0.348 T1 = 0.090 T2 = 1.000 T3 = 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T0 = 0.012 T1 = 0.006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T2 = 0.600 T3 = 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T0 = 1.000 T1 = 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T0 = 1.000 T1 = 0.510</w:t>
            </w:r>
          </w:p>
        </w:tc>
      </w:tr>
    </w:tbl>
    <w:p w:rsidR="00000000" w:rsidDel="00000000" w:rsidP="00000000" w:rsidRDefault="00000000" w:rsidRPr="00000000" w14:paraId="0000016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</w:t>
      </w:r>
    </w:p>
    <w:tbl>
      <w:tblPr>
        <w:tblStyle w:val="Table9"/>
        <w:tblW w:w="561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200"/>
        <w:gridCol w:w="1200"/>
        <w:gridCol w:w="1200"/>
        <w:gridCol w:w="1140"/>
        <w:tblGridChange w:id="0">
          <w:tblGrid>
            <w:gridCol w:w="870"/>
            <w:gridCol w:w="1200"/>
            <w:gridCol w:w="1200"/>
            <w:gridCol w:w="1200"/>
            <w:gridCol w:w="1140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Season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Summer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Winter 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Treatment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Non-UV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Non-UV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Body 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Unweighted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Weighted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Unweighted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Weighted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spacing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Abdomen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T0 = 18%</w:t>
            </w:r>
          </w:p>
          <w:p w:rsidR="00000000" w:rsidDel="00000000" w:rsidP="00000000" w:rsidRDefault="00000000" w:rsidRPr="00000000" w14:paraId="0000017E">
            <w:pPr>
              <w:widowControl w:val="0"/>
              <w:spacing w:line="276" w:lineRule="auto"/>
              <w:rPr>
                <w:b w:val="1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T1 = 15%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T2 = 13%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T3 = 23%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T0 = 4%</w:t>
            </w:r>
          </w:p>
          <w:p w:rsidR="00000000" w:rsidDel="00000000" w:rsidP="00000000" w:rsidRDefault="00000000" w:rsidRPr="00000000" w14:paraId="00000182">
            <w:pPr>
              <w:widowControl w:val="0"/>
              <w:spacing w:line="276" w:lineRule="auto"/>
              <w:rPr>
                <w:b w:val="1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T1 = &lt;1%</w:t>
            </w:r>
          </w:p>
          <w:p w:rsidR="00000000" w:rsidDel="00000000" w:rsidP="00000000" w:rsidRDefault="00000000" w:rsidRPr="00000000" w14:paraId="00000183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T2 = 4%</w:t>
            </w:r>
          </w:p>
          <w:p w:rsidR="00000000" w:rsidDel="00000000" w:rsidP="00000000" w:rsidRDefault="00000000" w:rsidRPr="00000000" w14:paraId="00000184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T3 = 4%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T0 = 28%</w:t>
            </w:r>
          </w:p>
          <w:p w:rsidR="00000000" w:rsidDel="00000000" w:rsidP="00000000" w:rsidRDefault="00000000" w:rsidRPr="00000000" w14:paraId="00000186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T1 = 15%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T2 = 24%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T3 = 39%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T0 = 4%</w:t>
            </w:r>
          </w:p>
          <w:p w:rsidR="00000000" w:rsidDel="00000000" w:rsidP="00000000" w:rsidRDefault="00000000" w:rsidRPr="00000000" w14:paraId="0000018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T1 = 1%</w:t>
            </w:r>
          </w:p>
          <w:p w:rsidR="00000000" w:rsidDel="00000000" w:rsidP="00000000" w:rsidRDefault="00000000" w:rsidRPr="00000000" w14:paraId="0000018B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T2 = 2%</w:t>
            </w:r>
          </w:p>
          <w:p w:rsidR="00000000" w:rsidDel="00000000" w:rsidP="00000000" w:rsidRDefault="00000000" w:rsidRPr="00000000" w14:paraId="0000018C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T3 = 6%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spacing w:line="276" w:lineRule="auto"/>
              <w:rPr>
                <w:b w:val="1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T0 = 49%</w:t>
            </w:r>
          </w:p>
          <w:p w:rsidR="00000000" w:rsidDel="00000000" w:rsidP="00000000" w:rsidRDefault="00000000" w:rsidRPr="00000000" w14:paraId="0000018F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T1 = 53%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T2 = 53%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T3 = 26%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spacing w:line="276" w:lineRule="auto"/>
              <w:rPr>
                <w:b w:val="1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T0 = 9%</w:t>
            </w:r>
          </w:p>
          <w:p w:rsidR="00000000" w:rsidDel="00000000" w:rsidP="00000000" w:rsidRDefault="00000000" w:rsidRPr="00000000" w14:paraId="00000193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T1 = 2%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T2 = 8%</w:t>
            </w:r>
          </w:p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T3 = 3%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line="276" w:lineRule="auto"/>
              <w:rPr>
                <w:b w:val="1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T0 = 28%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T1 = 52%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T2 = 27%</w:t>
            </w:r>
          </w:p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T3 = 11%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spacing w:line="276" w:lineRule="auto"/>
              <w:rPr>
                <w:b w:val="1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T0 = 4%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T1 = &lt;1%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T2 = 2%</w:t>
            </w:r>
          </w:p>
          <w:p w:rsidR="00000000" w:rsidDel="00000000" w:rsidP="00000000" w:rsidRDefault="00000000" w:rsidRPr="00000000" w14:paraId="0000019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T3 = 3%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Lateral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spacing w:line="276" w:lineRule="auto"/>
              <w:rPr>
                <w:b w:val="1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T0 = 12%</w:t>
            </w:r>
          </w:p>
          <w:p w:rsidR="00000000" w:rsidDel="00000000" w:rsidP="00000000" w:rsidRDefault="00000000" w:rsidRPr="00000000" w14:paraId="000001A0">
            <w:pPr>
              <w:widowControl w:val="0"/>
              <w:spacing w:line="276" w:lineRule="auto"/>
              <w:rPr>
                <w:b w:val="1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T1 = 8%</w:t>
            </w:r>
          </w:p>
          <w:p w:rsidR="00000000" w:rsidDel="00000000" w:rsidP="00000000" w:rsidRDefault="00000000" w:rsidRPr="00000000" w14:paraId="000001A1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T2 = 16%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T3 = 22%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rPr>
                <w:b w:val="1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T0 = &lt;1%</w:t>
            </w:r>
          </w:p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rPr>
                <w:b w:val="1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T1 = 8%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T2 = 3%</w:t>
            </w:r>
          </w:p>
          <w:p w:rsidR="00000000" w:rsidDel="00000000" w:rsidP="00000000" w:rsidRDefault="00000000" w:rsidRPr="00000000" w14:paraId="000001A6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T3 = 4%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rPr>
                <w:b w:val="1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T0 = 20%</w:t>
            </w:r>
          </w:p>
          <w:p w:rsidR="00000000" w:rsidDel="00000000" w:rsidP="00000000" w:rsidRDefault="00000000" w:rsidRPr="00000000" w14:paraId="000001A8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T1 = 7%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T2 = 25%</w:t>
            </w:r>
          </w:p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T3 = 27%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spacing w:line="276" w:lineRule="auto"/>
              <w:rPr>
                <w:b w:val="1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T0 = 4%</w:t>
            </w:r>
          </w:p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shd w:fill="d9d9d9" w:val="clear"/>
                <w:rtl w:val="0"/>
              </w:rPr>
              <w:t xml:space="preserve">T1 = &lt;1%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T2 = 1%</w:t>
            </w:r>
          </w:p>
          <w:p w:rsidR="00000000" w:rsidDel="00000000" w:rsidP="00000000" w:rsidRDefault="00000000" w:rsidRPr="00000000" w14:paraId="000001AE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T3 = 7%</w:t>
            </w:r>
          </w:p>
        </w:tc>
      </w:tr>
    </w:tbl>
    <w:p w:rsidR="00000000" w:rsidDel="00000000" w:rsidP="00000000" w:rsidRDefault="00000000" w:rsidRPr="00000000" w14:paraId="000001A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  <w:shd w:fill="b7b7b7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S8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adonis-pairwise significance test at different time points for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S. aurata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during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V. harveyi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infection at winter and summer seasons in non-UV and UV treatment (A), for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S. aurata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during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S. iniae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infection at non-UV (B), UV treatment (C),  and  for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L. clarifier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during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S. iniae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infection at non-UV (D), UV treatment (E). </w:t>
      </w:r>
      <w:r w:rsidDel="00000000" w:rsidR="00000000" w:rsidRPr="00000000">
        <w:rPr>
          <w:rtl w:val="0"/>
        </w:rPr>
      </w:r>
    </w:p>
    <w:tbl>
      <w:tblPr>
        <w:tblStyle w:val="Table10"/>
        <w:tblW w:w="58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0"/>
        <w:gridCol w:w="750"/>
        <w:gridCol w:w="750"/>
        <w:gridCol w:w="750"/>
        <w:gridCol w:w="750"/>
        <w:gridCol w:w="750"/>
        <w:gridCol w:w="750"/>
        <w:gridCol w:w="780"/>
        <w:tblGridChange w:id="0">
          <w:tblGrid>
            <w:gridCol w:w="570"/>
            <w:gridCol w:w="750"/>
            <w:gridCol w:w="750"/>
            <w:gridCol w:w="750"/>
            <w:gridCol w:w="750"/>
            <w:gridCol w:w="750"/>
            <w:gridCol w:w="750"/>
            <w:gridCol w:w="78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(A)  pairwise comparisons for UV and non-UV treatments for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S. aurata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during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V. harveyi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infection at winter and summer seasons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Season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Summer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Winter 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Non-UV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Non-UV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UV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shd w:fill="d9d9d9" w:val="clear"/>
                <w:rtl w:val="0"/>
              </w:rPr>
              <w:t xml:space="preserve">A = 0.012 G = 0.006 L = 0.006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shd w:fill="d9d9d9" w:val="clear"/>
                <w:rtl w:val="0"/>
              </w:rPr>
              <w:t xml:space="preserve">A = 0.006 G = 0.012 L = 0.006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shd w:fill="d9d9d9" w:val="clear"/>
                <w:rtl w:val="0"/>
              </w:rPr>
              <w:t xml:space="preserve">A = 0.001 G = 0.003 L = 0.001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 = 0.924 G = 1.000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shd w:fill="d9d9d9" w:val="clear"/>
                <w:rtl w:val="0"/>
              </w:rPr>
              <w:t xml:space="preserve">L = 0.018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shd w:fill="d9d9d9" w:val="clear"/>
                <w:rtl w:val="0"/>
              </w:rPr>
              <w:t xml:space="preserve">A = 0.006 G = 0.012 L = 0.006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 = 0.144 G = 0.942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shd w:fill="d9d9d9" w:val="clear"/>
                <w:rtl w:val="0"/>
              </w:rPr>
              <w:t xml:space="preserve">L = 0.024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 = 0.450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shd w:fill="d9d9d9" w:val="clear"/>
                <w:rtl w:val="0"/>
              </w:rPr>
              <w:t xml:space="preserve">G = 0.048 L = 0.036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 = 1.000 G = 0.702 L = 0.084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shd w:fill="d9d9d9" w:val="clear"/>
                <w:rtl w:val="0"/>
              </w:rPr>
              <w:t xml:space="preserve">A = 0.006 G = 0.018 L = 0.018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 = 1.000 G = 1.000 L = 0.378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 = 0.276 G = 0.252 L = 0.186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 = 0.168 G = 0.222 L = 0.150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 = 1.000 G = 1.000 L = 0.600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EF">
      <w:pPr>
        <w:spacing w:line="36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08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"/>
        <w:gridCol w:w="1230"/>
        <w:gridCol w:w="1155"/>
        <w:gridCol w:w="705"/>
        <w:gridCol w:w="1065"/>
        <w:gridCol w:w="705"/>
        <w:gridCol w:w="705"/>
        <w:gridCol w:w="705"/>
        <w:gridCol w:w="705"/>
        <w:tblGridChange w:id="0">
          <w:tblGrid>
            <w:gridCol w:w="1110"/>
            <w:gridCol w:w="1230"/>
            <w:gridCol w:w="1155"/>
            <w:gridCol w:w="705"/>
            <w:gridCol w:w="1065"/>
            <w:gridCol w:w="705"/>
            <w:gridCol w:w="705"/>
            <w:gridCol w:w="705"/>
            <w:gridCol w:w="70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(B) non-UV treatment pairwise comparisons for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S. aurata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during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S. iniae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infection at winter seasons 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&lt;0.001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&lt;0.001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0.168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0.112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0.341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0.168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0.532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0.166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0.364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0.112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0.672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41">
      <w:pPr>
        <w:spacing w:line="36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08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"/>
        <w:gridCol w:w="1230"/>
        <w:gridCol w:w="1155"/>
        <w:gridCol w:w="705"/>
        <w:gridCol w:w="1065"/>
        <w:gridCol w:w="705"/>
        <w:gridCol w:w="705"/>
        <w:gridCol w:w="705"/>
        <w:gridCol w:w="705"/>
        <w:tblGridChange w:id="0">
          <w:tblGrid>
            <w:gridCol w:w="1110"/>
            <w:gridCol w:w="1230"/>
            <w:gridCol w:w="1155"/>
            <w:gridCol w:w="705"/>
            <w:gridCol w:w="1065"/>
            <w:gridCol w:w="705"/>
            <w:gridCol w:w="705"/>
            <w:gridCol w:w="705"/>
            <w:gridCol w:w="70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(C) UV treatment pairwise comparisons for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S. aurata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during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S. iniae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infection at winter seasons 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0.168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0.504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0.362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0.616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0.112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0.896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0.700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0.756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0.588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0.112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93">
      <w:pPr>
        <w:spacing w:line="36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08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"/>
        <w:gridCol w:w="1230"/>
        <w:gridCol w:w="1155"/>
        <w:gridCol w:w="705"/>
        <w:gridCol w:w="1065"/>
        <w:gridCol w:w="705"/>
        <w:gridCol w:w="705"/>
        <w:gridCol w:w="705"/>
        <w:gridCol w:w="705"/>
        <w:tblGridChange w:id="0">
          <w:tblGrid>
            <w:gridCol w:w="1110"/>
            <w:gridCol w:w="1230"/>
            <w:gridCol w:w="1155"/>
            <w:gridCol w:w="705"/>
            <w:gridCol w:w="1065"/>
            <w:gridCol w:w="705"/>
            <w:gridCol w:w="705"/>
            <w:gridCol w:w="705"/>
            <w:gridCol w:w="70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(D) non-UV treatment pairwise comparisons for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L. calcifer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during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S. iniae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infection at winter seasons 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0.060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0.761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E5">
      <w:pPr>
        <w:spacing w:line="36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08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"/>
        <w:gridCol w:w="1230"/>
        <w:gridCol w:w="1155"/>
        <w:gridCol w:w="705"/>
        <w:gridCol w:w="1065"/>
        <w:gridCol w:w="705"/>
        <w:gridCol w:w="705"/>
        <w:gridCol w:w="705"/>
        <w:gridCol w:w="705"/>
        <w:tblGridChange w:id="0">
          <w:tblGrid>
            <w:gridCol w:w="1110"/>
            <w:gridCol w:w="1230"/>
            <w:gridCol w:w="1155"/>
            <w:gridCol w:w="705"/>
            <w:gridCol w:w="1065"/>
            <w:gridCol w:w="705"/>
            <w:gridCol w:w="705"/>
            <w:gridCol w:w="705"/>
            <w:gridCol w:w="70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(E) UV treatment pairwise comparisons for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L. calcifer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during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S. iniae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infection at winter seasons 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0.375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0.016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T1-5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0.332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0.500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0.225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0.321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0.500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0.680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33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ciwheel.com/work/citation?ids=185575&amp;pre=&amp;suf=&amp;sa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