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158" w:rsidRDefault="00E34158" w:rsidP="00E34158">
      <w:pPr>
        <w:spacing w:line="480" w:lineRule="auto"/>
        <w:jc w:val="center"/>
        <w:rPr>
          <w:rFonts w:ascii="Times New Roman" w:eastAsia="SimSun" w:hAnsi="Times New Roman" w:hint="eastAsia"/>
          <w:szCs w:val="24"/>
        </w:rPr>
      </w:pPr>
      <w:r>
        <w:rPr>
          <w:rFonts w:ascii="Times New Roman" w:eastAsia="SimSun" w:hAnsi="Times New Roman" w:hint="eastAsia"/>
          <w:noProof/>
          <w:szCs w:val="24"/>
          <w:lang w:eastAsia="en-US"/>
        </w:rPr>
        <w:drawing>
          <wp:inline distT="0" distB="0" distL="0" distR="0">
            <wp:extent cx="4848225" cy="3219450"/>
            <wp:effectExtent l="0" t="0" r="9525" b="0"/>
            <wp:docPr id="2" name="Picture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Figure S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158" w:rsidRDefault="00E34158" w:rsidP="00E34158">
      <w:pPr>
        <w:spacing w:line="480" w:lineRule="auto"/>
        <w:rPr>
          <w:rFonts w:ascii="Times New Roman" w:eastAsia="SimSun" w:hAnsi="Times New Roman" w:hint="eastAsia"/>
          <w:b/>
          <w:bCs/>
          <w:color w:val="FF0000"/>
          <w:szCs w:val="24"/>
        </w:rPr>
      </w:pPr>
      <w:r>
        <w:rPr>
          <w:rFonts w:ascii="Times New Roman" w:eastAsia="SimSun" w:hAnsi="Times New Roman" w:hint="eastAsia"/>
          <w:b/>
          <w:bCs/>
          <w:color w:val="FF0000"/>
          <w:szCs w:val="24"/>
        </w:rPr>
        <w:t xml:space="preserve">Figure S1 Flow chart of study participants </w:t>
      </w:r>
    </w:p>
    <w:p w:rsidR="00E34158" w:rsidRDefault="00E34158" w:rsidP="00E34158">
      <w:pPr>
        <w:spacing w:line="480" w:lineRule="auto"/>
        <w:jc w:val="center"/>
        <w:rPr>
          <w:rFonts w:ascii="Times New Roman" w:eastAsia="SimSun" w:hAnsi="Times New Roman" w:hint="eastAsia"/>
          <w:b/>
          <w:bCs/>
          <w:color w:val="FF0000"/>
          <w:szCs w:val="24"/>
        </w:rPr>
      </w:pPr>
      <w:r>
        <w:rPr>
          <w:rFonts w:ascii="Times New Roman" w:eastAsia="SimSun" w:hAnsi="Times New Roman" w:hint="eastAsia"/>
          <w:b/>
          <w:bCs/>
          <w:noProof/>
          <w:color w:val="FF0000"/>
          <w:szCs w:val="24"/>
          <w:lang w:eastAsia="en-US"/>
        </w:rPr>
        <w:drawing>
          <wp:inline distT="0" distB="0" distL="0" distR="0">
            <wp:extent cx="4410075" cy="4181475"/>
            <wp:effectExtent l="0" t="0" r="9525" b="9525"/>
            <wp:docPr id="1" name="Picture 1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igure S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158" w:rsidRDefault="00E34158" w:rsidP="00E34158">
      <w:pPr>
        <w:spacing w:line="480" w:lineRule="auto"/>
        <w:rPr>
          <w:rFonts w:ascii="Times New Roman" w:eastAsia="SimSun" w:hAnsi="Times New Roman"/>
          <w:b/>
          <w:bCs/>
          <w:szCs w:val="24"/>
        </w:rPr>
      </w:pPr>
      <w:r>
        <w:rPr>
          <w:rFonts w:ascii="Times New Roman" w:eastAsia="SimSun" w:hAnsi="Times New Roman"/>
          <w:b/>
          <w:bCs/>
          <w:szCs w:val="24"/>
        </w:rPr>
        <w:t xml:space="preserve">Figure S2. Stratified Analyses by Potential Modifiers of the Association Between VAI and the prevalence </w:t>
      </w:r>
      <w:r>
        <w:rPr>
          <w:rFonts w:ascii="Times New Roman" w:eastAsia="SimSun" w:hAnsi="Times New Roman"/>
          <w:b/>
          <w:bCs/>
          <w:szCs w:val="24"/>
        </w:rPr>
        <w:lastRenderedPageBreak/>
        <w:t>of PAD</w:t>
      </w:r>
      <w:r>
        <w:rPr>
          <w:rFonts w:ascii="Times New Roman" w:eastAsia="SimSun" w:hAnsi="Times New Roman"/>
          <w:b/>
          <w:bCs/>
          <w:szCs w:val="24"/>
          <w:vertAlign w:val="superscript"/>
        </w:rPr>
        <w:t>*</w:t>
      </w:r>
      <w:r>
        <w:rPr>
          <w:rFonts w:ascii="Times New Roman" w:eastAsia="SimSun" w:hAnsi="Times New Roman"/>
          <w:szCs w:val="24"/>
          <w:vertAlign w:val="superscript"/>
        </w:rPr>
        <w:t xml:space="preserve"> *</w:t>
      </w:r>
      <w:r>
        <w:rPr>
          <w:rFonts w:ascii="Times New Roman" w:eastAsia="SimSun" w:hAnsi="Times New Roman"/>
          <w:szCs w:val="24"/>
        </w:rPr>
        <w:t xml:space="preserve">Each subgroup analysis adjusted for age, sex, BMI, SBP, DBP, pulse rate, Diabetes mellitus, stroke, CHD, Antihypertensive drugs, Lipoprotein-lowering drugs, Glucose-lowering drugs, current smoking, current drinking, education, physical activity, Hcy, FBG, TC, LDL, eGFR, Serum aspartate aminotransferase, Serum alanine aminotransferase, Serum γ -glutamyltransferase. except for the stratifying variable. </w:t>
      </w:r>
    </w:p>
    <w:p w:rsidR="003E0E76" w:rsidRDefault="003E0E76">
      <w:bookmarkStart w:id="0" w:name="_GoBack"/>
      <w:bookmarkEnd w:id="0"/>
    </w:p>
    <w:sectPr w:rsidR="003E0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158"/>
    <w:rsid w:val="003E0E76"/>
    <w:rsid w:val="00E3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FA9D17-AA24-4F88-BE62-77077FE56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158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Springer Nature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2022-04-18T08:15:00Z</dcterms:created>
  <dcterms:modified xsi:type="dcterms:W3CDTF">2022-04-18T08:15:00Z</dcterms:modified>
</cp:coreProperties>
</file>