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 w:eastAsiaTheme="minorEastAsia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S</w:t>
      </w:r>
      <w:r>
        <w:rPr>
          <w:rFonts w:ascii="Times New Roman" w:hAnsi="Times New Roman" w:cs="Times New Roman"/>
          <w:b w:val="0"/>
          <w:bCs w:val="0"/>
          <w:sz w:val="24"/>
          <w:szCs w:val="32"/>
          <w:highlight w:val="none"/>
        </w:rPr>
        <w:t>upplementary table 1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 Postoperative complications</w:t>
      </w:r>
    </w:p>
    <w:tbl>
      <w:tblPr>
        <w:tblStyle w:val="3"/>
        <w:tblpPr w:leftFromText="180" w:rightFromText="180" w:vertAnchor="page" w:horzAnchor="page" w:tblpX="1826" w:tblpY="189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Postoperative complications</w:t>
            </w:r>
          </w:p>
        </w:tc>
        <w:tc>
          <w:tcPr>
            <w:tcW w:w="4261" w:type="dxa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Diagnosis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Myocardial infarction</w:t>
            </w:r>
          </w:p>
        </w:tc>
        <w:tc>
          <w:tcPr>
            <w:tcW w:w="4261" w:type="dxa"/>
            <w:tcBorders>
              <w:top w:val="single" w:color="4F81BD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Confirmed by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 e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levated troponin or creatine kinase with symptoms, electrocardiogram, coronary angiography, and autopsy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Cardiac arrest</w:t>
            </w:r>
          </w:p>
        </w:tc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Confirmed by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electrocardiogram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Pulmonary embolism</w:t>
            </w:r>
          </w:p>
        </w:tc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Confirmed by CTP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, autopsy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troke</w:t>
            </w:r>
          </w:p>
        </w:tc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New neurological deficits lasting longer than 24 hours (assessed by a neurologist) and reported by CT or MRI as intracranial ischemia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Cerebral hematoma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 or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 xml:space="preserve"> edema</w:t>
            </w:r>
          </w:p>
        </w:tc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Intracranial hematoma or edema reported on CT or MRI with altered consciousness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H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ydrocephalus</w:t>
            </w:r>
          </w:p>
        </w:tc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Intracranial hematoma or edema reported on CT or MRI with altered consciousness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Second craniotomy</w:t>
            </w:r>
          </w:p>
        </w:tc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Intracranial hematoma or edema reported on CT or MRI with altered consciousness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Septic shock</w:t>
            </w:r>
          </w:p>
        </w:tc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Sofa score </w:t>
            </w:r>
            <w:r>
              <w:rPr>
                <w:rFonts w:hint="default" w:ascii="Arial" w:hAnsi="Arial" w:cs="Arial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Surgical SiteInfection</w:t>
            </w:r>
          </w:p>
        </w:tc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BE5F1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Inflammation, purulent secretion, positive secretion culture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Other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  <w:t>complications</w:t>
            </w:r>
          </w:p>
        </w:tc>
        <w:tc>
          <w:tcPr>
            <w:tcW w:w="4261" w:type="dxa"/>
            <w:tcBorders>
              <w:top w:val="dotted" w:color="auto" w:sz="4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</w:rPr>
            </w:pPr>
          </w:p>
        </w:tc>
      </w:tr>
    </w:tbl>
    <w:p>
      <w:pP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vertAlign w:val="baseline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4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vertAlign w:val="baseline"/>
        </w:rPr>
        <w:t>CTP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vertAlign w:val="baseline"/>
          <w:lang w:val="en-US" w:eastAsia="zh-CN"/>
        </w:rPr>
        <w:t>: computer tomography pulmonary angiography; CT: computerized tomography; MRI: magnetic resonance imaging; Sofa: Sequential organ failure asses.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C3A15"/>
    <w:rsid w:val="33BA3D1D"/>
    <w:rsid w:val="40423D81"/>
    <w:rsid w:val="4A7D2EA4"/>
    <w:rsid w:val="4BF57EA6"/>
    <w:rsid w:val="4FEC3A15"/>
    <w:rsid w:val="6E8B3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2021-11-01T02:29:00Z</dcterms:created>
  <dc:creator>小月 `Gabriel</dc:creator>
  <cp:lastModifiedBy>小月 `Gabriel</cp:lastModifiedBy>
  <dcterms:modified xsi:type="dcterms:W3CDTF">2021-11-12T03:00:37Z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226094C2DB3D4F76AFD4D6887DB6A6E7</vt:lpwstr>
  </property>
</Properties>
</file>