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Calibri" w:hAnsi="宋体" w:eastAsia="宋体" w:cs="宋体"/>
          <w:color w:val="231F20"/>
          <w:kern w:val="0"/>
          <w:sz w:val="21"/>
          <w:szCs w:val="21"/>
          <w:lang w:val="en-US" w:eastAsia="zh-CN" w:bidi="ar"/>
        </w:rPr>
      </w:pPr>
      <w:r>
        <w:rPr>
          <w:rFonts w:hint="eastAsia" w:ascii="Calibri" w:hAnsi="宋体" w:eastAsia="宋体" w:cs="宋体"/>
          <w:color w:val="231F20"/>
          <w:kern w:val="0"/>
          <w:sz w:val="21"/>
          <w:szCs w:val="21"/>
          <w:lang w:val="en-US" w:eastAsia="zh-CN" w:bidi="ar"/>
        </w:rPr>
        <w:t>Table 1. Characteristics of 347 patients with PTCL based on the LMR and PMR.</w:t>
      </w:r>
    </w:p>
    <w:tbl>
      <w:tblPr>
        <w:tblStyle w:val="3"/>
        <w:tblW w:w="10100" w:type="dxa"/>
        <w:tblInd w:w="-784" w:type="dxa"/>
        <w:tblBorders>
          <w:top w:val="single" w:color="auto" w:sz="4" w:space="0"/>
          <w:left w:val="single" w:color="FFFFFF" w:sz="4" w:space="0"/>
          <w:bottom w:val="single" w:color="auto" w:sz="4" w:space="0"/>
          <w:right w:val="single" w:color="FFFFFF" w:sz="4" w:space="0"/>
          <w:insideH w:val="single" w:color="000000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0"/>
      </w:tblGrid>
      <w:tr>
        <w:tblPrEx>
          <w:tblBorders>
            <w:top w:val="single" w:color="auto" w:sz="4" w:space="0"/>
            <w:left w:val="single" w:color="FFFFFF" w:sz="4" w:space="0"/>
            <w:bottom w:val="single" w:color="auto" w:sz="4" w:space="0"/>
            <w:right w:val="single" w:color="FFFFFF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00" w:type="dxa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21"/>
                <w:szCs w:val="21"/>
                <w:lang w:val="en-US" w:eastAsia="zh-CN" w:bidi="ar"/>
              </w:rPr>
              <w:t>Characteristic        Total      LMR≤1.68    LMR＞1.68            PMR≤300    PMR＞300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21"/>
                <w:szCs w:val="21"/>
                <w:lang w:val="en-US" w:eastAsia="zh-CN" w:bidi="ar"/>
              </w:rPr>
              <w:t xml:space="preserve">                 （n=347）   （n=127）    （n=220）   p Value   （n=126）   （n=221）  p Value</w:t>
            </w:r>
          </w:p>
        </w:tc>
      </w:tr>
      <w:tr>
        <w:tblPrEx>
          <w:tblBorders>
            <w:top w:val="single" w:color="auto" w:sz="4" w:space="0"/>
            <w:left w:val="single" w:color="FFFFFF" w:sz="4" w:space="0"/>
            <w:bottom w:val="single" w:color="auto" w:sz="4" w:space="0"/>
            <w:right w:val="single" w:color="FFFFFF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</w:trPr>
        <w:tc>
          <w:tcPr>
            <w:tcW w:w="10100" w:type="dxa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Age                                                             0.063                                  0.202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＜60years             222(64.0)       73(57.5)        149(67.7)                  75(59.5)       147(66.5)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≥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60years             125(36.0)       54(42.5)         71(32.3)                  51(40.5)        74(33.5)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Sex                                                             0.482                                  0.289</w:t>
            </w:r>
          </w:p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Male               229(66.0)       87(68.5)        142(64.5)                  88(69.8)        141(63.8)</w:t>
            </w:r>
          </w:p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Female             118(34.0)       40(31.5)         78(35.5)                  38(30.2)         80(36.2)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IPI                           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0-2                 154(44.4)      29(22.8)         125(56.8)                 27(21.4)        127(57.5)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3-5                 193(55.6)      98(77.2)          95(43.2)                 99(78.6)         94(42.5)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ECOG                        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0-2                 241(69.5)      66(52.0)         175(79.5)                 64(50.8)         44(19.9)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3-5                 106(30.5)      61(48.0)          45(20.5)                 62(49.2)        177(80.1)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Stage                        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210" w:leftChars="0" w:firstLine="0" w:firstLineChars="0"/>
              <w:jc w:val="left"/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II                  65(18.7)       1(0.8)           64(29.1)                  6(4.8)          59(26.7)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III-IV               282(81.3)      126(99.2)        156(70.9)                 120(95.2)       162(73.3)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B symptoms                   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Yes                 203(58.5)      97(76.4)        106(48.2)                  94(74.6)        109(49.3)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No                 144(41.5)      30(23.6)        114(51.8)                  32(25.4)        112(50.7)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Histological                                                      0.330                                  0.018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subtype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PTCL,NOS           111(32.0)      45(35.4)         66(30.0)                    51(40.5)        60(27.1)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ENKTL              113(32.5)      32(25.2)         81(36.8)                    31(24.6)        82(37.1)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AITL                70(20.2)       27(21.2)         43(19.5)                   29(23.0)        41(18.6)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ALCL,ALK+           20(5.8)        10(7.9)          10(4.5)                     8(6.3)         12(5.4)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ALCL,ALK-           21(6.0)         7(5.5)          14(6.3)                     3(2.4)          18(8.1)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MEITL               4(1.2)         3(2.4)           1(0.5)                     1(0.8)          3(1.4)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SPTCL               5(1.4)         2(1.6)           3(1.4)                     1(0.8)          4(1.8)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HSTCL               2(0.6)         1(0.8)           1(0.5)                     2(1.6)          0(0.0)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MF/SS               1(0.3)         0(0.0)           1(0.5)                     0(0.0)          1(0.5)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Bone marrow                                                    0.005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Involvement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Yes                 119(34.3)      56(44.1)        63(28.6)                   75(59.5)        44(19.9)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No                 228(65.7)      71(55.9)       157(71.4)                   51(40.5)       177(80.1)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Albumin（g/l）                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＜35                112(32.3)     66(52.0)        46(20.9)                    64(50.8)         48(21.7)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≥35                235(67.7)     61(48.0)       174(79.1)                    62(49.2)        173(78.3)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EBV                                                            0.165                                   0.074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Positive              224(64.6)     88(69.3)       136(61.8)                    89(70.6)        135(61.1)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egative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123(35.4)     39(30.7)        84(38.2)                    37(29.4)         86(38.9)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Extra-nodal                    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Involvement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＞1                 163(47.0)    83(65.4)        80(36.4)                    82(65.1)       81(36.7)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0, 1                 184(53.0)    44(34.6)       140(63.6)                    44(34.9)      140(63.3)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Elevated LDH 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sz w:val="18"/>
                <w:szCs w:val="18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level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Yes                  222(64.0)    99(78.0)       123(55.9)                   100(79.4)      122(55.2)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No                  125(36.0)    28(22.0)        97(44.1)                    26(20.6)       99(44.8)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Elevated 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宋体" w:eastAsia="宋体" w:cs="宋体"/>
                <w:sz w:val="18"/>
                <w:szCs w:val="18"/>
              </w:rPr>
            </w:pP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β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Calibri" w:hAnsi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>-MG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lang w:val="en-US" w:eastAsia="zh-CN" w:bidi="ar"/>
              </w:rPr>
              <w:t xml:space="preserve"> level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Yes                  222(64.0)   100(78.7)       122(55.5)                    97(77.0)      125(56.6)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No                  125(36.0)    27(21.3)        98(44.5)                    29(23.0)       96(43.4)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LY(×10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vertAlign w:val="superscript"/>
                <w:lang w:val="en-US" w:eastAsia="zh-CN" w:bidi="ar"/>
              </w:rPr>
              <w:t>9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/L)           1.06(0.1-7.24)  0.7(0.1-2.5)    1.3(0.1-7.24)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0.9(0.1-6.0)     1.2(0.1-7.24)   0.182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MONO(×10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vertAlign w:val="superscript"/>
                <w:lang w:val="en-US" w:eastAsia="zh-CN" w:bidi="ar"/>
              </w:rPr>
              <w:t>9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/L)       0.49(0.04-1.83) 0.64(0.08-1.83) 0.45(0.04-1.34)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0.67(0.04-1.83)  0.42(0.04-1.19)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PLT(×10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vertAlign w:val="superscript"/>
                <w:lang w:val="en-US" w:eastAsia="zh-CN" w:bidi="ar"/>
              </w:rPr>
              <w:t>9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/L)          178(2-637)    147(14-557)    195.5(2-637)      0.003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vertAlign w:val="superscript"/>
                <w:lang w:val="en-US" w:eastAsia="zh-CN" w:bidi="ar"/>
              </w:rPr>
              <w:t xml:space="preserve">* 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110(2-537)     213(44-637)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Attainment </w:t>
            </w: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>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                               ＜0.001</w:t>
            </w:r>
            <w:r>
              <w:rPr>
                <w:rFonts w:hint="eastAsia" w:ascii="Calibri" w:hAnsi="宋体" w:eastAsia="宋体" w:cs="宋体"/>
                <w:color w:val="231F20"/>
                <w:kern w:val="0"/>
                <w:sz w:val="18"/>
                <w:szCs w:val="18"/>
                <w:vertAlign w:val="superscript"/>
                <w:lang w:val="en-US" w:eastAsia="zh-CN" w:bidi="ar"/>
              </w:rPr>
              <w:t>*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of CR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Yes                  117(33.7)    18(14.2)       99(45.0)                     18(14.3)      99(44.8)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No                  230(66.3)   109(85.8)       121(55.0)                   108(85.7)      122(55.2)</w:t>
            </w:r>
          </w:p>
        </w:tc>
      </w:tr>
    </w:tbl>
    <w:p>
      <w:pPr>
        <w:widowControl/>
        <w:jc w:val="left"/>
        <w:rPr>
          <w:rFonts w:hint="eastAsia" w:hAnsi="宋体" w:eastAsia="宋体" w:cs="宋体"/>
          <w:kern w:val="0"/>
          <w:sz w:val="18"/>
          <w:szCs w:val="18"/>
        </w:rPr>
      </w:pPr>
      <w:r>
        <w:rPr>
          <w:rFonts w:hint="eastAsia" w:hAnsi="宋体" w:eastAsia="宋体" w:cs="宋体"/>
          <w:kern w:val="0"/>
          <w:sz w:val="18"/>
          <w:szCs w:val="18"/>
        </w:rPr>
        <w:t>IPI: International Prognostic Index; ECOG:Eastern Cooperative Oncology Group; PTCL: Peripheral T-cell lymphoma; PTCL-NOS: PTCL-not otherwise specifified; ENKTL:extra-nodal NK/T</w:t>
      </w:r>
      <w:r>
        <w:rPr>
          <w:rFonts w:hint="eastAsia" w:hAnsi="宋体" w:eastAsia="宋体" w:cs="宋体"/>
          <w:kern w:val="0"/>
          <w:sz w:val="18"/>
          <w:szCs w:val="18"/>
          <w:lang w:val="en-US" w:eastAsia="zh-CN"/>
        </w:rPr>
        <w:t>-</w:t>
      </w:r>
      <w:r>
        <w:rPr>
          <w:rFonts w:hint="eastAsia" w:hAnsi="宋体" w:eastAsia="宋体" w:cs="宋体"/>
          <w:kern w:val="0"/>
          <w:sz w:val="18"/>
          <w:szCs w:val="18"/>
        </w:rPr>
        <w:t xml:space="preserve">cell lymphoma, nasal type ; AITL: angioimmunoblastic T-cell lymphoma; ALCL,ALK+: anaplastic lymphoma kinase positive; ALCL,ALK−: anaplastic lymphoma kinase negative; </w:t>
      </w:r>
      <w:r>
        <w:rPr>
          <w:rFonts w:hint="eastAsia" w:hAnsi="宋体" w:eastAsia="宋体" w:cs="宋体"/>
          <w:kern w:val="0"/>
          <w:sz w:val="18"/>
          <w:szCs w:val="18"/>
          <w:lang w:val="en-US" w:eastAsia="zh-CN"/>
        </w:rPr>
        <w:t xml:space="preserve">MEITL: </w:t>
      </w:r>
      <w:r>
        <w:rPr>
          <w:rFonts w:hint="eastAsia" w:hAnsi="宋体" w:eastAsia="宋体" w:cs="宋体"/>
          <w:sz w:val="18"/>
          <w:szCs w:val="18"/>
        </w:rPr>
        <w:t>monomorphic epitheliotropic intestinal T-cell lymphoma</w:t>
      </w:r>
      <w:r>
        <w:rPr>
          <w:rFonts w:hint="eastAsia" w:hAnsi="宋体" w:eastAsia="宋体" w:cs="宋体"/>
          <w:sz w:val="18"/>
          <w:szCs w:val="18"/>
          <w:lang w:val="en-US" w:eastAsia="zh-CN"/>
        </w:rPr>
        <w:t xml:space="preserve">; </w:t>
      </w:r>
      <w:r>
        <w:rPr>
          <w:rFonts w:hint="eastAsia" w:hAnsi="宋体" w:eastAsia="宋体" w:cs="宋体"/>
          <w:sz w:val="18"/>
          <w:szCs w:val="18"/>
        </w:rPr>
        <w:t>SPTCL</w:t>
      </w:r>
      <w:r>
        <w:rPr>
          <w:rFonts w:hint="eastAsia" w:hAnsi="宋体" w:eastAsia="宋体" w:cs="宋体"/>
          <w:sz w:val="18"/>
          <w:szCs w:val="18"/>
          <w:lang w:val="en-US" w:eastAsia="zh-CN"/>
        </w:rPr>
        <w:t xml:space="preserve">: </w:t>
      </w:r>
      <w:r>
        <w:rPr>
          <w:rFonts w:hint="eastAsia" w:hAnsi="宋体" w:eastAsia="宋体" w:cs="宋体"/>
          <w:sz w:val="18"/>
          <w:szCs w:val="18"/>
        </w:rPr>
        <w:t>subcutaneous panniculitis-like T-cell lymphoma</w:t>
      </w:r>
      <w:r>
        <w:rPr>
          <w:rFonts w:hint="eastAsia" w:hAnsi="宋体" w:eastAsia="宋体" w:cs="宋体"/>
          <w:sz w:val="18"/>
          <w:szCs w:val="18"/>
          <w:lang w:val="en-US" w:eastAsia="zh-CN"/>
        </w:rPr>
        <w:t xml:space="preserve">; HSTCL: hepatosplenic T-cell lymphoma; </w:t>
      </w:r>
      <w:r>
        <w:rPr>
          <w:rFonts w:hint="eastAsia" w:hAnsi="宋体" w:eastAsia="宋体" w:cs="宋体"/>
          <w:sz w:val="18"/>
          <w:szCs w:val="18"/>
        </w:rPr>
        <w:t>MF/SS</w:t>
      </w:r>
      <w:r>
        <w:rPr>
          <w:rFonts w:hint="eastAsia" w:hAnsi="宋体" w:eastAsia="宋体" w:cs="宋体"/>
          <w:sz w:val="18"/>
          <w:szCs w:val="18"/>
          <w:lang w:val="en-US" w:eastAsia="zh-CN"/>
        </w:rPr>
        <w:t xml:space="preserve">: </w:t>
      </w:r>
      <w:r>
        <w:rPr>
          <w:rFonts w:hint="eastAsia" w:hAnsi="宋体" w:eastAsia="宋体" w:cs="宋体"/>
          <w:sz w:val="18"/>
          <w:szCs w:val="18"/>
        </w:rPr>
        <w:t>mycosisfungoides/Sezary</w:t>
      </w:r>
      <w:r>
        <w:t>’</w:t>
      </w:r>
      <w:r>
        <w:rPr>
          <w:rFonts w:hint="eastAsia" w:hAnsi="宋体" w:eastAsia="宋体" w:cs="宋体"/>
          <w:sz w:val="18"/>
          <w:szCs w:val="18"/>
        </w:rPr>
        <w:t>s syndrome;</w:t>
      </w:r>
      <w:r>
        <w:rPr>
          <w:rFonts w:hint="eastAsia" w:hAnsi="宋体" w:eastAsia="宋体" w:cs="宋体"/>
          <w:sz w:val="18"/>
          <w:szCs w:val="18"/>
          <w:lang w:val="en-US" w:eastAsia="zh-CN"/>
        </w:rPr>
        <w:t xml:space="preserve"> </w:t>
      </w:r>
      <w:r>
        <w:rPr>
          <w:rFonts w:hint="eastAsia" w:hAnsi="宋体" w:eastAsia="宋体" w:cs="宋体"/>
          <w:kern w:val="0"/>
          <w:sz w:val="18"/>
          <w:szCs w:val="18"/>
        </w:rPr>
        <w:t>EBV: Epstein-barr virus;</w:t>
      </w:r>
      <w:r>
        <w:rPr>
          <w:rFonts w:hint="eastAsia" w:hAnsi="宋体" w:eastAsia="宋体" w:cs="宋体"/>
          <w:kern w:val="0"/>
          <w:sz w:val="18"/>
          <w:szCs w:val="18"/>
          <w:lang w:val="en-US" w:eastAsia="zh-CN"/>
        </w:rPr>
        <w:t xml:space="preserve"> LDH: lactic dehydrogenase; </w:t>
      </w:r>
      <w:r>
        <w:rPr>
          <w:rFonts w:hint="eastAsia" w:hAnsi="宋体" w:eastAsia="宋体" w:cs="宋体"/>
          <w:kern w:val="0"/>
          <w:sz w:val="18"/>
          <w:szCs w:val="18"/>
        </w:rPr>
        <w:t>β2-MG: beta-2 micro-globulin;</w:t>
      </w:r>
      <w:r>
        <w:rPr>
          <w:rFonts w:hint="eastAsia" w:hAnsi="宋体" w:cs="宋体"/>
          <w:kern w:val="0"/>
          <w:sz w:val="18"/>
          <w:szCs w:val="18"/>
          <w:lang w:val="en-US" w:eastAsia="zh-CN"/>
        </w:rPr>
        <w:t xml:space="preserve"> LY: lymphocyte; MONO: monocyte; PLT: platelet; </w:t>
      </w:r>
      <w:r>
        <w:rPr>
          <w:rFonts w:hint="eastAsia" w:hAnsi="宋体" w:eastAsia="宋体" w:cs="宋体"/>
          <w:kern w:val="0"/>
          <w:sz w:val="18"/>
          <w:szCs w:val="18"/>
        </w:rPr>
        <w:t>CR: complete response.</w:t>
      </w:r>
    </w:p>
    <w:p>
      <w:pPr>
        <w:widowControl/>
        <w:jc w:val="both"/>
        <w:rPr>
          <w:rFonts w:hint="eastAsia" w:hAnsi="宋体" w:eastAsia="宋体" w:cs="宋体"/>
          <w:kern w:val="0"/>
          <w:sz w:val="18"/>
          <w:szCs w:val="18"/>
        </w:rPr>
      </w:pPr>
      <w:r>
        <w:rPr>
          <w:rFonts w:hint="eastAsia" w:ascii="Calibri" w:hAnsi="宋体" w:eastAsia="宋体" w:cs="宋体"/>
          <w:kern w:val="0"/>
          <w:sz w:val="18"/>
          <w:szCs w:val="18"/>
          <w:vertAlign w:val="superscript"/>
        </w:rPr>
        <w:t>*</w:t>
      </w:r>
      <w:r>
        <w:rPr>
          <w:rFonts w:hint="eastAsia" w:ascii="Calibri" w:hAnsi="宋体" w:eastAsia="宋体" w:cs="宋体"/>
          <w:kern w:val="0"/>
          <w:sz w:val="18"/>
          <w:szCs w:val="18"/>
        </w:rPr>
        <w:t>Significantly different.</w:t>
      </w:r>
    </w:p>
    <w:p>
      <w:r>
        <w:rPr>
          <w:rFonts w:hint="eastAsia" w:ascii="Calibri" w:hAnsi="宋体" w:eastAsia="宋体" w:cs="宋体"/>
          <w:kern w:val="0"/>
          <w:sz w:val="18"/>
          <w:szCs w:val="18"/>
          <w:lang w:val="en-US" w:eastAsia="zh-CN"/>
        </w:rPr>
        <w:t>Categorical variables</w:t>
      </w:r>
      <w:r>
        <w:rPr>
          <w:rFonts w:hint="eastAsia" w:ascii="Calibri" w:hAnsi="宋体" w:eastAsia="宋体" w:cs="宋体"/>
          <w:kern w:val="0"/>
          <w:sz w:val="18"/>
          <w:szCs w:val="18"/>
        </w:rPr>
        <w:t xml:space="preserve"> are </w:t>
      </w:r>
      <w:r>
        <w:rPr>
          <w:rFonts w:hint="eastAsia" w:ascii="Calibri" w:hAnsi="宋体" w:eastAsia="宋体" w:cs="宋体"/>
          <w:kern w:val="0"/>
          <w:sz w:val="18"/>
          <w:szCs w:val="18"/>
          <w:lang w:val="en-US" w:eastAsia="zh-CN"/>
        </w:rPr>
        <w:t>expressed in</w:t>
      </w:r>
      <w:r>
        <w:rPr>
          <w:rFonts w:hint="eastAsia" w:ascii="Calibri" w:hAnsi="宋体" w:eastAsia="宋体" w:cs="宋体"/>
          <w:kern w:val="0"/>
          <w:sz w:val="18"/>
          <w:szCs w:val="18"/>
        </w:rPr>
        <w:t xml:space="preserve"> frequency and percentage (n, %)</w:t>
      </w:r>
      <w:r>
        <w:rPr>
          <w:rFonts w:hint="eastAsia" w:ascii="Calibri" w:hAnsi="宋体" w:eastAsia="宋体" w:cs="宋体"/>
          <w:kern w:val="0"/>
          <w:sz w:val="18"/>
          <w:szCs w:val="18"/>
          <w:lang w:val="en-US" w:eastAsia="zh-CN"/>
        </w:rPr>
        <w:t xml:space="preserve">; </w:t>
      </w:r>
      <w:r>
        <w:rPr>
          <w:rFonts w:ascii="Calibri" w:hAnsi="AdvTT6120e2aa" w:eastAsia="AdvTT6120e2aa" w:cs="AdvTT6120e2aa"/>
          <w:color w:val="231F20"/>
          <w:kern w:val="0"/>
          <w:sz w:val="18"/>
          <w:szCs w:val="18"/>
          <w:lang w:val="en-US" w:eastAsia="zh-CN" w:bidi="ar"/>
        </w:rPr>
        <w:t>Continuous variables</w:t>
      </w:r>
      <w:r>
        <w:rPr>
          <w:rFonts w:hint="eastAsia" w:ascii="Calibri" w:hAnsi="AdvTT6120e2aa" w:eastAsia="AdvTT6120e2aa" w:cs="AdvTT6120e2aa"/>
          <w:color w:val="231F20"/>
          <w:kern w:val="0"/>
          <w:sz w:val="18"/>
          <w:szCs w:val="18"/>
          <w:lang w:val="en-US" w:eastAsia="zh-CN" w:bidi="ar"/>
        </w:rPr>
        <w:t xml:space="preserve"> </w:t>
      </w:r>
      <w:r>
        <w:rPr>
          <w:rFonts w:hint="eastAsia" w:ascii="Calibri" w:hAnsi="宋体" w:eastAsia="宋体" w:cs="宋体"/>
          <w:kern w:val="0"/>
          <w:sz w:val="18"/>
          <w:szCs w:val="18"/>
        </w:rPr>
        <w:t xml:space="preserve">are </w:t>
      </w:r>
      <w:r>
        <w:rPr>
          <w:rFonts w:hint="eastAsia" w:ascii="Calibri" w:hAnsi="宋体" w:eastAsia="宋体" w:cs="宋体"/>
          <w:kern w:val="0"/>
          <w:sz w:val="18"/>
          <w:szCs w:val="18"/>
          <w:lang w:val="en-US" w:eastAsia="zh-CN"/>
        </w:rPr>
        <w:t>expressed in median with range of minimum to maximum.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6120e2aa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C9FBEB"/>
    <w:multiLevelType w:val="singleLevel"/>
    <w:tmpl w:val="8BC9FBEB"/>
    <w:lvl w:ilvl="0" w:tentative="0">
      <w:start w:val="1"/>
      <w:numFmt w:val="upperRoman"/>
      <w:suff w:val="nothing"/>
      <w:lvlText w:val="%1-"/>
      <w:lvlJc w:val="left"/>
      <w:pPr>
        <w:ind w:left="21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1F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2020-11-24T03:02:18Z</dcterms:created>
  <dc:creator>acer</dc:creator>
  <cp:lastModifiedBy>WPS_1597763605</cp:lastModifiedBy>
  <dcterms:modified xsi:type="dcterms:W3CDTF">2020-11-24T03:02:24Z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