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3F49C" w14:textId="77777777" w:rsidR="001210C7" w:rsidRPr="001210C7" w:rsidRDefault="00A202EA" w:rsidP="001210C7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202EA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</w:t>
      </w:r>
      <w:r w:rsidRPr="00A202E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ppendix for: </w:t>
      </w:r>
      <w:r w:rsidR="00281D8E" w:rsidRPr="00281D8E">
        <w:rPr>
          <w:rFonts w:ascii="Times New Roman" w:eastAsia="宋体" w:hAnsi="Times New Roman" w:cs="Times New Roman"/>
          <w:b/>
          <w:bCs/>
          <w:sz w:val="24"/>
          <w:szCs w:val="24"/>
        </w:rPr>
        <w:t>The add-on effects of Danhong injection among patients with ischemic stroke receiving western medicines</w:t>
      </w:r>
      <w:r w:rsidR="001210C7" w:rsidRPr="001210C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: A systematic review and </w:t>
      </w:r>
    </w:p>
    <w:p w14:paraId="1E689F2C" w14:textId="119BE63B" w:rsidR="00A202EA" w:rsidRPr="00A202EA" w:rsidRDefault="001210C7" w:rsidP="001210C7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210C7">
        <w:rPr>
          <w:rFonts w:ascii="Times New Roman" w:eastAsia="宋体" w:hAnsi="Times New Roman" w:cs="Times New Roman"/>
          <w:b/>
          <w:bCs/>
          <w:sz w:val="24"/>
          <w:szCs w:val="24"/>
        </w:rPr>
        <w:t>meta-analysis</w:t>
      </w:r>
    </w:p>
    <w:p w14:paraId="2F9C68AE" w14:textId="3072CD5C" w:rsidR="00A202EA" w:rsidRDefault="00A202EA" w:rsidP="00A202EA">
      <w:pPr>
        <w:rPr>
          <w:rFonts w:ascii="Times New Roman" w:hAnsi="Times New Roman" w:cs="Times New Roman"/>
          <w:b/>
          <w:sz w:val="22"/>
        </w:rPr>
      </w:pPr>
    </w:p>
    <w:p w14:paraId="3F3D196A" w14:textId="77777777" w:rsidR="00A202EA" w:rsidRPr="00A202EA" w:rsidRDefault="00A202EA" w:rsidP="00A202EA">
      <w:pPr>
        <w:rPr>
          <w:rFonts w:ascii="Times New Roman" w:hAnsi="Times New Roman" w:cs="Times New Roman"/>
          <w:b/>
          <w:sz w:val="22"/>
        </w:rPr>
      </w:pPr>
    </w:p>
    <w:p w14:paraId="5E200260" w14:textId="725B320F" w:rsidR="0022467E" w:rsidRDefault="00E65F42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Appendix </w:t>
      </w:r>
      <w:r w:rsidR="009E7154">
        <w:rPr>
          <w:rFonts w:ascii="Times New Roman" w:hAnsi="Times New Roman" w:cs="Times New Roman"/>
          <w:b/>
          <w:sz w:val="22"/>
        </w:rPr>
        <w:t>2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Pr="00A202EA">
        <w:rPr>
          <w:rFonts w:ascii="Times New Roman" w:hAnsi="Times New Roman" w:cs="Times New Roman"/>
          <w:bCs/>
          <w:sz w:val="22"/>
        </w:rPr>
        <w:t xml:space="preserve">Supplementary </w:t>
      </w:r>
      <w:r w:rsidRPr="00A202EA">
        <w:rPr>
          <w:rFonts w:ascii="Times New Roman" w:hAnsi="Times New Roman" w:cs="Times New Roman" w:hint="eastAsia"/>
          <w:bCs/>
          <w:sz w:val="22"/>
        </w:rPr>
        <w:t>figure</w:t>
      </w:r>
      <w:r w:rsidRPr="00A202EA">
        <w:rPr>
          <w:rFonts w:ascii="Times New Roman" w:hAnsi="Times New Roman" w:cs="Times New Roman"/>
          <w:bCs/>
          <w:sz w:val="22"/>
        </w:rPr>
        <w:t>s</w:t>
      </w:r>
    </w:p>
    <w:p w14:paraId="0D08033B" w14:textId="77777777" w:rsidR="0022467E" w:rsidRDefault="0022467E">
      <w:pPr>
        <w:rPr>
          <w:sz w:val="20"/>
          <w:szCs w:val="21"/>
        </w:rPr>
      </w:pPr>
    </w:p>
    <w:p w14:paraId="07B2714D" w14:textId="6AB51826" w:rsidR="0022467E" w:rsidRPr="001210C7" w:rsidRDefault="001210C7">
      <w:pPr>
        <w:rPr>
          <w:rFonts w:hint="eastAsia"/>
          <w:sz w:val="20"/>
          <w:szCs w:val="21"/>
        </w:rPr>
      </w:pPr>
      <w:r w:rsidRPr="001210C7">
        <w:rPr>
          <w:sz w:val="20"/>
          <w:szCs w:val="21"/>
        </w:rPr>
        <w:drawing>
          <wp:inline distT="0" distB="0" distL="0" distR="0" wp14:anchorId="5DA8079B" wp14:editId="04A0986F">
            <wp:extent cx="5274310" cy="19646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15709" w14:textId="2382F2CE" w:rsidR="0022467E" w:rsidRDefault="00E65F42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S1. </w:t>
      </w:r>
      <w:r w:rsidR="00281D8E" w:rsidRPr="00281D8E">
        <w:rPr>
          <w:rFonts w:ascii="Times New Roman" w:hAnsi="Times New Roman" w:cs="Times New Roman"/>
          <w:bCs/>
          <w:sz w:val="22"/>
        </w:rPr>
        <w:t>Meta-analysis of Barthel index between DHI+WM and WM in patients with Ischemic Stroke</w:t>
      </w:r>
    </w:p>
    <w:p w14:paraId="2564D9B9" w14:textId="77777777" w:rsidR="0022467E" w:rsidRDefault="0022467E">
      <w:pPr>
        <w:rPr>
          <w:sz w:val="20"/>
          <w:szCs w:val="21"/>
        </w:rPr>
      </w:pPr>
    </w:p>
    <w:p w14:paraId="290165CD" w14:textId="77777777" w:rsidR="0022467E" w:rsidRDefault="0022467E">
      <w:pPr>
        <w:rPr>
          <w:sz w:val="20"/>
          <w:szCs w:val="21"/>
        </w:rPr>
      </w:pPr>
    </w:p>
    <w:p w14:paraId="35AB29E9" w14:textId="77777777" w:rsidR="0022467E" w:rsidRDefault="0022467E">
      <w:pPr>
        <w:rPr>
          <w:sz w:val="20"/>
          <w:szCs w:val="21"/>
        </w:rPr>
      </w:pPr>
    </w:p>
    <w:p w14:paraId="0273B194" w14:textId="49E7F8F3" w:rsidR="0022467E" w:rsidRDefault="001210C7">
      <w:pPr>
        <w:rPr>
          <w:rFonts w:ascii="Times New Roman" w:hAnsi="Times New Roman" w:cs="Times New Roman"/>
          <w:b/>
          <w:sz w:val="22"/>
        </w:rPr>
      </w:pPr>
      <w:r w:rsidRPr="001210C7">
        <w:rPr>
          <w:rFonts w:ascii="Times New Roman" w:hAnsi="Times New Roman" w:cs="Times New Roman"/>
          <w:b/>
          <w:sz w:val="22"/>
        </w:rPr>
        <w:drawing>
          <wp:inline distT="0" distB="0" distL="0" distR="0" wp14:anchorId="63466136" wp14:editId="214ECA49">
            <wp:extent cx="5274310" cy="17773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03DC1" w14:textId="61C43528" w:rsidR="0022467E" w:rsidRDefault="00E65F42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S2. </w:t>
      </w:r>
      <w:r w:rsidR="00281D8E" w:rsidRPr="00281D8E">
        <w:rPr>
          <w:rFonts w:ascii="Times New Roman" w:hAnsi="Times New Roman" w:cs="Times New Roman"/>
          <w:bCs/>
          <w:sz w:val="22"/>
        </w:rPr>
        <w:t>Meta-analysis of ADL between DHI+WM and WM in patients with Ischemic Stroke</w:t>
      </w:r>
    </w:p>
    <w:p w14:paraId="0BFDD76E" w14:textId="77777777" w:rsidR="0022467E" w:rsidRDefault="0022467E">
      <w:pPr>
        <w:rPr>
          <w:sz w:val="20"/>
          <w:szCs w:val="21"/>
        </w:rPr>
      </w:pPr>
    </w:p>
    <w:p w14:paraId="243E57ED" w14:textId="77777777" w:rsidR="0022467E" w:rsidRDefault="0022467E">
      <w:pPr>
        <w:rPr>
          <w:sz w:val="20"/>
          <w:szCs w:val="21"/>
        </w:rPr>
      </w:pPr>
    </w:p>
    <w:p w14:paraId="06BFE516" w14:textId="77777777" w:rsidR="0022467E" w:rsidRDefault="0022467E">
      <w:pPr>
        <w:rPr>
          <w:sz w:val="20"/>
          <w:szCs w:val="21"/>
        </w:rPr>
      </w:pPr>
    </w:p>
    <w:p w14:paraId="0AC42322" w14:textId="62853B36" w:rsidR="0022467E" w:rsidRDefault="00281D8E">
      <w:pPr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11AEA60A" wp14:editId="49A880FA">
            <wp:extent cx="5274310" cy="9398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4944A" w14:textId="1CEAD887" w:rsidR="0022467E" w:rsidRDefault="00E65F42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 xml:space="preserve">Figure S3. </w:t>
      </w:r>
      <w:r>
        <w:rPr>
          <w:rFonts w:ascii="Times New Roman" w:hAnsi="Times New Roman" w:cs="Times New Roman"/>
          <w:bCs/>
          <w:sz w:val="22"/>
        </w:rPr>
        <w:t xml:space="preserve">Meta-analysis of IMT between DHI+WM and WM in patients with </w:t>
      </w:r>
      <w:r w:rsidR="00281D8E" w:rsidRPr="00281D8E">
        <w:rPr>
          <w:rFonts w:ascii="Times New Roman" w:hAnsi="Times New Roman" w:cs="Times New Roman"/>
          <w:bCs/>
          <w:sz w:val="22"/>
        </w:rPr>
        <w:t>Ischemic Stroke</w:t>
      </w:r>
    </w:p>
    <w:p w14:paraId="7639928D" w14:textId="77777777" w:rsidR="0022467E" w:rsidRDefault="0022467E">
      <w:pPr>
        <w:rPr>
          <w:sz w:val="20"/>
          <w:szCs w:val="21"/>
        </w:rPr>
      </w:pPr>
    </w:p>
    <w:p w14:paraId="19B829DB" w14:textId="77777777" w:rsidR="0022467E" w:rsidRDefault="0022467E">
      <w:pPr>
        <w:rPr>
          <w:sz w:val="20"/>
          <w:szCs w:val="21"/>
        </w:rPr>
      </w:pPr>
    </w:p>
    <w:p w14:paraId="492A6923" w14:textId="77777777" w:rsidR="0022467E" w:rsidRDefault="0022467E">
      <w:pPr>
        <w:rPr>
          <w:sz w:val="20"/>
          <w:szCs w:val="21"/>
        </w:rPr>
      </w:pPr>
    </w:p>
    <w:p w14:paraId="7B102E7D" w14:textId="524B99D9" w:rsidR="0022467E" w:rsidRDefault="001210C7">
      <w:pPr>
        <w:rPr>
          <w:sz w:val="20"/>
          <w:szCs w:val="21"/>
        </w:rPr>
      </w:pPr>
      <w:r w:rsidRPr="001210C7">
        <w:rPr>
          <w:sz w:val="20"/>
          <w:szCs w:val="21"/>
        </w:rPr>
        <w:drawing>
          <wp:inline distT="0" distB="0" distL="0" distR="0" wp14:anchorId="3959F6BE" wp14:editId="1F10F040">
            <wp:extent cx="5274310" cy="84772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47C41" w14:textId="16B154B7" w:rsidR="0022467E" w:rsidRDefault="00E65F42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S4. </w:t>
      </w:r>
      <w:r>
        <w:rPr>
          <w:rFonts w:ascii="Times New Roman" w:hAnsi="Times New Roman" w:cs="Times New Roman"/>
          <w:bCs/>
          <w:sz w:val="22"/>
        </w:rPr>
        <w:t xml:space="preserve">Meta-analysis of Cerebral Blood Flow between DHI+WM and WM in patients with </w:t>
      </w:r>
      <w:r w:rsidR="00281D8E" w:rsidRPr="00281D8E">
        <w:rPr>
          <w:rFonts w:ascii="Times New Roman" w:hAnsi="Times New Roman" w:cs="Times New Roman"/>
          <w:bCs/>
          <w:sz w:val="22"/>
        </w:rPr>
        <w:t>Ischemic Stroke</w:t>
      </w:r>
    </w:p>
    <w:p w14:paraId="10AF936C" w14:textId="77777777" w:rsidR="0022467E" w:rsidRDefault="0022467E">
      <w:pPr>
        <w:rPr>
          <w:sz w:val="20"/>
          <w:szCs w:val="21"/>
        </w:rPr>
      </w:pPr>
    </w:p>
    <w:p w14:paraId="3AB7467D" w14:textId="77777777" w:rsidR="0022467E" w:rsidRDefault="0022467E">
      <w:pPr>
        <w:rPr>
          <w:sz w:val="20"/>
          <w:szCs w:val="21"/>
        </w:rPr>
      </w:pPr>
    </w:p>
    <w:p w14:paraId="2418025A" w14:textId="77777777" w:rsidR="0022467E" w:rsidRDefault="0022467E">
      <w:pPr>
        <w:rPr>
          <w:sz w:val="20"/>
          <w:szCs w:val="21"/>
        </w:rPr>
      </w:pPr>
    </w:p>
    <w:p w14:paraId="481F0179" w14:textId="3808CAAB" w:rsidR="0022467E" w:rsidRDefault="006A4463">
      <w:pPr>
        <w:rPr>
          <w:sz w:val="20"/>
          <w:szCs w:val="21"/>
        </w:rPr>
      </w:pPr>
      <w:r w:rsidRPr="006A4463">
        <w:rPr>
          <w:sz w:val="20"/>
          <w:szCs w:val="21"/>
        </w:rPr>
        <w:drawing>
          <wp:inline distT="0" distB="0" distL="0" distR="0" wp14:anchorId="4453DE95" wp14:editId="18084E74">
            <wp:extent cx="5274310" cy="113030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8636F" w14:textId="2C0A7B5F" w:rsidR="0022467E" w:rsidRDefault="00E65F42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S5. </w:t>
      </w:r>
      <w:r>
        <w:rPr>
          <w:rFonts w:ascii="Times New Roman" w:hAnsi="Times New Roman" w:cs="Times New Roman"/>
          <w:bCs/>
          <w:sz w:val="22"/>
        </w:rPr>
        <w:t xml:space="preserve">Meta-analysis of Average Cerebral Blood Flow Rate between DHI+WM and WM in patients with </w:t>
      </w:r>
      <w:r w:rsidR="00281D8E" w:rsidRPr="00281D8E">
        <w:rPr>
          <w:rFonts w:ascii="Times New Roman" w:hAnsi="Times New Roman" w:cs="Times New Roman"/>
          <w:bCs/>
          <w:sz w:val="22"/>
        </w:rPr>
        <w:t>Ischemic Stroke</w:t>
      </w:r>
    </w:p>
    <w:p w14:paraId="535B896B" w14:textId="77777777" w:rsidR="0022467E" w:rsidRDefault="0022467E">
      <w:pPr>
        <w:rPr>
          <w:sz w:val="20"/>
          <w:szCs w:val="21"/>
        </w:rPr>
      </w:pPr>
    </w:p>
    <w:p w14:paraId="79B39D84" w14:textId="77777777" w:rsidR="0022467E" w:rsidRDefault="0022467E">
      <w:pPr>
        <w:rPr>
          <w:sz w:val="20"/>
          <w:szCs w:val="21"/>
        </w:rPr>
      </w:pPr>
    </w:p>
    <w:p w14:paraId="7AAED460" w14:textId="77777777" w:rsidR="0022467E" w:rsidRDefault="0022467E">
      <w:pPr>
        <w:rPr>
          <w:sz w:val="20"/>
          <w:szCs w:val="21"/>
        </w:rPr>
      </w:pPr>
    </w:p>
    <w:p w14:paraId="201657CB" w14:textId="0133B8AE" w:rsidR="0022467E" w:rsidRDefault="00F41D3C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4E324B63" wp14:editId="22B59D0B">
            <wp:extent cx="5274310" cy="14122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2D666" w14:textId="42715B31" w:rsidR="0022467E" w:rsidRDefault="00E65F42">
      <w:pPr>
        <w:spacing w:line="360" w:lineRule="auto"/>
        <w:jc w:val="center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S6. </w:t>
      </w:r>
      <w:r>
        <w:rPr>
          <w:rFonts w:ascii="Times New Roman" w:hAnsi="Times New Roman" w:cs="Times New Roman"/>
          <w:bCs/>
          <w:sz w:val="22"/>
        </w:rPr>
        <w:t xml:space="preserve">Meta-analysis of </w:t>
      </w:r>
      <w:r w:rsidR="00F41D3C" w:rsidRPr="00F41D3C">
        <w:rPr>
          <w:rFonts w:ascii="Times New Roman" w:hAnsi="Times New Roman" w:cs="Times New Roman"/>
          <w:bCs/>
          <w:sz w:val="22"/>
        </w:rPr>
        <w:t>triglycerides</w:t>
      </w:r>
      <w:r>
        <w:rPr>
          <w:rFonts w:ascii="Times New Roman" w:hAnsi="Times New Roman" w:cs="Times New Roman"/>
          <w:bCs/>
          <w:sz w:val="22"/>
        </w:rPr>
        <w:t xml:space="preserve"> between DHI+WM and WM in patients with</w:t>
      </w:r>
      <w:r w:rsidR="00281D8E" w:rsidRPr="00281D8E">
        <w:rPr>
          <w:rFonts w:ascii="Times New Roman" w:hAnsi="Times New Roman" w:cs="Times New Roman"/>
          <w:bCs/>
          <w:sz w:val="22"/>
        </w:rPr>
        <w:t xml:space="preserve"> Ischemic Stroke</w:t>
      </w:r>
    </w:p>
    <w:p w14:paraId="7D57BDC0" w14:textId="77777777" w:rsidR="0022467E" w:rsidRPr="00F41D3C" w:rsidRDefault="0022467E">
      <w:pPr>
        <w:spacing w:line="360" w:lineRule="auto"/>
        <w:rPr>
          <w:rFonts w:ascii="Times New Roman" w:hAnsi="Times New Roman" w:cs="Times New Roman"/>
          <w:sz w:val="22"/>
        </w:rPr>
      </w:pPr>
    </w:p>
    <w:p w14:paraId="2A175F85" w14:textId="77777777" w:rsidR="0022467E" w:rsidRDefault="0022467E">
      <w:pPr>
        <w:rPr>
          <w:sz w:val="20"/>
          <w:szCs w:val="21"/>
        </w:rPr>
      </w:pPr>
    </w:p>
    <w:p w14:paraId="5DB83307" w14:textId="77777777" w:rsidR="0022467E" w:rsidRPr="00F41D3C" w:rsidRDefault="0022467E">
      <w:pPr>
        <w:rPr>
          <w:sz w:val="20"/>
          <w:szCs w:val="21"/>
        </w:rPr>
      </w:pPr>
    </w:p>
    <w:p w14:paraId="7E8A78D8" w14:textId="18871B12" w:rsidR="0022467E" w:rsidRDefault="00F41D3C">
      <w:pPr>
        <w:rPr>
          <w:sz w:val="20"/>
          <w:szCs w:val="21"/>
        </w:rPr>
      </w:pPr>
      <w:r>
        <w:rPr>
          <w:noProof/>
        </w:rPr>
        <w:lastRenderedPageBreak/>
        <w:drawing>
          <wp:inline distT="0" distB="0" distL="0" distR="0" wp14:anchorId="48FE1D4C" wp14:editId="00949B31">
            <wp:extent cx="5274310" cy="112966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AE67D" w14:textId="3215E1D1" w:rsidR="0022467E" w:rsidRDefault="00E65F42">
      <w:pPr>
        <w:spacing w:line="360" w:lineRule="auto"/>
        <w:jc w:val="center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S7. </w:t>
      </w:r>
      <w:r>
        <w:rPr>
          <w:rFonts w:ascii="Times New Roman" w:hAnsi="Times New Roman" w:cs="Times New Roman"/>
          <w:bCs/>
          <w:sz w:val="22"/>
        </w:rPr>
        <w:t>Meta-analysis of LDL between DHI+WM and WM in patients with</w:t>
      </w:r>
      <w:r w:rsidR="00281D8E" w:rsidRPr="00281D8E">
        <w:rPr>
          <w:rFonts w:ascii="Times New Roman" w:hAnsi="Times New Roman" w:cs="Times New Roman"/>
          <w:bCs/>
          <w:sz w:val="22"/>
        </w:rPr>
        <w:t xml:space="preserve"> Ischemic Stroke</w:t>
      </w:r>
    </w:p>
    <w:p w14:paraId="5179122A" w14:textId="2090FF17" w:rsidR="0022467E" w:rsidRDefault="0022467E">
      <w:pPr>
        <w:rPr>
          <w:sz w:val="20"/>
          <w:szCs w:val="21"/>
        </w:rPr>
      </w:pPr>
    </w:p>
    <w:p w14:paraId="7596EA8C" w14:textId="39B0EADB" w:rsidR="001C4D92" w:rsidRDefault="001C4D92">
      <w:pPr>
        <w:rPr>
          <w:sz w:val="20"/>
          <w:szCs w:val="21"/>
        </w:rPr>
      </w:pPr>
    </w:p>
    <w:p w14:paraId="532E9FE9" w14:textId="77777777" w:rsidR="001C4D92" w:rsidRDefault="001C4D92">
      <w:pPr>
        <w:rPr>
          <w:sz w:val="20"/>
          <w:szCs w:val="21"/>
        </w:rPr>
      </w:pPr>
    </w:p>
    <w:p w14:paraId="2CBABD69" w14:textId="0B472B45" w:rsidR="0022467E" w:rsidRDefault="0068552C">
      <w:pPr>
        <w:rPr>
          <w:sz w:val="20"/>
          <w:szCs w:val="21"/>
        </w:rPr>
      </w:pPr>
      <w:r w:rsidRPr="0068552C">
        <w:rPr>
          <w:sz w:val="20"/>
          <w:szCs w:val="21"/>
        </w:rPr>
        <w:drawing>
          <wp:inline distT="0" distB="0" distL="0" distR="0" wp14:anchorId="4453BFF2" wp14:editId="4E943182">
            <wp:extent cx="5274310" cy="94170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12B0E" w14:textId="5D702C16" w:rsidR="0022467E" w:rsidRDefault="00E65F42">
      <w:pPr>
        <w:spacing w:line="360" w:lineRule="auto"/>
        <w:jc w:val="center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S8. </w:t>
      </w:r>
      <w:r>
        <w:rPr>
          <w:rFonts w:ascii="Times New Roman" w:hAnsi="Times New Roman" w:cs="Times New Roman"/>
          <w:bCs/>
          <w:sz w:val="22"/>
        </w:rPr>
        <w:t xml:space="preserve">Meta-analysis of HDL between DHI+WM and WM in patients with </w:t>
      </w:r>
      <w:r w:rsidR="00281D8E" w:rsidRPr="00281D8E">
        <w:rPr>
          <w:rFonts w:ascii="Times New Roman" w:hAnsi="Times New Roman" w:cs="Times New Roman"/>
          <w:bCs/>
          <w:sz w:val="22"/>
        </w:rPr>
        <w:t>Ischemic Stroke</w:t>
      </w:r>
    </w:p>
    <w:p w14:paraId="2EDD7D9F" w14:textId="77777777" w:rsidR="0022467E" w:rsidRDefault="0022467E">
      <w:pPr>
        <w:rPr>
          <w:sz w:val="20"/>
          <w:szCs w:val="21"/>
        </w:rPr>
      </w:pPr>
    </w:p>
    <w:p w14:paraId="022905D2" w14:textId="77777777" w:rsidR="0022467E" w:rsidRDefault="0022467E">
      <w:pPr>
        <w:rPr>
          <w:sz w:val="20"/>
          <w:szCs w:val="21"/>
        </w:rPr>
      </w:pPr>
    </w:p>
    <w:p w14:paraId="7AD10095" w14:textId="77777777" w:rsidR="0022467E" w:rsidRDefault="0022467E">
      <w:pPr>
        <w:rPr>
          <w:sz w:val="20"/>
          <w:szCs w:val="21"/>
        </w:rPr>
      </w:pPr>
    </w:p>
    <w:p w14:paraId="3F105648" w14:textId="39C922E0" w:rsidR="0022467E" w:rsidRDefault="00F41D3C">
      <w:pPr>
        <w:rPr>
          <w:sz w:val="20"/>
          <w:szCs w:val="21"/>
        </w:rPr>
      </w:pPr>
      <w:r>
        <w:rPr>
          <w:noProof/>
        </w:rPr>
        <w:drawing>
          <wp:inline distT="0" distB="0" distL="0" distR="0" wp14:anchorId="72ECB64F" wp14:editId="240B6203">
            <wp:extent cx="5274310" cy="112966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5ACA6" w14:textId="5A1ED722" w:rsidR="00E61CC8" w:rsidRPr="001C4D92" w:rsidRDefault="00E65F42" w:rsidP="001C4D92">
      <w:pPr>
        <w:spacing w:line="360" w:lineRule="auto"/>
        <w:jc w:val="center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S9. </w:t>
      </w:r>
      <w:r>
        <w:rPr>
          <w:rFonts w:ascii="Times New Roman" w:hAnsi="Times New Roman" w:cs="Times New Roman"/>
          <w:bCs/>
          <w:sz w:val="22"/>
        </w:rPr>
        <w:t xml:space="preserve">Meta-analysis of D-dimer between DHI+WM and WM in patients with </w:t>
      </w:r>
      <w:r w:rsidR="00281D8E" w:rsidRPr="00281D8E">
        <w:rPr>
          <w:rFonts w:ascii="Times New Roman" w:hAnsi="Times New Roman" w:cs="Times New Roman"/>
          <w:bCs/>
          <w:sz w:val="22"/>
        </w:rPr>
        <w:t>Ischemic Stroke</w:t>
      </w:r>
    </w:p>
    <w:p w14:paraId="22129571" w14:textId="6AAE833D" w:rsidR="00E61CC8" w:rsidRDefault="00B92440">
      <w:pPr>
        <w:rPr>
          <w:sz w:val="20"/>
          <w:szCs w:val="21"/>
        </w:rPr>
      </w:pPr>
      <w:r>
        <w:rPr>
          <w:noProof/>
        </w:rPr>
        <w:lastRenderedPageBreak/>
        <w:drawing>
          <wp:inline distT="0" distB="0" distL="0" distR="0" wp14:anchorId="1F68B8C5" wp14:editId="69D8B5FB">
            <wp:extent cx="5274310" cy="3515995"/>
            <wp:effectExtent l="0" t="0" r="254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AC22D" w14:textId="67BB1A7C" w:rsidR="00E61CC8" w:rsidRDefault="000A49FB" w:rsidP="000A49FB">
      <w:pPr>
        <w:jc w:val="center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S10. </w:t>
      </w:r>
      <w:r w:rsidR="0092165E">
        <w:rPr>
          <w:rFonts w:ascii="Times New Roman" w:hAnsi="Times New Roman" w:cs="Times New Roman"/>
          <w:bCs/>
          <w:sz w:val="22"/>
        </w:rPr>
        <w:t>E</w:t>
      </w:r>
      <w:r w:rsidR="0092165E">
        <w:rPr>
          <w:rFonts w:ascii="Times New Roman" w:hAnsi="Times New Roman" w:cs="Times New Roman" w:hint="eastAsia"/>
          <w:bCs/>
          <w:sz w:val="22"/>
        </w:rPr>
        <w:t>gger</w:t>
      </w:r>
      <w:r w:rsidR="0092165E">
        <w:rPr>
          <w:rFonts w:ascii="Times New Roman" w:hAnsi="Times New Roman" w:cs="Times New Roman"/>
          <w:bCs/>
          <w:sz w:val="22"/>
        </w:rPr>
        <w:t>’s publication bias</w:t>
      </w:r>
      <w:r>
        <w:rPr>
          <w:rFonts w:ascii="Times New Roman" w:hAnsi="Times New Roman" w:cs="Times New Roman"/>
          <w:bCs/>
          <w:sz w:val="22"/>
        </w:rPr>
        <w:t xml:space="preserve"> plot of </w:t>
      </w:r>
      <w:r w:rsidR="00F41D3C" w:rsidRPr="00F41D3C">
        <w:rPr>
          <w:rFonts w:ascii="Times New Roman" w:hAnsi="Times New Roman" w:cs="Times New Roman"/>
          <w:bCs/>
          <w:sz w:val="22"/>
        </w:rPr>
        <w:t>total cholesterol</w:t>
      </w:r>
    </w:p>
    <w:p w14:paraId="4B79B101" w14:textId="6F168BA3" w:rsidR="000A49FB" w:rsidRDefault="000A49FB" w:rsidP="001C4D92">
      <w:pPr>
        <w:rPr>
          <w:rFonts w:ascii="Times New Roman" w:hAnsi="Times New Roman" w:cs="Times New Roman"/>
          <w:bCs/>
          <w:sz w:val="22"/>
        </w:rPr>
      </w:pPr>
    </w:p>
    <w:p w14:paraId="4EF7EA18" w14:textId="17DC7A8E" w:rsidR="001C4D92" w:rsidRDefault="001C4D92" w:rsidP="001C4D92">
      <w:pPr>
        <w:rPr>
          <w:rFonts w:ascii="Times New Roman" w:hAnsi="Times New Roman" w:cs="Times New Roman"/>
          <w:bCs/>
          <w:sz w:val="22"/>
        </w:rPr>
      </w:pPr>
    </w:p>
    <w:p w14:paraId="00565947" w14:textId="77777777" w:rsidR="001C4D92" w:rsidRDefault="001C4D92" w:rsidP="001C4D92">
      <w:pPr>
        <w:rPr>
          <w:rFonts w:ascii="Times New Roman" w:hAnsi="Times New Roman" w:cs="Times New Roman"/>
          <w:bCs/>
          <w:sz w:val="22"/>
        </w:rPr>
      </w:pPr>
    </w:p>
    <w:p w14:paraId="05DE5760" w14:textId="36C51F33" w:rsidR="000A49FB" w:rsidRDefault="00C57FF0" w:rsidP="000A49FB">
      <w:pPr>
        <w:jc w:val="center"/>
        <w:rPr>
          <w:sz w:val="20"/>
          <w:szCs w:val="21"/>
        </w:rPr>
      </w:pPr>
      <w:r>
        <w:rPr>
          <w:noProof/>
        </w:rPr>
        <w:drawing>
          <wp:inline distT="0" distB="0" distL="0" distR="0" wp14:anchorId="6991FA66" wp14:editId="346157BC">
            <wp:extent cx="5274310" cy="3515995"/>
            <wp:effectExtent l="0" t="0" r="254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CCE27" w14:textId="6AA7EDE7" w:rsidR="000A49FB" w:rsidRPr="001C4D92" w:rsidRDefault="000A49FB" w:rsidP="001C4D92">
      <w:pPr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/>
          <w:sz w:val="22"/>
        </w:rPr>
        <w:t xml:space="preserve">Figure S11. </w:t>
      </w:r>
      <w:r w:rsidR="00297B65" w:rsidRPr="007771E5">
        <w:rPr>
          <w:rFonts w:ascii="Times New Roman" w:hAnsi="Times New Roman" w:cs="Times New Roman"/>
          <w:bCs/>
          <w:sz w:val="22"/>
        </w:rPr>
        <w:t xml:space="preserve">Filled funnel plot of </w:t>
      </w:r>
      <w:r w:rsidR="00B92440" w:rsidRPr="00F41D3C">
        <w:rPr>
          <w:rFonts w:ascii="Times New Roman" w:hAnsi="Times New Roman" w:cs="Times New Roman"/>
          <w:bCs/>
          <w:sz w:val="22"/>
        </w:rPr>
        <w:t>total cholesterol</w:t>
      </w:r>
      <w:r w:rsidR="00297B65" w:rsidRPr="007771E5">
        <w:rPr>
          <w:rFonts w:ascii="Times New Roman" w:hAnsi="Times New Roman" w:cs="Times New Roman"/>
          <w:bCs/>
          <w:sz w:val="22"/>
        </w:rPr>
        <w:t xml:space="preserve"> from studies that investigated the association between the</w:t>
      </w:r>
      <w:r w:rsidR="00297B65">
        <w:rPr>
          <w:rFonts w:ascii="Times New Roman" w:hAnsi="Times New Roman" w:cs="Times New Roman"/>
          <w:b/>
          <w:sz w:val="22"/>
        </w:rPr>
        <w:t xml:space="preserve"> </w:t>
      </w:r>
      <w:r w:rsidR="00297B65">
        <w:rPr>
          <w:rFonts w:ascii="Times New Roman" w:hAnsi="Times New Roman" w:cs="Times New Roman"/>
          <w:bCs/>
          <w:sz w:val="22"/>
        </w:rPr>
        <w:t xml:space="preserve">efficacy of DHI and </w:t>
      </w:r>
      <w:r w:rsidR="00B92440">
        <w:rPr>
          <w:rFonts w:ascii="Times New Roman" w:hAnsi="Times New Roman" w:cs="Times New Roman"/>
          <w:bCs/>
          <w:sz w:val="22"/>
        </w:rPr>
        <w:t>WM</w:t>
      </w:r>
      <w:r w:rsidR="00297B65">
        <w:rPr>
          <w:rFonts w:ascii="Times New Roman" w:hAnsi="Times New Roman" w:cs="Times New Roman"/>
          <w:bCs/>
          <w:sz w:val="22"/>
        </w:rPr>
        <w:t>. The circles are real studies and the t</w:t>
      </w:r>
      <w:r>
        <w:rPr>
          <w:rFonts w:ascii="Times New Roman" w:hAnsi="Times New Roman" w:cs="Times New Roman"/>
          <w:bCs/>
          <w:sz w:val="22"/>
        </w:rPr>
        <w:t xml:space="preserve">rim-and-fill analysis estimating </w:t>
      </w:r>
      <w:r w:rsidR="00297B65">
        <w:rPr>
          <w:rFonts w:ascii="Times New Roman" w:hAnsi="Times New Roman" w:cs="Times New Roman"/>
          <w:bCs/>
          <w:sz w:val="22"/>
        </w:rPr>
        <w:t xml:space="preserve">there were no </w:t>
      </w:r>
      <w:r>
        <w:rPr>
          <w:rFonts w:ascii="Times New Roman" w:hAnsi="Times New Roman" w:cs="Times New Roman"/>
          <w:bCs/>
          <w:sz w:val="22"/>
        </w:rPr>
        <w:t>possible missing studies</w:t>
      </w:r>
      <w:r w:rsidR="00297B65">
        <w:rPr>
          <w:rFonts w:ascii="Times New Roman" w:hAnsi="Times New Roman" w:cs="Times New Roman"/>
          <w:bCs/>
          <w:sz w:val="22"/>
        </w:rPr>
        <w:t>. The horizontal line represents the summary effect estimates, and the diagonal lines represent pseudo-95% CI limits</w:t>
      </w:r>
    </w:p>
    <w:sectPr w:rsidR="000A49FB" w:rsidRPr="001C4D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B28C3" w14:textId="77777777" w:rsidR="00950BAC" w:rsidRDefault="00950BAC" w:rsidP="00EB7BA5">
      <w:r>
        <w:separator/>
      </w:r>
    </w:p>
  </w:endnote>
  <w:endnote w:type="continuationSeparator" w:id="0">
    <w:p w14:paraId="79259690" w14:textId="77777777" w:rsidR="00950BAC" w:rsidRDefault="00950BAC" w:rsidP="00EB7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0698D" w14:textId="77777777" w:rsidR="00950BAC" w:rsidRDefault="00950BAC" w:rsidP="00EB7BA5">
      <w:r>
        <w:separator/>
      </w:r>
    </w:p>
  </w:footnote>
  <w:footnote w:type="continuationSeparator" w:id="0">
    <w:p w14:paraId="611336B9" w14:textId="77777777" w:rsidR="00950BAC" w:rsidRDefault="00950BAC" w:rsidP="00EB7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46A6"/>
    <w:rsid w:val="DFD78F0C"/>
    <w:rsid w:val="000A49FB"/>
    <w:rsid w:val="000A4B8C"/>
    <w:rsid w:val="001210C7"/>
    <w:rsid w:val="0013708B"/>
    <w:rsid w:val="0017409E"/>
    <w:rsid w:val="001C4D92"/>
    <w:rsid w:val="0022467E"/>
    <w:rsid w:val="00281D8E"/>
    <w:rsid w:val="00297B65"/>
    <w:rsid w:val="00393A9F"/>
    <w:rsid w:val="003F55DB"/>
    <w:rsid w:val="004E1F99"/>
    <w:rsid w:val="004F5D4F"/>
    <w:rsid w:val="0052090D"/>
    <w:rsid w:val="005771CD"/>
    <w:rsid w:val="005D63C0"/>
    <w:rsid w:val="005D674B"/>
    <w:rsid w:val="005E7702"/>
    <w:rsid w:val="0060402C"/>
    <w:rsid w:val="006408D4"/>
    <w:rsid w:val="0068552C"/>
    <w:rsid w:val="00695CA4"/>
    <w:rsid w:val="006A4463"/>
    <w:rsid w:val="006E69C1"/>
    <w:rsid w:val="007771E5"/>
    <w:rsid w:val="007C2D1C"/>
    <w:rsid w:val="007F06AA"/>
    <w:rsid w:val="00800AE9"/>
    <w:rsid w:val="00810F79"/>
    <w:rsid w:val="00882DAE"/>
    <w:rsid w:val="0092165E"/>
    <w:rsid w:val="00945F05"/>
    <w:rsid w:val="00950BAC"/>
    <w:rsid w:val="009B445A"/>
    <w:rsid w:val="009E7154"/>
    <w:rsid w:val="00A07037"/>
    <w:rsid w:val="00A172F4"/>
    <w:rsid w:val="00A202EA"/>
    <w:rsid w:val="00A428DF"/>
    <w:rsid w:val="00A946A6"/>
    <w:rsid w:val="00A97272"/>
    <w:rsid w:val="00B41FC3"/>
    <w:rsid w:val="00B92440"/>
    <w:rsid w:val="00BF28AB"/>
    <w:rsid w:val="00C5630E"/>
    <w:rsid w:val="00C57FF0"/>
    <w:rsid w:val="00D31CE1"/>
    <w:rsid w:val="00D55244"/>
    <w:rsid w:val="00D84F88"/>
    <w:rsid w:val="00DB0C58"/>
    <w:rsid w:val="00E050E8"/>
    <w:rsid w:val="00E52293"/>
    <w:rsid w:val="00E52A91"/>
    <w:rsid w:val="00E61CC8"/>
    <w:rsid w:val="00E65F42"/>
    <w:rsid w:val="00E70F77"/>
    <w:rsid w:val="00E75487"/>
    <w:rsid w:val="00EB7BA5"/>
    <w:rsid w:val="00F41D3C"/>
    <w:rsid w:val="3EDB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2DAAAF"/>
  <w15:docId w15:val="{F8909054-888A-4B96-8B0A-61AF9BB47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4</Pages>
  <Words>226</Words>
  <Characters>1293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MaYu</dc:creator>
  <cp:lastModifiedBy>MaYu</cp:lastModifiedBy>
  <cp:revision>36</cp:revision>
  <dcterms:created xsi:type="dcterms:W3CDTF">2021-10-29T18:30:00Z</dcterms:created>
  <dcterms:modified xsi:type="dcterms:W3CDTF">2022-01-28T07:55:00Z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