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5AA" w:rsidRPr="00E0044C" w:rsidRDefault="00E145AA" w:rsidP="00E145AA">
      <w:pPr>
        <w:spacing w:line="240" w:lineRule="auto"/>
        <w:jc w:val="both"/>
        <w:rPr>
          <w:rFonts w:ascii="Times New Roman" w:hAnsi="Times New Roman" w:cs="Times New Roman"/>
          <w:b/>
          <w:bCs/>
          <w:color w:val="000000" w:themeColor="text1"/>
          <w:sz w:val="24"/>
          <w:szCs w:val="20"/>
          <w:u w:val="single"/>
        </w:rPr>
      </w:pPr>
      <w:r w:rsidRPr="00E0044C">
        <w:rPr>
          <w:rFonts w:ascii="Times New Roman" w:hAnsi="Times New Roman" w:cs="Times New Roman"/>
          <w:b/>
          <w:bCs/>
          <w:color w:val="000000" w:themeColor="text1"/>
          <w:sz w:val="24"/>
          <w:szCs w:val="20"/>
          <w:u w:val="single"/>
        </w:rPr>
        <w:t>Supplementary File</w:t>
      </w:r>
    </w:p>
    <w:p w:rsidR="00E145AA" w:rsidRPr="00E0044C" w:rsidRDefault="00E145AA" w:rsidP="00E145AA">
      <w:pPr>
        <w:spacing w:line="240" w:lineRule="auto"/>
        <w:jc w:val="both"/>
        <w:rPr>
          <w:rFonts w:ascii="Times New Roman" w:hAnsi="Times New Roman" w:cs="Times New Roman"/>
          <w:b/>
          <w:bCs/>
          <w:color w:val="000000" w:themeColor="text1"/>
          <w:sz w:val="24"/>
          <w:szCs w:val="20"/>
        </w:rPr>
      </w:pPr>
    </w:p>
    <w:p w:rsidR="00E145AA" w:rsidRPr="00E0044C" w:rsidRDefault="00E145AA" w:rsidP="00E145AA">
      <w:pPr>
        <w:spacing w:line="240" w:lineRule="auto"/>
        <w:jc w:val="both"/>
        <w:rPr>
          <w:rFonts w:ascii="Times New Roman" w:hAnsi="Times New Roman" w:cs="Times New Roman"/>
          <w:b/>
          <w:bCs/>
          <w:color w:val="000000" w:themeColor="text1"/>
          <w:sz w:val="24"/>
          <w:szCs w:val="20"/>
        </w:rPr>
      </w:pPr>
      <w:r w:rsidRPr="00E0044C">
        <w:rPr>
          <w:rFonts w:ascii="Times New Roman" w:hAnsi="Times New Roman" w:cs="Times New Roman"/>
          <w:b/>
          <w:bCs/>
          <w:color w:val="000000" w:themeColor="text1"/>
          <w:sz w:val="24"/>
          <w:szCs w:val="20"/>
        </w:rPr>
        <w:t xml:space="preserve">Supplementary Table S1 </w:t>
      </w:r>
      <w:r w:rsidRPr="00E0044C">
        <w:rPr>
          <w:rFonts w:ascii="Times New Roman" w:hAnsi="Times New Roman" w:cs="Times New Roman"/>
          <w:color w:val="000000" w:themeColor="text1"/>
          <w:sz w:val="24"/>
          <w:szCs w:val="20"/>
        </w:rPr>
        <w:t>Results of the analysis of variance (two-way ANOVA with interaction) of seed parameters</w:t>
      </w:r>
    </w:p>
    <w:p w:rsidR="00E145AA" w:rsidRPr="00E0044C" w:rsidRDefault="00E145AA" w:rsidP="00E145AA">
      <w:pPr>
        <w:spacing w:line="240" w:lineRule="auto"/>
        <w:jc w:val="both"/>
        <w:rPr>
          <w:rFonts w:ascii="Times New Roman" w:hAnsi="Times New Roman" w:cs="Times New Roman"/>
          <w:color w:val="000000" w:themeColor="text1"/>
          <w:sz w:val="20"/>
          <w:szCs w:val="20"/>
        </w:rPr>
      </w:pPr>
    </w:p>
    <w:tbl>
      <w:tblPr>
        <w:tblStyle w:val="Header"/>
        <w:tblW w:w="5431" w:type="pct"/>
        <w:tblInd w:w="-601" w:type="dxa"/>
        <w:tblBorders>
          <w:top w:val="single" w:sz="4" w:space="0" w:color="auto"/>
          <w:bottom w:val="single" w:sz="4" w:space="0" w:color="auto"/>
        </w:tblBorders>
        <w:tblLook w:val="04A0"/>
      </w:tblPr>
      <w:tblGrid>
        <w:gridCol w:w="2692"/>
        <w:gridCol w:w="3515"/>
        <w:gridCol w:w="470"/>
        <w:gridCol w:w="1236"/>
        <w:gridCol w:w="1117"/>
        <w:gridCol w:w="1012"/>
      </w:tblGrid>
      <w:tr w:rsidR="00E145AA" w:rsidRPr="00E0044C" w:rsidTr="00437A5B">
        <w:tc>
          <w:tcPr>
            <w:tcW w:w="1341" w:type="pct"/>
            <w:tcBorders>
              <w:top w:val="single" w:sz="4" w:space="0" w:color="auto"/>
              <w:bottom w:val="single" w:sz="4" w:space="0" w:color="auto"/>
            </w:tcBorders>
          </w:tcPr>
          <w:p w:rsidR="00E145AA" w:rsidRPr="00E0044C" w:rsidRDefault="00E145AA" w:rsidP="00437A5B">
            <w:pPr>
              <w:rPr>
                <w:rFonts w:ascii="Times New Roman" w:hAnsi="Times New Roman" w:cs="Times New Roman"/>
                <w:color w:val="000000" w:themeColor="text1"/>
                <w:sz w:val="24"/>
                <w:szCs w:val="24"/>
              </w:rPr>
            </w:pPr>
            <w:bookmarkStart w:id="0" w:name="_Hlk90977688"/>
            <w:r w:rsidRPr="00E0044C">
              <w:rPr>
                <w:rFonts w:ascii="Times New Roman" w:hAnsi="Times New Roman" w:cs="Times New Roman"/>
                <w:color w:val="000000" w:themeColor="text1"/>
                <w:sz w:val="24"/>
                <w:szCs w:val="24"/>
              </w:rPr>
              <w:t>Variables</w:t>
            </w:r>
          </w:p>
        </w:tc>
        <w:tc>
          <w:tcPr>
            <w:tcW w:w="1750"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Sources of variation</w:t>
            </w:r>
          </w:p>
        </w:tc>
        <w:tc>
          <w:tcPr>
            <w:tcW w:w="234"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proofErr w:type="spellStart"/>
            <w:r w:rsidRPr="00E0044C">
              <w:rPr>
                <w:rFonts w:ascii="Times New Roman" w:hAnsi="Times New Roman" w:cs="Times New Roman"/>
                <w:color w:val="000000" w:themeColor="text1"/>
                <w:sz w:val="24"/>
                <w:szCs w:val="24"/>
              </w:rPr>
              <w:t>Df</w:t>
            </w:r>
            <w:proofErr w:type="spellEnd"/>
          </w:p>
        </w:tc>
        <w:tc>
          <w:tcPr>
            <w:tcW w:w="615"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Sum of squares</w:t>
            </w:r>
          </w:p>
        </w:tc>
        <w:tc>
          <w:tcPr>
            <w:tcW w:w="556"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F ratio</w:t>
            </w:r>
          </w:p>
        </w:tc>
        <w:tc>
          <w:tcPr>
            <w:tcW w:w="504"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proofErr w:type="spellStart"/>
            <w:r w:rsidRPr="00E0044C">
              <w:rPr>
                <w:rFonts w:ascii="Times New Roman" w:hAnsi="Times New Roman" w:cs="Times New Roman"/>
                <w:color w:val="000000" w:themeColor="text1"/>
                <w:sz w:val="24"/>
                <w:szCs w:val="24"/>
              </w:rPr>
              <w:t>Prob</w:t>
            </w:r>
            <w:proofErr w:type="spellEnd"/>
          </w:p>
        </w:tc>
      </w:tr>
      <w:tr w:rsidR="00E145AA" w:rsidRPr="00E0044C" w:rsidTr="00437A5B">
        <w:tc>
          <w:tcPr>
            <w:tcW w:w="1341" w:type="pct"/>
            <w:tcBorders>
              <w:top w:val="single" w:sz="4" w:space="0" w:color="auto"/>
            </w:tcBorders>
          </w:tcPr>
          <w:p w:rsidR="00E145AA" w:rsidRPr="00E0044C" w:rsidRDefault="00E145AA" w:rsidP="00437A5B">
            <w:pPr>
              <w:rPr>
                <w:rFonts w:ascii="Times New Roman" w:hAnsi="Times New Roman" w:cs="Times New Roman"/>
                <w:color w:val="000000" w:themeColor="text1"/>
                <w:sz w:val="24"/>
                <w:szCs w:val="24"/>
              </w:rPr>
            </w:pPr>
          </w:p>
        </w:tc>
        <w:tc>
          <w:tcPr>
            <w:tcW w:w="1750"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p>
        </w:tc>
        <w:tc>
          <w:tcPr>
            <w:tcW w:w="234"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p>
        </w:tc>
        <w:tc>
          <w:tcPr>
            <w:tcW w:w="61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p>
        </w:tc>
        <w:tc>
          <w:tcPr>
            <w:tcW w:w="55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p>
        </w:tc>
        <w:tc>
          <w:tcPr>
            <w:tcW w:w="504"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4"/>
                <w:szCs w:val="24"/>
              </w:rPr>
            </w:pP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r w:rsidRPr="00E0044C">
              <w:rPr>
                <w:rFonts w:ascii="Times New Roman" w:hAnsi="Times New Roman" w:cs="Times New Roman"/>
                <w:bCs/>
                <w:color w:val="000000" w:themeColor="text1"/>
                <w:sz w:val="24"/>
                <w:szCs w:val="24"/>
              </w:rPr>
              <w:t>Time to start emergence</w:t>
            </w: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0.750000</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3.6000</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0.0668</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11.250000</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7.7143</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&lt;.0001*</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 x 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1.250000</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0.8571</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0.5499</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Time taken to reach to 50% emergence</w:t>
            </w: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0.299252</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4.7383</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0.0370*</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11.529531</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26.0794</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&lt;.0001*</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 x 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1.246465</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2.8195</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0.0209*</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Mean emergence time</w:t>
            </w: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0.34199</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0.2662</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0.6094</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142.51018</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15.8494</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&lt;.0001*</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 x 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22.48483</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2.5007</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0.0361*</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Emergence index</w:t>
            </w: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10.85263</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7.0387</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0.0123*</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297.35099</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27.5503</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&lt;.0001*</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 x 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19.09522</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1.7692</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0.1282</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Vigour index</w:t>
            </w: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340969.9</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107.0557</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&lt;.0001*</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4981929.0</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223.4565</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&lt;.0001*</w:t>
            </w:r>
          </w:p>
        </w:tc>
      </w:tr>
      <w:tr w:rsidR="00E145AA" w:rsidRPr="00E0044C" w:rsidTr="00437A5B">
        <w:tc>
          <w:tcPr>
            <w:tcW w:w="1341" w:type="pct"/>
          </w:tcPr>
          <w:p w:rsidR="00E145AA" w:rsidRPr="00E0044C" w:rsidRDefault="00E145AA" w:rsidP="00437A5B">
            <w:pPr>
              <w:rPr>
                <w:rFonts w:ascii="Times New Roman" w:hAnsi="Times New Roman" w:cs="Times New Roman"/>
                <w:color w:val="000000" w:themeColor="text1"/>
                <w:sz w:val="24"/>
                <w:szCs w:val="24"/>
              </w:rPr>
            </w:pPr>
          </w:p>
        </w:tc>
        <w:tc>
          <w:tcPr>
            <w:tcW w:w="1750"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Year x Treatment</w:t>
            </w:r>
          </w:p>
        </w:tc>
        <w:tc>
          <w:tcPr>
            <w:tcW w:w="234" w:type="pct"/>
          </w:tcPr>
          <w:p w:rsidR="00E145AA" w:rsidRPr="00E0044C" w:rsidRDefault="00E145AA" w:rsidP="00437A5B">
            <w:pPr>
              <w:jc w:val="right"/>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w:t>
            </w:r>
          </w:p>
        </w:tc>
        <w:tc>
          <w:tcPr>
            <w:tcW w:w="615"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19137.7</w:t>
            </w:r>
          </w:p>
        </w:tc>
        <w:tc>
          <w:tcPr>
            <w:tcW w:w="556"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0.8584</w:t>
            </w:r>
          </w:p>
        </w:tc>
        <w:tc>
          <w:tcPr>
            <w:tcW w:w="50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4"/>
                <w:szCs w:val="24"/>
                <w:lang w:eastAsia="zh-TW"/>
              </w:rPr>
            </w:pPr>
            <w:r w:rsidRPr="00E0044C">
              <w:rPr>
                <w:rFonts w:ascii="Times New Roman" w:eastAsiaTheme="minorEastAsia" w:hAnsi="Times New Roman" w:cs="Times New Roman"/>
                <w:color w:val="000000" w:themeColor="text1"/>
                <w:sz w:val="24"/>
                <w:szCs w:val="24"/>
                <w:lang w:eastAsia="zh-TW"/>
              </w:rPr>
              <w:t>0.5490</w:t>
            </w:r>
          </w:p>
        </w:tc>
      </w:tr>
      <w:bookmarkEnd w:id="0"/>
    </w:tbl>
    <w:p w:rsidR="00E145AA" w:rsidRPr="00E0044C" w:rsidRDefault="00E145AA" w:rsidP="00E145AA">
      <w:pPr>
        <w:spacing w:line="240" w:lineRule="auto"/>
        <w:jc w:val="both"/>
        <w:rPr>
          <w:rFonts w:ascii="Times New Roman" w:hAnsi="Times New Roman" w:cs="Times New Roman"/>
          <w:color w:val="000000" w:themeColor="text1"/>
          <w:sz w:val="20"/>
          <w:szCs w:val="20"/>
        </w:rPr>
      </w:pPr>
    </w:p>
    <w:p w:rsidR="00E145AA" w:rsidRPr="00E0044C" w:rsidRDefault="00E145AA" w:rsidP="00E145AA">
      <w:pPr>
        <w:spacing w:line="480" w:lineRule="auto"/>
        <w:jc w:val="both"/>
        <w:rPr>
          <w:rFonts w:ascii="Times New Roman" w:hAnsi="Times New Roman" w:cs="Times New Roman"/>
          <w:i/>
          <w:iCs/>
          <w:color w:val="000000" w:themeColor="text1"/>
          <w:sz w:val="24"/>
          <w:szCs w:val="24"/>
        </w:rPr>
      </w:pPr>
      <w:r w:rsidRPr="00E0044C">
        <w:rPr>
          <w:rFonts w:ascii="Times New Roman" w:hAnsi="Times New Roman" w:cs="Times New Roman"/>
          <w:i/>
          <w:iCs/>
          <w:color w:val="000000" w:themeColor="text1"/>
          <w:sz w:val="24"/>
          <w:szCs w:val="24"/>
        </w:rPr>
        <w:t>Biochemical analysis of seeds</w:t>
      </w:r>
    </w:p>
    <w:p w:rsidR="00E145AA" w:rsidRPr="00E0044C" w:rsidRDefault="00E145AA" w:rsidP="00E145AA">
      <w:pPr>
        <w:spacing w:line="360" w:lineRule="auto"/>
        <w:jc w:val="both"/>
        <w:rPr>
          <w:rFonts w:ascii="Times New Roman" w:hAnsi="Times New Roman" w:cs="Times New Roman"/>
          <w:color w:val="000000" w:themeColor="text1"/>
          <w:sz w:val="24"/>
          <w:szCs w:val="24"/>
        </w:rPr>
      </w:pPr>
      <w:r w:rsidRPr="00E0044C">
        <w:rPr>
          <w:rFonts w:ascii="Times New Roman" w:eastAsia="Times New Roman" w:hAnsi="Times New Roman" w:cs="Times New Roman"/>
          <w:color w:val="000000" w:themeColor="text1"/>
          <w:sz w:val="24"/>
          <w:szCs w:val="24"/>
        </w:rPr>
        <w:t xml:space="preserve">Primed seeds (5 g) were washed thrice with </w:t>
      </w:r>
      <w:proofErr w:type="spellStart"/>
      <w:r w:rsidRPr="00E0044C">
        <w:rPr>
          <w:rFonts w:ascii="Times New Roman" w:eastAsia="Times New Roman" w:hAnsi="Times New Roman" w:cs="Times New Roman"/>
          <w:color w:val="000000" w:themeColor="text1"/>
          <w:sz w:val="24"/>
          <w:szCs w:val="24"/>
        </w:rPr>
        <w:t>deionized</w:t>
      </w:r>
      <w:proofErr w:type="spellEnd"/>
      <w:r w:rsidRPr="00E0044C">
        <w:rPr>
          <w:rFonts w:ascii="Times New Roman" w:eastAsia="Times New Roman" w:hAnsi="Times New Roman" w:cs="Times New Roman"/>
          <w:color w:val="000000" w:themeColor="text1"/>
          <w:sz w:val="24"/>
          <w:szCs w:val="24"/>
        </w:rPr>
        <w:t xml:space="preserve"> water to remove any salt imposition, and then soaked in 50 </w:t>
      </w:r>
      <w:proofErr w:type="spellStart"/>
      <w:r w:rsidRPr="00E0044C">
        <w:rPr>
          <w:rFonts w:ascii="Times New Roman" w:eastAsia="Times New Roman" w:hAnsi="Times New Roman" w:cs="Times New Roman"/>
          <w:color w:val="000000" w:themeColor="text1"/>
          <w:sz w:val="24"/>
          <w:szCs w:val="24"/>
        </w:rPr>
        <w:t>mL</w:t>
      </w:r>
      <w:proofErr w:type="spellEnd"/>
      <w:r w:rsidRPr="00E0044C">
        <w:rPr>
          <w:rFonts w:ascii="Times New Roman" w:eastAsia="Times New Roman" w:hAnsi="Times New Roman" w:cs="Times New Roman"/>
          <w:color w:val="000000" w:themeColor="text1"/>
          <w:sz w:val="24"/>
          <w:szCs w:val="24"/>
        </w:rPr>
        <w:t xml:space="preserve"> of </w:t>
      </w:r>
      <w:proofErr w:type="spellStart"/>
      <w:r w:rsidRPr="00E0044C">
        <w:rPr>
          <w:rFonts w:ascii="Times New Roman" w:eastAsia="Times New Roman" w:hAnsi="Times New Roman" w:cs="Times New Roman"/>
          <w:color w:val="000000" w:themeColor="text1"/>
          <w:sz w:val="24"/>
          <w:szCs w:val="24"/>
        </w:rPr>
        <w:t>deionized</w:t>
      </w:r>
      <w:proofErr w:type="spellEnd"/>
      <w:r w:rsidRPr="00E0044C">
        <w:rPr>
          <w:rFonts w:ascii="Times New Roman" w:eastAsia="Times New Roman" w:hAnsi="Times New Roman" w:cs="Times New Roman"/>
          <w:color w:val="000000" w:themeColor="text1"/>
          <w:sz w:val="24"/>
          <w:szCs w:val="24"/>
        </w:rPr>
        <w:t xml:space="preserve"> water at 25 °C. The electrical conductivity (EC) of seed leachates was measured after 0.5, 1, 1.5, 2, 2.5, 6, 12 and 24 h of soaking with a digital conductivity meter (HI-9811, Hannah Instruments, USA). Lipid peroxidation of treated and non-treated rice seeds was determined as </w:t>
      </w:r>
      <w:proofErr w:type="spellStart"/>
      <w:r w:rsidRPr="00E0044C">
        <w:rPr>
          <w:rFonts w:ascii="Times New Roman" w:eastAsia="Times New Roman" w:hAnsi="Times New Roman" w:cs="Times New Roman"/>
          <w:color w:val="000000" w:themeColor="text1"/>
          <w:sz w:val="24"/>
          <w:szCs w:val="24"/>
        </w:rPr>
        <w:t>malondialdehyde</w:t>
      </w:r>
      <w:proofErr w:type="spellEnd"/>
      <w:r w:rsidRPr="00E0044C">
        <w:rPr>
          <w:rFonts w:ascii="Times New Roman" w:eastAsia="Times New Roman" w:hAnsi="Times New Roman" w:cs="Times New Roman"/>
          <w:color w:val="000000" w:themeColor="text1"/>
          <w:sz w:val="24"/>
          <w:szCs w:val="24"/>
        </w:rPr>
        <w:t xml:space="preserve"> (MDA) content using the </w:t>
      </w:r>
      <w:proofErr w:type="spellStart"/>
      <w:r w:rsidRPr="00E0044C">
        <w:rPr>
          <w:rFonts w:ascii="Times New Roman" w:eastAsia="Times New Roman" w:hAnsi="Times New Roman" w:cs="Times New Roman"/>
          <w:color w:val="000000" w:themeColor="text1"/>
          <w:sz w:val="24"/>
          <w:szCs w:val="24"/>
        </w:rPr>
        <w:t>thiobarbituric</w:t>
      </w:r>
      <w:proofErr w:type="spellEnd"/>
      <w:r w:rsidRPr="00E0044C">
        <w:rPr>
          <w:rFonts w:ascii="Times New Roman" w:eastAsia="Times New Roman" w:hAnsi="Times New Roman" w:cs="Times New Roman"/>
          <w:color w:val="000000" w:themeColor="text1"/>
          <w:sz w:val="24"/>
          <w:szCs w:val="24"/>
        </w:rPr>
        <w:t xml:space="preserve"> acid method </w:t>
      </w:r>
      <w:r w:rsidRPr="00E0044C">
        <w:rPr>
          <w:rFonts w:ascii="Times New Roman" w:eastAsia="Times New Roman" w:hAnsi="Times New Roman" w:cs="Times New Roman"/>
          <w:color w:val="000000" w:themeColor="text1"/>
          <w:sz w:val="24"/>
          <w:szCs w:val="24"/>
        </w:rPr>
        <w:fldChar w:fldCharType="begin" w:fldLock="1"/>
      </w:r>
      <w:r>
        <w:rPr>
          <w:rFonts w:ascii="Times New Roman" w:eastAsia="Times New Roman" w:hAnsi="Times New Roman" w:cs="Times New Roman"/>
          <w:color w:val="000000" w:themeColor="text1"/>
          <w:sz w:val="24"/>
          <w:szCs w:val="24"/>
        </w:rPr>
        <w:instrText>ADDIN CSL_CITATION {"citationItems":[{"id":"ITEM-1","itemData":{"DOI":"10.1111/j.1399-3054.1996.tb00485.x","ISSN":"00319317","abstract":"Sunflower (Helianthus annuus L.) seeds progressively lost their ability to germinate at 25°C, the optimal temperature for germination, after accelerated aging was carried out at 45°C (a temperature too high to permit germination) in water or at 76 or 100% relative humidity (RH). The deleterious effects of the high-temperature treatment increased with increasing seed moisture content. Incubation of seeds at 45°C in water resulted in electrolyte leakage, which indicated a loss of membrane integrity. A relationship between leakage and loss of seed viability could not be assumed, since no increase in electrolyte efflux occurred after aging at 100% RH. Accelerated aging induced accumulation of malondialdehyde, suggesting that seed deterioration was associated with lipid peroxidation. However, there was no direct relationship between lipid peroxidation and deterioration in membrane integrity. Loss of seed viability was also associated with a decrease in superoxide dismutase, catalase and glutathione reductase activities. Finally, the results obtained suggest that sunflower seed deterioration during accelerated aging is closely related to a decrease in the activities of detoxifying enzymes and to lipid peroxidation.","author":[{"dropping-particle":"","family":"Bailly","given":"Christophe","non-dropping-particle":"","parse-names":false,"suffix":""},{"dropping-particle":"","family":"Benamar","given":"Abdelilah","non-dropping-particle":"","parse-names":false,"suffix":""},{"dropping-particle":"","family":"Corbineau","given":"Françoise","non-dropping-particle":"","parse-names":false,"suffix":""},{"dropping-particle":"","family":"Côme","given":"Daniel","non-dropping-particle":"","parse-names":false,"suffix":""}],"container-title":"Physiologia Plantarum","id":"ITEM-1","issue":"1","issued":{"date-parts":[["1996"]]},"page":"104-110","title":"Changes in malondialdehyde content and in superoxide dismutase, catalase and glutathione reductase activities in sunflower seeds as related to deterioration during accelerated aging","type":"article-journal","volume":"97"},"uris":["http://www.mendeley.com/documents/?uuid=b1f494b4-b3ed-4469-855d-42ca18fb694c"]}],"mendeley":{"formattedCitation":"&lt;sup&gt;82&lt;/sup&gt;","plainTextFormattedCitation":"82","previouslyFormattedCitation":"(Bailly et al., 1996)"},"properties":{"noteIndex":0},"schema":"https://github.com/citation-style-language/schema/raw/master/csl-citation.json"}</w:instrText>
      </w:r>
      <w:r w:rsidRPr="00E0044C">
        <w:rPr>
          <w:rFonts w:ascii="Times New Roman" w:eastAsia="Times New Roman" w:hAnsi="Times New Roman" w:cs="Times New Roman"/>
          <w:color w:val="000000" w:themeColor="text1"/>
          <w:sz w:val="24"/>
          <w:szCs w:val="24"/>
        </w:rPr>
        <w:fldChar w:fldCharType="separate"/>
      </w:r>
      <w:r w:rsidRPr="007216D4">
        <w:rPr>
          <w:rFonts w:ascii="Times New Roman" w:eastAsia="Times New Roman" w:hAnsi="Times New Roman" w:cs="Times New Roman"/>
          <w:noProof/>
          <w:color w:val="000000" w:themeColor="text1"/>
          <w:sz w:val="24"/>
          <w:szCs w:val="24"/>
          <w:vertAlign w:val="superscript"/>
        </w:rPr>
        <w:t>82</w:t>
      </w:r>
      <w:r w:rsidRPr="00E0044C">
        <w:rPr>
          <w:rFonts w:ascii="Times New Roman" w:eastAsia="Times New Roman" w:hAnsi="Times New Roman" w:cs="Times New Roman"/>
          <w:color w:val="000000" w:themeColor="text1"/>
          <w:sz w:val="24"/>
          <w:szCs w:val="24"/>
        </w:rPr>
        <w:fldChar w:fldCharType="end"/>
      </w:r>
      <w:r w:rsidRPr="00E0044C">
        <w:rPr>
          <w:rFonts w:ascii="Times New Roman" w:eastAsia="Times New Roman" w:hAnsi="Times New Roman" w:cs="Times New Roman"/>
          <w:color w:val="000000" w:themeColor="text1"/>
          <w:sz w:val="24"/>
          <w:szCs w:val="24"/>
        </w:rPr>
        <w:t xml:space="preserve">. The activity of α-amylase of ground and powdered rice seeds (1 g) was measured as per procedure given by </w:t>
      </w:r>
      <w:r w:rsidRPr="00E0044C">
        <w:rPr>
          <w:rFonts w:ascii="Times New Roman" w:eastAsia="Times New Roman" w:hAnsi="Times New Roman" w:cs="Times New Roman"/>
          <w:color w:val="000000" w:themeColor="text1"/>
          <w:sz w:val="24"/>
          <w:szCs w:val="24"/>
        </w:rPr>
        <w:fldChar w:fldCharType="begin" w:fldLock="1"/>
      </w:r>
      <w:r>
        <w:rPr>
          <w:rFonts w:ascii="Times New Roman" w:eastAsia="Times New Roman" w:hAnsi="Times New Roman" w:cs="Times New Roman"/>
          <w:color w:val="000000" w:themeColor="text1"/>
          <w:sz w:val="24"/>
          <w:szCs w:val="24"/>
        </w:rPr>
        <w:instrText>ADDIN CSL_CITATION {"citationItems":[{"id":"ITEM-1","itemData":{"author":[{"dropping-particle":"","family":"Lee","given":"S S","non-dropping-particle":"","parse-names":false,"suffix":""},{"dropping-particle":"","family":"Kim","given":"J H","non-dropping-particle":"","parse-names":false,"suffix":""}],"container-title":"Korean Journal of Crop Science","id":"ITEM-1","issue":"2","issued":{"date-parts":[["2000"]]},"page":"108-111","title":"Rice Activity2.Pdf","type":"article-journal","volume":"45"},"uris":["http://www.mendeley.com/documents/?uuid=b3f90f9a-1361-4c84-8793-10ba51441644"]}],"mendeley":{"formattedCitation":"&lt;sup&gt;83&lt;/sup&gt;","manualFormatting":"Lee and Kim (2000)","plainTextFormattedCitation":"83","previouslyFormattedCitation":"(Lee and Kim, 2000)"},"properties":{"noteIndex":0},"schema":"https://github.com/citation-style-language/schema/raw/master/csl-citation.json"}</w:instrText>
      </w:r>
      <w:r w:rsidRPr="00E0044C">
        <w:rPr>
          <w:rFonts w:ascii="Times New Roman" w:eastAsia="Times New Roman" w:hAnsi="Times New Roman" w:cs="Times New Roman"/>
          <w:color w:val="000000" w:themeColor="text1"/>
          <w:sz w:val="24"/>
          <w:szCs w:val="24"/>
        </w:rPr>
        <w:fldChar w:fldCharType="separate"/>
      </w:r>
      <w:r w:rsidRPr="00E0044C">
        <w:rPr>
          <w:rFonts w:ascii="Times New Roman" w:eastAsia="Times New Roman" w:hAnsi="Times New Roman" w:cs="Times New Roman"/>
          <w:noProof/>
          <w:color w:val="000000" w:themeColor="text1"/>
          <w:sz w:val="24"/>
          <w:szCs w:val="24"/>
        </w:rPr>
        <w:t>Lee and Kim (2000)</w:t>
      </w:r>
      <w:r w:rsidRPr="00E0044C">
        <w:rPr>
          <w:rFonts w:ascii="Times New Roman" w:eastAsia="Times New Roman" w:hAnsi="Times New Roman" w:cs="Times New Roman"/>
          <w:color w:val="000000" w:themeColor="text1"/>
          <w:sz w:val="24"/>
          <w:szCs w:val="24"/>
        </w:rPr>
        <w:fldChar w:fldCharType="end"/>
      </w:r>
      <w:r w:rsidRPr="00E0044C">
        <w:rPr>
          <w:rFonts w:ascii="Times New Roman" w:eastAsia="Times New Roman" w:hAnsi="Times New Roman" w:cs="Times New Roman"/>
          <w:color w:val="000000" w:themeColor="text1"/>
          <w:sz w:val="24"/>
          <w:szCs w:val="24"/>
        </w:rPr>
        <w:t>. The rate at which maltose is liberated from starch was measured by its ability to reduce 3</w:t>
      </w:r>
      <w:proofErr w:type="gramStart"/>
      <w:r w:rsidRPr="00E0044C">
        <w:rPr>
          <w:rFonts w:ascii="Times New Roman" w:eastAsia="Times New Roman" w:hAnsi="Times New Roman" w:cs="Times New Roman"/>
          <w:color w:val="000000" w:themeColor="text1"/>
          <w:sz w:val="24"/>
          <w:szCs w:val="24"/>
        </w:rPr>
        <w:t>,5</w:t>
      </w:r>
      <w:proofErr w:type="gramEnd"/>
      <w:r w:rsidRPr="00E0044C">
        <w:rPr>
          <w:rFonts w:ascii="Times New Roman" w:eastAsia="Times New Roman" w:hAnsi="Times New Roman" w:cs="Times New Roman"/>
          <w:color w:val="000000" w:themeColor="text1"/>
          <w:sz w:val="24"/>
          <w:szCs w:val="24"/>
        </w:rPr>
        <w:t xml:space="preserve">-dinitrosalicyclic acid. Total soluble sugars and soluble protein contents were quantified following the methods given by </w:t>
      </w:r>
      <w:r w:rsidRPr="00E0044C">
        <w:rPr>
          <w:rFonts w:ascii="Times New Roman" w:eastAsia="Times New Roman" w:hAnsi="Times New Roman" w:cs="Times New Roman"/>
          <w:color w:val="000000" w:themeColor="text1"/>
          <w:sz w:val="24"/>
          <w:szCs w:val="24"/>
        </w:rPr>
        <w:fldChar w:fldCharType="begin" w:fldLock="1"/>
      </w:r>
      <w:r>
        <w:rPr>
          <w:rFonts w:ascii="Times New Roman" w:eastAsia="Times New Roman" w:hAnsi="Times New Roman" w:cs="Times New Roman"/>
          <w:color w:val="000000" w:themeColor="text1"/>
          <w:sz w:val="24"/>
          <w:szCs w:val="24"/>
        </w:rPr>
        <w:instrText>ADDIN CSL_CITATION {"citationItems":[{"id":"ITEM-1","itemData":{"DOI":"10.1021/ac60111a017","ISSN":"15206882","abstract":"Simple sugars, oligosaccharides, polysaccharides, and their derivatives, including the methyl ethers with free or potentially free reducing groups, give an orangeyellow color when treated with phenol and concentrated sulfuric acid. The reaction is sensitive and the color is stable. By use of this phenol-sulfuric acid reaction, a method has been developed to determine submicro amounts of sugars and related substances. In conjunction with paper partition chromatography the method is useful for the determination of the composition of polysaccharides and their methyl derivatives. © 1956, American Chemical Society. All rights reserved.","author":[{"dropping-particle":"","family":"Dubois","given":"Michel","non-dropping-particle":"","parse-names":false,"suffix":""},{"dropping-particle":"","family":"Gilles","given":"K. A.","non-dropping-particle":"","parse-names":false,"suffix":""},{"dropping-particle":"","family":"Hamilton","given":"J. K.","non-dropping-particle":"","parse-names":false,"suffix":""},{"dropping-particle":"","family":"Rebers","given":"P. A.","non-dropping-particle":"","parse-names":false,"suffix":""},{"dropping-particle":"","family":"Smith","given":"Fred","non-dropping-particle":"","parse-names":false,"suffix":""}],"container-title":"Analytical Chemistry","id":"ITEM-1","issue":"3","issued":{"date-parts":[["1956"]]},"page":"350-356","title":"Colorimetric Method for Determination of Sugars and Related Substances","type":"article-journal","volume":"28"},"uris":["http://www.mendeley.com/documents/?uuid=d22f1de8-b531-45b0-a19a-ee30836928b1"]}],"mendeley":{"formattedCitation":"&lt;sup&gt;84&lt;/sup&gt;","manualFormatting":"Dubois et al. (1956","plainTextFormattedCitation":"84","previouslyFormattedCitation":"(Dubois et al., 1956)"},"properties":{"noteIndex":0},"schema":"https://github.com/citation-style-language/schema/raw/master/csl-citation.json"}</w:instrText>
      </w:r>
      <w:r w:rsidRPr="00E0044C">
        <w:rPr>
          <w:rFonts w:ascii="Times New Roman" w:eastAsia="Times New Roman" w:hAnsi="Times New Roman" w:cs="Times New Roman"/>
          <w:color w:val="000000" w:themeColor="text1"/>
          <w:sz w:val="24"/>
          <w:szCs w:val="24"/>
        </w:rPr>
        <w:fldChar w:fldCharType="separate"/>
      </w:r>
      <w:r w:rsidRPr="00E0044C">
        <w:rPr>
          <w:rFonts w:ascii="Times New Roman" w:eastAsia="Times New Roman" w:hAnsi="Times New Roman" w:cs="Times New Roman"/>
          <w:noProof/>
          <w:color w:val="000000" w:themeColor="text1"/>
          <w:sz w:val="24"/>
          <w:szCs w:val="24"/>
        </w:rPr>
        <w:t>Dubois et al. (1956</w:t>
      </w:r>
      <w:r w:rsidRPr="00E0044C">
        <w:rPr>
          <w:rFonts w:ascii="Times New Roman" w:eastAsia="Times New Roman" w:hAnsi="Times New Roman" w:cs="Times New Roman"/>
          <w:color w:val="000000" w:themeColor="text1"/>
          <w:sz w:val="24"/>
          <w:szCs w:val="24"/>
        </w:rPr>
        <w:fldChar w:fldCharType="end"/>
      </w:r>
      <w:r w:rsidRPr="00E0044C">
        <w:rPr>
          <w:rFonts w:ascii="Times New Roman" w:eastAsia="Times New Roman" w:hAnsi="Times New Roman" w:cs="Times New Roman"/>
          <w:color w:val="000000" w:themeColor="text1"/>
          <w:sz w:val="24"/>
          <w:szCs w:val="24"/>
        </w:rPr>
        <w:t xml:space="preserve">) and Bradford (1976), respectively. Superoxide dismutase (SOD) activity was determined as described by </w:t>
      </w:r>
      <w:r w:rsidRPr="00E0044C">
        <w:rPr>
          <w:rFonts w:ascii="Times New Roman" w:eastAsia="Times New Roman" w:hAnsi="Times New Roman" w:cs="Times New Roman"/>
          <w:color w:val="000000" w:themeColor="text1"/>
          <w:sz w:val="24"/>
          <w:szCs w:val="24"/>
        </w:rPr>
        <w:fldChar w:fldCharType="begin" w:fldLock="1"/>
      </w:r>
      <w:r>
        <w:rPr>
          <w:rFonts w:ascii="Times New Roman" w:eastAsia="Times New Roman" w:hAnsi="Times New Roman" w:cs="Times New Roman"/>
          <w:color w:val="000000" w:themeColor="text1"/>
          <w:sz w:val="24"/>
          <w:szCs w:val="24"/>
        </w:rPr>
        <w:instrText>ADDIN CSL_CITATION {"citationItems":[{"id":"ITEM-1","itemData":{"DOI":"10.1104/pp.59.2.309","ISSN":"0032-0889","PMID":"16659839","abstract":"Shoots, roots, and seeds of corn (Zea mays L., cv. Michigan 500), oats (Avena sativa L., cv. Au Sable), and peas (Pisum sativum L., cv. Wando) were analyzed for their superoxide dismutase content using a photochemical assay system consisting of methionine, riboflavin, and p-nitro blue tetrazolium. The enzyme is present in the shoots, roots, and seeds of the three species. On a dry weight basis, shoots contain more enzyme than roots. In seeds, the enzyme is present in both the embryo and the storage tissue. Electrophoresis indicated a total of 10 distinct forms of the enzyme. Corn contained seven of these forms and oats three. Peas contained one of the corn and two of the oat enzymes. Nine of the enzyme activities were eliminated with cyanide treatment suggesting that they may be cupro-zinc enzymes, whereas one was cyanide-resistant and may be a manganese enzyme. Some of the leaf superoxide dismutases were found primarily in mitochondria or chloroplasts. Peroxidases at high concentrations interfere with the assay. In test tube assays of crude extracts from seedlings, the interference was negligible. On gels, however, peroxidases may account for two of the 10 superoxide dismutase forms.","author":[{"dropping-particle":"","family":"Giannopolitis","given":"C N","non-dropping-particle":"","parse-names":false,"suffix":""},{"dropping-particle":"","family":"Ries","given":"S K","non-dropping-particle":"","parse-names":false,"suffix":""}],"container-title":"Plant physiology","id":"ITEM-1","issue":"2","issued":{"date-parts":[["1977"]]},"page":"309-14","title":"Superoxide dismutases: I. Occurrence in higher plants.","type":"article-journal","volume":"59"},"uris":["http://www.mendeley.com/documents/?uuid=cb98d470-819a-4a13-b72d-8e3843fb475b"]}],"mendeley":{"formattedCitation":"&lt;sup&gt;85&lt;/sup&gt;","manualFormatting":"Giannopolitis and Ries (1977)","plainTextFormattedCitation":"85","previouslyFormattedCitation":"(Giannopolitis and Ries, 1977)"},"properties":{"noteIndex":0},"schema":"https://github.com/citation-style-language/schema/raw/master/csl-citation.json"}</w:instrText>
      </w:r>
      <w:r w:rsidRPr="00E0044C">
        <w:rPr>
          <w:rFonts w:ascii="Times New Roman" w:eastAsia="Times New Roman" w:hAnsi="Times New Roman" w:cs="Times New Roman"/>
          <w:color w:val="000000" w:themeColor="text1"/>
          <w:sz w:val="24"/>
          <w:szCs w:val="24"/>
        </w:rPr>
        <w:fldChar w:fldCharType="separate"/>
      </w:r>
      <w:r w:rsidRPr="00E0044C">
        <w:rPr>
          <w:rFonts w:ascii="Times New Roman" w:eastAsia="Times New Roman" w:hAnsi="Times New Roman" w:cs="Times New Roman"/>
          <w:noProof/>
          <w:color w:val="000000" w:themeColor="text1"/>
          <w:sz w:val="24"/>
          <w:szCs w:val="24"/>
        </w:rPr>
        <w:t>Giannopolitis and Ries (1977)</w:t>
      </w:r>
      <w:r w:rsidRPr="00E0044C">
        <w:rPr>
          <w:rFonts w:ascii="Times New Roman" w:eastAsia="Times New Roman" w:hAnsi="Times New Roman" w:cs="Times New Roman"/>
          <w:color w:val="000000" w:themeColor="text1"/>
          <w:sz w:val="24"/>
          <w:szCs w:val="24"/>
        </w:rPr>
        <w:fldChar w:fldCharType="end"/>
      </w:r>
      <w:r w:rsidRPr="00E0044C">
        <w:rPr>
          <w:rFonts w:ascii="Times New Roman" w:eastAsia="Times New Roman" w:hAnsi="Times New Roman" w:cs="Times New Roman"/>
          <w:color w:val="000000" w:themeColor="text1"/>
          <w:sz w:val="24"/>
          <w:szCs w:val="24"/>
        </w:rPr>
        <w:t xml:space="preserve">. One unit of SOD activity was defined as the amount of enzyme inhibiting the photochemical reduction of nitro blue </w:t>
      </w:r>
      <w:proofErr w:type="spellStart"/>
      <w:r w:rsidRPr="00E0044C">
        <w:rPr>
          <w:rFonts w:ascii="Times New Roman" w:eastAsia="Times New Roman" w:hAnsi="Times New Roman" w:cs="Times New Roman"/>
          <w:color w:val="000000" w:themeColor="text1"/>
          <w:sz w:val="24"/>
          <w:szCs w:val="24"/>
        </w:rPr>
        <w:t>tetrazolium</w:t>
      </w:r>
      <w:proofErr w:type="spellEnd"/>
      <w:r w:rsidRPr="00E0044C">
        <w:rPr>
          <w:rFonts w:ascii="Times New Roman" w:eastAsia="Times New Roman" w:hAnsi="Times New Roman" w:cs="Times New Roman"/>
          <w:color w:val="000000" w:themeColor="text1"/>
          <w:sz w:val="24"/>
          <w:szCs w:val="24"/>
        </w:rPr>
        <w:t xml:space="preserve"> chloride by the half min</w:t>
      </w:r>
      <w:r w:rsidRPr="00E0044C">
        <w:rPr>
          <w:rFonts w:ascii="Times New Roman" w:eastAsia="Times New Roman" w:hAnsi="Times New Roman" w:cs="Times New Roman"/>
          <w:color w:val="000000" w:themeColor="text1"/>
          <w:sz w:val="24"/>
          <w:szCs w:val="24"/>
          <w:vertAlign w:val="superscript"/>
        </w:rPr>
        <w:t>-1</w:t>
      </w:r>
      <w:r w:rsidRPr="00E0044C">
        <w:rPr>
          <w:rFonts w:ascii="Times New Roman" w:eastAsia="Times New Roman" w:hAnsi="Times New Roman" w:cs="Times New Roman"/>
          <w:color w:val="000000" w:themeColor="text1"/>
          <w:sz w:val="24"/>
          <w:szCs w:val="24"/>
        </w:rPr>
        <w:t xml:space="preserve"> at 560 nm. Catalase (CAT) activity based on the consumption of H</w:t>
      </w:r>
      <w:r w:rsidRPr="00E0044C">
        <w:rPr>
          <w:rFonts w:ascii="Times New Roman" w:eastAsia="Times New Roman" w:hAnsi="Times New Roman" w:cs="Times New Roman"/>
          <w:color w:val="000000" w:themeColor="text1"/>
          <w:sz w:val="24"/>
          <w:szCs w:val="24"/>
          <w:vertAlign w:val="subscript"/>
        </w:rPr>
        <w:t>2</w:t>
      </w:r>
      <w:r w:rsidRPr="00E0044C">
        <w:rPr>
          <w:rFonts w:ascii="Times New Roman" w:eastAsia="Times New Roman" w:hAnsi="Times New Roman" w:cs="Times New Roman"/>
          <w:color w:val="000000" w:themeColor="text1"/>
          <w:sz w:val="24"/>
          <w:szCs w:val="24"/>
        </w:rPr>
        <w:t>O</w:t>
      </w:r>
      <w:r w:rsidRPr="00E0044C">
        <w:rPr>
          <w:rFonts w:ascii="Times New Roman" w:eastAsia="Times New Roman" w:hAnsi="Times New Roman" w:cs="Times New Roman"/>
          <w:color w:val="000000" w:themeColor="text1"/>
          <w:sz w:val="24"/>
          <w:szCs w:val="24"/>
          <w:vertAlign w:val="subscript"/>
        </w:rPr>
        <w:t>2</w:t>
      </w:r>
      <w:r w:rsidRPr="00E0044C">
        <w:rPr>
          <w:rFonts w:ascii="Times New Roman" w:eastAsia="Times New Roman" w:hAnsi="Times New Roman" w:cs="Times New Roman"/>
          <w:color w:val="000000" w:themeColor="text1"/>
          <w:sz w:val="24"/>
          <w:szCs w:val="24"/>
        </w:rPr>
        <w:t xml:space="preserve"> was determined based on </w:t>
      </w:r>
      <w:r w:rsidRPr="00E0044C">
        <w:rPr>
          <w:rFonts w:ascii="Times New Roman" w:eastAsia="Times New Roman" w:hAnsi="Times New Roman" w:cs="Times New Roman"/>
          <w:color w:val="000000" w:themeColor="text1"/>
          <w:sz w:val="24"/>
          <w:szCs w:val="24"/>
        </w:rPr>
        <w:fldChar w:fldCharType="begin" w:fldLock="1"/>
      </w:r>
      <w:r>
        <w:rPr>
          <w:rFonts w:ascii="Times New Roman" w:eastAsia="Times New Roman" w:hAnsi="Times New Roman" w:cs="Times New Roman"/>
          <w:color w:val="000000" w:themeColor="text1"/>
          <w:sz w:val="24"/>
          <w:szCs w:val="24"/>
        </w:rPr>
        <w:instrText>ADDIN CSL_CITATION {"citationItems":[{"id":"ITEM-1","itemData":{"author":[{"dropping-particle":"","family":"Dhindsa","given":"Rajinder S","non-dropping-particle":"","parse-names":false,"suffix":""},{"dropping-particle":"","family":"Plumb-dhindsa","given":"Pamela","non-dropping-particle":"","parse-names":false,"suffix":""},{"dropping-particle":"","family":"Thorpe","given":"Trevor A","non-dropping-particle":"","parse-names":false,"suffix":""}],"container-title":"Journal of Experimental Botany","id":"ITEM-1","issue":"126","issued":{"date-parts":[["1981"]]},"page":"93-101","title":"D032_Leaf Senescence : Correlated with Increased Levels of Membrane Permeability and Lipid Peroxidation , and Decreased Levels of Superoxide Dismutase and Catalase content in a trusted digital archive . We use information technology and tools to increase ","type":"article-journal","volume":"32"},"uris":["http://www.mendeley.com/documents/?uuid=a54404ce-f001-4e4b-b9ce-c63f3372af6a"]}],"mendeley":{"formattedCitation":"&lt;sup&gt;86&lt;/sup&gt;","manualFormatting":"Dhindsa et al. (1981)","plainTextFormattedCitation":"86","previouslyFormattedCitation":"(Dhindsa et al., 1981)"},"properties":{"noteIndex":0},"schema":"https://github.com/citation-style-language/schema/raw/master/csl-citation.json"}</w:instrText>
      </w:r>
      <w:r w:rsidRPr="00E0044C">
        <w:rPr>
          <w:rFonts w:ascii="Times New Roman" w:eastAsia="Times New Roman" w:hAnsi="Times New Roman" w:cs="Times New Roman"/>
          <w:color w:val="000000" w:themeColor="text1"/>
          <w:sz w:val="24"/>
          <w:szCs w:val="24"/>
        </w:rPr>
        <w:fldChar w:fldCharType="separate"/>
      </w:r>
      <w:r w:rsidRPr="00E0044C">
        <w:rPr>
          <w:rFonts w:ascii="Times New Roman" w:eastAsia="Times New Roman" w:hAnsi="Times New Roman" w:cs="Times New Roman"/>
          <w:noProof/>
          <w:color w:val="000000" w:themeColor="text1"/>
          <w:sz w:val="24"/>
          <w:szCs w:val="24"/>
        </w:rPr>
        <w:t>Dhindsa et al. (1981)</w:t>
      </w:r>
      <w:r w:rsidRPr="00E0044C">
        <w:rPr>
          <w:rFonts w:ascii="Times New Roman" w:eastAsia="Times New Roman" w:hAnsi="Times New Roman" w:cs="Times New Roman"/>
          <w:color w:val="000000" w:themeColor="text1"/>
          <w:sz w:val="24"/>
          <w:szCs w:val="24"/>
        </w:rPr>
        <w:fldChar w:fldCharType="end"/>
      </w:r>
      <w:r w:rsidRPr="00E0044C">
        <w:rPr>
          <w:rFonts w:ascii="Times New Roman" w:eastAsia="Times New Roman" w:hAnsi="Times New Roman" w:cs="Times New Roman"/>
          <w:color w:val="000000" w:themeColor="text1"/>
          <w:sz w:val="24"/>
          <w:szCs w:val="24"/>
        </w:rPr>
        <w:t>. The consumption of H</w:t>
      </w:r>
      <w:r w:rsidRPr="00E0044C">
        <w:rPr>
          <w:rFonts w:ascii="Times New Roman" w:eastAsia="Times New Roman" w:hAnsi="Times New Roman" w:cs="Times New Roman"/>
          <w:color w:val="000000" w:themeColor="text1"/>
          <w:sz w:val="24"/>
          <w:szCs w:val="24"/>
          <w:vertAlign w:val="subscript"/>
        </w:rPr>
        <w:t>2</w:t>
      </w:r>
      <w:r w:rsidRPr="00E0044C">
        <w:rPr>
          <w:rFonts w:ascii="Times New Roman" w:eastAsia="Times New Roman" w:hAnsi="Times New Roman" w:cs="Times New Roman"/>
          <w:color w:val="000000" w:themeColor="text1"/>
          <w:sz w:val="24"/>
          <w:szCs w:val="24"/>
        </w:rPr>
        <w:t>O</w:t>
      </w:r>
      <w:r w:rsidRPr="00E0044C">
        <w:rPr>
          <w:rFonts w:ascii="Times New Roman" w:eastAsia="Times New Roman" w:hAnsi="Times New Roman" w:cs="Times New Roman"/>
          <w:color w:val="000000" w:themeColor="text1"/>
          <w:sz w:val="24"/>
          <w:szCs w:val="24"/>
          <w:vertAlign w:val="subscript"/>
        </w:rPr>
        <w:t>2</w:t>
      </w:r>
      <w:r w:rsidRPr="00E0044C">
        <w:rPr>
          <w:rFonts w:ascii="Times New Roman" w:eastAsia="Times New Roman" w:hAnsi="Times New Roman" w:cs="Times New Roman"/>
          <w:color w:val="000000" w:themeColor="text1"/>
          <w:sz w:val="24"/>
          <w:szCs w:val="24"/>
        </w:rPr>
        <w:t xml:space="preserve"> was observed at 240 nm, and one unit of CAT was defined as the amount of enzyme required to oxidize 1 </w:t>
      </w:r>
      <w:proofErr w:type="spellStart"/>
      <w:r w:rsidRPr="00E0044C">
        <w:rPr>
          <w:rFonts w:ascii="Times New Roman" w:eastAsia="Times New Roman" w:hAnsi="Times New Roman" w:cs="Times New Roman"/>
          <w:color w:val="000000" w:themeColor="text1"/>
          <w:sz w:val="24"/>
          <w:szCs w:val="24"/>
        </w:rPr>
        <w:t>μmol</w:t>
      </w:r>
      <w:proofErr w:type="spellEnd"/>
      <w:r w:rsidRPr="00E0044C">
        <w:rPr>
          <w:rFonts w:ascii="Times New Roman" w:eastAsia="Times New Roman" w:hAnsi="Times New Roman" w:cs="Times New Roman"/>
          <w:color w:val="000000" w:themeColor="text1"/>
          <w:sz w:val="24"/>
          <w:szCs w:val="24"/>
        </w:rPr>
        <w:t xml:space="preserve"> H</w:t>
      </w:r>
      <w:r w:rsidRPr="00E0044C">
        <w:rPr>
          <w:rFonts w:ascii="Times New Roman" w:eastAsia="Times New Roman" w:hAnsi="Times New Roman" w:cs="Times New Roman"/>
          <w:color w:val="000000" w:themeColor="text1"/>
          <w:sz w:val="24"/>
          <w:szCs w:val="24"/>
          <w:vertAlign w:val="subscript"/>
        </w:rPr>
        <w:t>2</w:t>
      </w:r>
      <w:r w:rsidRPr="00E0044C">
        <w:rPr>
          <w:rFonts w:ascii="Times New Roman" w:eastAsia="Times New Roman" w:hAnsi="Times New Roman" w:cs="Times New Roman"/>
          <w:color w:val="000000" w:themeColor="text1"/>
          <w:sz w:val="24"/>
          <w:szCs w:val="24"/>
        </w:rPr>
        <w:t>O</w:t>
      </w:r>
      <w:r w:rsidRPr="00E0044C">
        <w:rPr>
          <w:rFonts w:ascii="Times New Roman" w:eastAsia="Times New Roman" w:hAnsi="Times New Roman" w:cs="Times New Roman"/>
          <w:color w:val="000000" w:themeColor="text1"/>
          <w:sz w:val="24"/>
          <w:szCs w:val="24"/>
          <w:vertAlign w:val="subscript"/>
        </w:rPr>
        <w:t xml:space="preserve">2 </w:t>
      </w:r>
      <w:r w:rsidRPr="00E0044C">
        <w:rPr>
          <w:rFonts w:ascii="Times New Roman" w:eastAsia="Times New Roman" w:hAnsi="Times New Roman" w:cs="Times New Roman"/>
          <w:color w:val="000000" w:themeColor="text1"/>
          <w:sz w:val="24"/>
          <w:szCs w:val="24"/>
        </w:rPr>
        <w:t>min</w:t>
      </w:r>
      <w:r w:rsidRPr="00E0044C">
        <w:rPr>
          <w:rFonts w:ascii="Times New Roman" w:eastAsia="Times New Roman" w:hAnsi="Times New Roman" w:cs="Times New Roman"/>
          <w:color w:val="000000" w:themeColor="text1"/>
          <w:sz w:val="24"/>
          <w:szCs w:val="24"/>
          <w:vertAlign w:val="superscript"/>
        </w:rPr>
        <w:t>−1</w:t>
      </w:r>
      <w:r w:rsidRPr="00E0044C">
        <w:rPr>
          <w:rFonts w:ascii="Times New Roman" w:eastAsia="Times New Roman" w:hAnsi="Times New Roman" w:cs="Times New Roman"/>
          <w:color w:val="000000" w:themeColor="text1"/>
          <w:sz w:val="24"/>
          <w:szCs w:val="24"/>
        </w:rPr>
        <w:t xml:space="preserve">. Peroxidase (POD) activity was recorded as described </w:t>
      </w:r>
      <w:r w:rsidRPr="00E0044C">
        <w:rPr>
          <w:rFonts w:ascii="Times New Roman" w:eastAsia="Times New Roman" w:hAnsi="Times New Roman" w:cs="Times New Roman"/>
          <w:color w:val="000000" w:themeColor="text1"/>
          <w:sz w:val="24"/>
          <w:szCs w:val="24"/>
        </w:rPr>
        <w:lastRenderedPageBreak/>
        <w:t xml:space="preserve">by </w:t>
      </w:r>
      <w:r w:rsidRPr="00E0044C">
        <w:rPr>
          <w:rFonts w:ascii="Times New Roman" w:eastAsia="Times New Roman" w:hAnsi="Times New Roman" w:cs="Times New Roman"/>
          <w:color w:val="000000" w:themeColor="text1"/>
          <w:sz w:val="24"/>
          <w:szCs w:val="24"/>
        </w:rPr>
        <w:fldChar w:fldCharType="begin" w:fldLock="1"/>
      </w:r>
      <w:r>
        <w:rPr>
          <w:rFonts w:ascii="Times New Roman" w:eastAsia="Times New Roman" w:hAnsi="Times New Roman" w:cs="Times New Roman"/>
          <w:color w:val="000000" w:themeColor="text1"/>
          <w:sz w:val="24"/>
          <w:szCs w:val="24"/>
        </w:rPr>
        <w:instrText>ADDIN CSL_CITATION {"citationItems":[{"id":"ITEM-1","itemData":{"DOI":"10.1007/BF00405186","ISSN":"00320935","abstract":"The seed coats of S. spinosa (prickly sida, Malvaceae) become impermeable to water during seed development on the mother plant. After the seeds have dehydrated during the final maturation stages, piercing of seed coats is necessary to induce imbibition of water and germination. Onset of impermeability occurs during seed coat browning, well in advance of seed dehydration. I. Marbach and A.M. Mayer (1975, Plant Physiol. 56, 93-96) implicated polyphenol oxidase (PO; EC 1.10.3.1) as catechol oxidase in the formation of insoluble polymers during development of coat impermeability in a wild strain of pea (Pisum elatius) seeds. We found, however, that peroxidase (EC 1.11.1.7), not PO, is instrumental in the development of water-impermeable seed coats in prickly sida. We isolated coats and embryos from seeds harvested at several stages of development. Highest peroxidase activity of coat extracts correlated well with the developmental stages of maximum conversion of soluble phenolics to insoluble lignin polymers. Although seed extracts oxidized dihydroxyphenylalanine, this activity was eliminated by catalase, indicating that the oxidation of phenolics in the coat is catalyzed by peroxidase rather than PO. Histochemical localization of peroxidase was strongest in the palisade layer; both the level and time of appearance of activity was proportional to the spectrophotometric assays of seed-coat extracts. The presence of peroxidase and the absence of PO in the seed coat were also confirmed with immunocytochemistry. Our results support the view that peroxidase is involved in the polymerization of soluble phenolics to insoluble lignin polymers during development of prickly sida seed coats, causing the formation of a water-impermeable barrier prior to seed dehydration. As dehydration proceeds, the chalazal area finally becomes impermeable resulting in the hard mature seeds of prickly sida. © 1983 Springer-Verlag.","author":[{"dropping-particle":"","family":"Egley","given":"G. H.","non-dropping-particle":"","parse-names":false,"suffix":""},{"dropping-particle":"","family":"Paul","given":"R. N.","non-dropping-particle":"","parse-names":false,"suffix":""},{"dropping-particle":"","family":"Vaughn","given":"K. C.","non-dropping-particle":"","parse-names":false,"suffix":""},{"dropping-particle":"","family":"Duke","given":"S. O.","non-dropping-particle":"","parse-names":false,"suffix":""}],"container-title":"Planta","id":"ITEM-1","issue":"3","issued":{"date-parts":[["1983"]]},"page":"224-232","title":"Role of peroxidase in the development of water-impermeable seed coats in Sida spinosa L.","type":"article-journal","volume":"157"},"uris":["http://www.mendeley.com/documents/?uuid=6150ce48-b70d-41ca-b894-abd59df27e0a"]}],"mendeley":{"formattedCitation":"&lt;sup&gt;87&lt;/sup&gt;","manualFormatting":"Egley et al. (1983)","plainTextFormattedCitation":"87","previouslyFormattedCitation":"(Egley et al., 1983)"},"properties":{"noteIndex":0},"schema":"https://github.com/citation-style-language/schema/raw/master/csl-citation.json"}</w:instrText>
      </w:r>
      <w:r w:rsidRPr="00E0044C">
        <w:rPr>
          <w:rFonts w:ascii="Times New Roman" w:eastAsia="Times New Roman" w:hAnsi="Times New Roman" w:cs="Times New Roman"/>
          <w:color w:val="000000" w:themeColor="text1"/>
          <w:sz w:val="24"/>
          <w:szCs w:val="24"/>
        </w:rPr>
        <w:fldChar w:fldCharType="separate"/>
      </w:r>
      <w:r w:rsidRPr="00E0044C">
        <w:rPr>
          <w:rFonts w:ascii="Times New Roman" w:eastAsia="Times New Roman" w:hAnsi="Times New Roman" w:cs="Times New Roman"/>
          <w:noProof/>
          <w:color w:val="000000" w:themeColor="text1"/>
          <w:sz w:val="24"/>
          <w:szCs w:val="24"/>
        </w:rPr>
        <w:t>Egley et al. (1983)</w:t>
      </w:r>
      <w:r w:rsidRPr="00E0044C">
        <w:rPr>
          <w:rFonts w:ascii="Times New Roman" w:eastAsia="Times New Roman" w:hAnsi="Times New Roman" w:cs="Times New Roman"/>
          <w:color w:val="000000" w:themeColor="text1"/>
          <w:sz w:val="24"/>
          <w:szCs w:val="24"/>
        </w:rPr>
        <w:fldChar w:fldCharType="end"/>
      </w:r>
      <w:r w:rsidRPr="00E0044C">
        <w:rPr>
          <w:rFonts w:ascii="Times New Roman" w:eastAsia="Times New Roman" w:hAnsi="Times New Roman" w:cs="Times New Roman"/>
          <w:color w:val="000000" w:themeColor="text1"/>
          <w:sz w:val="24"/>
          <w:szCs w:val="24"/>
        </w:rPr>
        <w:t xml:space="preserve">. An increase in absorbance due to </w:t>
      </w:r>
      <w:proofErr w:type="spellStart"/>
      <w:r w:rsidRPr="00E0044C">
        <w:rPr>
          <w:rFonts w:ascii="Times New Roman" w:eastAsia="Times New Roman" w:hAnsi="Times New Roman" w:cs="Times New Roman"/>
          <w:color w:val="000000" w:themeColor="text1"/>
          <w:sz w:val="24"/>
          <w:szCs w:val="24"/>
        </w:rPr>
        <w:t>guaiacol</w:t>
      </w:r>
      <w:proofErr w:type="spellEnd"/>
      <w:r w:rsidRPr="00E0044C">
        <w:rPr>
          <w:rFonts w:ascii="Times New Roman" w:eastAsia="Times New Roman" w:hAnsi="Times New Roman" w:cs="Times New Roman"/>
          <w:color w:val="000000" w:themeColor="text1"/>
          <w:sz w:val="24"/>
          <w:szCs w:val="24"/>
        </w:rPr>
        <w:t xml:space="preserve"> oxidation was measured at 470 nm. One unit of enzyme activity was defined as the amount of enzyme required to oxidize 1 </w:t>
      </w:r>
      <w:proofErr w:type="spellStart"/>
      <w:r w:rsidRPr="00E0044C">
        <w:rPr>
          <w:rFonts w:ascii="Times New Roman" w:eastAsia="Times New Roman" w:hAnsi="Times New Roman" w:cs="Times New Roman"/>
          <w:color w:val="000000" w:themeColor="text1"/>
          <w:sz w:val="24"/>
          <w:szCs w:val="24"/>
        </w:rPr>
        <w:t>μmol</w:t>
      </w:r>
      <w:proofErr w:type="spellEnd"/>
      <w:r w:rsidRPr="00E0044C">
        <w:rPr>
          <w:rFonts w:ascii="Times New Roman" w:eastAsia="Times New Roman" w:hAnsi="Times New Roman" w:cs="Times New Roman"/>
          <w:color w:val="000000" w:themeColor="text1"/>
          <w:sz w:val="24"/>
          <w:szCs w:val="24"/>
        </w:rPr>
        <w:t xml:space="preserve"> </w:t>
      </w:r>
      <w:proofErr w:type="spellStart"/>
      <w:r w:rsidRPr="00E0044C">
        <w:rPr>
          <w:rFonts w:ascii="Times New Roman" w:eastAsia="Times New Roman" w:hAnsi="Times New Roman" w:cs="Times New Roman"/>
          <w:color w:val="000000" w:themeColor="text1"/>
          <w:sz w:val="24"/>
          <w:szCs w:val="24"/>
        </w:rPr>
        <w:t>guaiacol</w:t>
      </w:r>
      <w:proofErr w:type="spellEnd"/>
      <w:r w:rsidRPr="00E0044C">
        <w:rPr>
          <w:rFonts w:ascii="Times New Roman" w:eastAsia="Times New Roman" w:hAnsi="Times New Roman" w:cs="Times New Roman"/>
          <w:color w:val="000000" w:themeColor="text1"/>
          <w:sz w:val="24"/>
          <w:szCs w:val="24"/>
        </w:rPr>
        <w:t xml:space="preserve"> min</w:t>
      </w:r>
      <w:r w:rsidRPr="00E0044C">
        <w:rPr>
          <w:rFonts w:ascii="Times New Roman" w:eastAsia="Times New Roman" w:hAnsi="Times New Roman" w:cs="Times New Roman"/>
          <w:color w:val="000000" w:themeColor="text1"/>
          <w:sz w:val="24"/>
          <w:szCs w:val="24"/>
          <w:vertAlign w:val="superscript"/>
        </w:rPr>
        <w:t>−1</w:t>
      </w:r>
      <w:r w:rsidRPr="00E0044C">
        <w:rPr>
          <w:rFonts w:ascii="Times New Roman" w:eastAsia="Times New Roman" w:hAnsi="Times New Roman" w:cs="Times New Roman"/>
          <w:color w:val="000000" w:themeColor="text1"/>
          <w:sz w:val="24"/>
          <w:szCs w:val="24"/>
        </w:rPr>
        <w:t xml:space="preserve">. Glutathione peroxidase (GPX) activity based on conversion of reduced glutathione to oxidized form following oxidation of NADH at 340 nm was determined </w:t>
      </w:r>
      <w:r w:rsidRPr="00E0044C">
        <w:rPr>
          <w:rFonts w:ascii="Times New Roman" w:eastAsia="Times New Roman" w:hAnsi="Times New Roman" w:cs="Times New Roman"/>
          <w:color w:val="000000" w:themeColor="text1"/>
          <w:sz w:val="24"/>
          <w:szCs w:val="24"/>
        </w:rPr>
        <w:fldChar w:fldCharType="begin" w:fldLock="1"/>
      </w:r>
      <w:r>
        <w:rPr>
          <w:rFonts w:ascii="Times New Roman" w:eastAsia="Times New Roman" w:hAnsi="Times New Roman" w:cs="Times New Roman"/>
          <w:color w:val="000000" w:themeColor="text1"/>
          <w:sz w:val="24"/>
          <w:szCs w:val="24"/>
        </w:rPr>
        <w:instrText>ADDIN CSL_CITATION {"citationItems":[{"id":"ITEM-1","itemData":{"DOI":"10.1016/0168-9452(85)90025-1","ISSN":"01689452","abstract":"Extracts from cultured plant cells of spinach, maize and sycamore and from Lemna plants contain detectable glutathione peroxidase activity, using either hydrogen peroxide or t-butyl hydroperoxide as substrates. Using extracts from cultured maize cells, two peaks of glutathione peroxidase activity could be resolved by a combination of gel filtration and ion exchange chromatography. One peak was eluted along with glutathione transferase activity; the second was distinct from both glutathione transferase and ascorbic acid peroxidase, and was active with both hydrogen peroxide and organic hydroperoxides. It seems likely that at least two enzymes with glutathione peroxidase activity exist in higher plant cells. © 1985.","author":[{"dropping-particle":"","family":"Drotar","given":"Annamarie","non-dropping-particle":"","parse-names":false,"suffix":""},{"dropping-particle":"","family":"Phelps","given":"Patricia","non-dropping-particle":"","parse-names":false,"suffix":""},{"dropping-particle":"","family":"Fall","given":"Ray","non-dropping-particle":"","parse-names":false,"suffix":""}],"container-title":"Plant Science","id":"ITEM-1","issue":"1","issued":{"date-parts":[["1985"]]},"page":"35-40","title":"Evidence for glutathione peroxidase activities in cultured plant cells","type":"article-journal","volume":"42"},"uris":["http://www.mendeley.com/documents/?uuid=85cfe2d8-c83e-4768-8070-16e5048e633f"]}],"mendeley":{"formattedCitation":"&lt;sup&gt;88&lt;/sup&gt;","plainTextFormattedCitation":"88","previouslyFormattedCitation":"(Drotar et al., 1985)"},"properties":{"noteIndex":0},"schema":"https://github.com/citation-style-language/schema/raw/master/csl-citation.json"}</w:instrText>
      </w:r>
      <w:r w:rsidRPr="00E0044C">
        <w:rPr>
          <w:rFonts w:ascii="Times New Roman" w:eastAsia="Times New Roman" w:hAnsi="Times New Roman" w:cs="Times New Roman"/>
          <w:color w:val="000000" w:themeColor="text1"/>
          <w:sz w:val="24"/>
          <w:szCs w:val="24"/>
        </w:rPr>
        <w:fldChar w:fldCharType="separate"/>
      </w:r>
      <w:r w:rsidRPr="007216D4">
        <w:rPr>
          <w:rFonts w:ascii="Times New Roman" w:eastAsia="Times New Roman" w:hAnsi="Times New Roman" w:cs="Times New Roman"/>
          <w:noProof/>
          <w:color w:val="000000" w:themeColor="text1"/>
          <w:sz w:val="24"/>
          <w:szCs w:val="24"/>
          <w:vertAlign w:val="superscript"/>
        </w:rPr>
        <w:t>88</w:t>
      </w:r>
      <w:r w:rsidRPr="00E0044C">
        <w:rPr>
          <w:rFonts w:ascii="Times New Roman" w:eastAsia="Times New Roman" w:hAnsi="Times New Roman" w:cs="Times New Roman"/>
          <w:color w:val="000000" w:themeColor="text1"/>
          <w:sz w:val="24"/>
          <w:szCs w:val="24"/>
        </w:rPr>
        <w:fldChar w:fldCharType="end"/>
      </w:r>
      <w:r w:rsidRPr="00E0044C">
        <w:rPr>
          <w:rFonts w:ascii="Times New Roman" w:eastAsia="Times New Roman" w:hAnsi="Times New Roman" w:cs="Times New Roman"/>
          <w:color w:val="000000" w:themeColor="text1"/>
          <w:sz w:val="24"/>
          <w:szCs w:val="24"/>
        </w:rPr>
        <w:t>. One unit of enzyme activity was defined as the quantity of enzyme required to catalyze the oxidation by H</w:t>
      </w:r>
      <w:r w:rsidRPr="00E0044C">
        <w:rPr>
          <w:rFonts w:ascii="Times New Roman" w:eastAsia="Times New Roman" w:hAnsi="Times New Roman" w:cs="Times New Roman"/>
          <w:color w:val="000000" w:themeColor="text1"/>
          <w:sz w:val="24"/>
          <w:szCs w:val="24"/>
          <w:vertAlign w:val="subscript"/>
        </w:rPr>
        <w:t>2</w:t>
      </w:r>
      <w:r w:rsidRPr="00E0044C">
        <w:rPr>
          <w:rFonts w:ascii="Times New Roman" w:eastAsia="Times New Roman" w:hAnsi="Times New Roman" w:cs="Times New Roman"/>
          <w:color w:val="000000" w:themeColor="text1"/>
          <w:sz w:val="24"/>
          <w:szCs w:val="24"/>
        </w:rPr>
        <w:t>O</w:t>
      </w:r>
      <w:r w:rsidRPr="00E0044C">
        <w:rPr>
          <w:rFonts w:ascii="Times New Roman" w:eastAsia="Times New Roman" w:hAnsi="Times New Roman" w:cs="Times New Roman"/>
          <w:color w:val="000000" w:themeColor="text1"/>
          <w:sz w:val="24"/>
          <w:szCs w:val="24"/>
          <w:vertAlign w:val="subscript"/>
        </w:rPr>
        <w:t>2</w:t>
      </w:r>
      <w:r w:rsidRPr="00E0044C">
        <w:rPr>
          <w:rFonts w:ascii="Times New Roman" w:eastAsia="Times New Roman" w:hAnsi="Times New Roman" w:cs="Times New Roman"/>
          <w:color w:val="000000" w:themeColor="text1"/>
          <w:sz w:val="24"/>
          <w:szCs w:val="24"/>
        </w:rPr>
        <w:t xml:space="preserve"> of 1 </w:t>
      </w:r>
      <w:proofErr w:type="spellStart"/>
      <w:r w:rsidRPr="00E0044C">
        <w:rPr>
          <w:rFonts w:ascii="Times New Roman" w:eastAsia="Times New Roman" w:hAnsi="Times New Roman" w:cs="Times New Roman"/>
          <w:color w:val="000000" w:themeColor="text1"/>
          <w:sz w:val="24"/>
          <w:szCs w:val="24"/>
        </w:rPr>
        <w:t>μmol</w:t>
      </w:r>
      <w:proofErr w:type="spellEnd"/>
      <w:r w:rsidRPr="00E0044C">
        <w:rPr>
          <w:rFonts w:ascii="Times New Roman" w:eastAsia="Times New Roman" w:hAnsi="Times New Roman" w:cs="Times New Roman"/>
          <w:color w:val="000000" w:themeColor="text1"/>
          <w:sz w:val="24"/>
          <w:szCs w:val="24"/>
        </w:rPr>
        <w:t xml:space="preserve"> reduced glutathione to oxidized form at pH 7.0 and 25 °C.</w:t>
      </w:r>
      <w:r w:rsidRPr="00E0044C">
        <w:rPr>
          <w:rFonts w:ascii="Times New Roman" w:hAnsi="Times New Roman" w:cs="Times New Roman"/>
          <w:color w:val="000000" w:themeColor="text1"/>
          <w:sz w:val="24"/>
          <w:szCs w:val="24"/>
        </w:rPr>
        <w:tab/>
      </w:r>
    </w:p>
    <w:p w:rsidR="00E145AA" w:rsidRPr="00E0044C" w:rsidRDefault="00E145AA" w:rsidP="00E145AA">
      <w:pPr>
        <w:spacing w:line="240" w:lineRule="auto"/>
        <w:jc w:val="both"/>
        <w:rPr>
          <w:rFonts w:ascii="Times New Roman" w:hAnsi="Times New Roman" w:cs="Times New Roman"/>
          <w:color w:val="000000" w:themeColor="text1"/>
          <w:sz w:val="24"/>
          <w:szCs w:val="24"/>
        </w:rPr>
      </w:pPr>
    </w:p>
    <w:p w:rsidR="00E145AA" w:rsidRPr="00E0044C" w:rsidRDefault="00E145AA" w:rsidP="00E145AA">
      <w:pPr>
        <w:spacing w:line="360" w:lineRule="auto"/>
        <w:jc w:val="both"/>
        <w:rPr>
          <w:rFonts w:ascii="Times New Roman" w:hAnsi="Times New Roman" w:cs="Times New Roman"/>
          <w:b/>
          <w:color w:val="000000" w:themeColor="text1"/>
          <w:sz w:val="24"/>
          <w:szCs w:val="24"/>
        </w:rPr>
      </w:pPr>
      <w:r w:rsidRPr="00E0044C">
        <w:rPr>
          <w:rFonts w:ascii="Times New Roman" w:hAnsi="Times New Roman" w:cs="Times New Roman"/>
          <w:color w:val="000000" w:themeColor="text1"/>
          <w:sz w:val="24"/>
          <w:szCs w:val="24"/>
        </w:rPr>
        <w:t xml:space="preserve">With advancement of time, EC of </w:t>
      </w:r>
      <w:proofErr w:type="spellStart"/>
      <w:r w:rsidRPr="00E0044C">
        <w:rPr>
          <w:rFonts w:ascii="Times New Roman" w:hAnsi="Times New Roman" w:cs="Times New Roman"/>
          <w:color w:val="000000" w:themeColor="text1"/>
          <w:sz w:val="24"/>
          <w:szCs w:val="24"/>
        </w:rPr>
        <w:t>leachate</w:t>
      </w:r>
      <w:proofErr w:type="spellEnd"/>
      <w:r w:rsidRPr="00E0044C">
        <w:rPr>
          <w:rFonts w:ascii="Times New Roman" w:hAnsi="Times New Roman" w:cs="Times New Roman"/>
          <w:color w:val="000000" w:themeColor="text1"/>
          <w:sz w:val="24"/>
          <w:szCs w:val="24"/>
        </w:rPr>
        <w:t xml:space="preserve"> from primed rice seeds diminished more over the control (</w:t>
      </w:r>
      <w:r w:rsidRPr="00E0044C">
        <w:rPr>
          <w:rFonts w:ascii="Times New Roman" w:hAnsi="Times New Roman" w:cs="Times New Roman"/>
          <w:b/>
          <w:bCs/>
          <w:color w:val="000000" w:themeColor="text1"/>
          <w:sz w:val="24"/>
          <w:szCs w:val="24"/>
        </w:rPr>
        <w:t>Supplementary Figure 2</w:t>
      </w:r>
      <w:r w:rsidRPr="00E0044C">
        <w:rPr>
          <w:rFonts w:ascii="Times New Roman" w:hAnsi="Times New Roman" w:cs="Times New Roman"/>
          <w:color w:val="000000" w:themeColor="text1"/>
          <w:sz w:val="24"/>
          <w:szCs w:val="24"/>
        </w:rPr>
        <w:t xml:space="preserve">). A minimum of </w:t>
      </w:r>
      <w:proofErr w:type="spellStart"/>
      <w:r w:rsidRPr="00E0044C">
        <w:rPr>
          <w:rFonts w:ascii="Times New Roman" w:hAnsi="Times New Roman" w:cs="Times New Roman"/>
          <w:color w:val="000000" w:themeColor="text1"/>
          <w:sz w:val="24"/>
          <w:szCs w:val="24"/>
        </w:rPr>
        <w:t>leachate</w:t>
      </w:r>
      <w:proofErr w:type="spellEnd"/>
      <w:r w:rsidRPr="00E0044C">
        <w:rPr>
          <w:rFonts w:ascii="Times New Roman" w:hAnsi="Times New Roman" w:cs="Times New Roman"/>
          <w:color w:val="000000" w:themeColor="text1"/>
          <w:sz w:val="24"/>
          <w:szCs w:val="24"/>
        </w:rPr>
        <w:t xml:space="preserve"> conductivity was recorded in the combination of all three priming agents, although Se-primed seeds had lower EC of </w:t>
      </w:r>
      <w:proofErr w:type="spellStart"/>
      <w:r w:rsidRPr="00E0044C">
        <w:rPr>
          <w:rFonts w:ascii="Times New Roman" w:hAnsi="Times New Roman" w:cs="Times New Roman"/>
          <w:color w:val="000000" w:themeColor="text1"/>
          <w:sz w:val="24"/>
          <w:szCs w:val="24"/>
        </w:rPr>
        <w:t>leachate</w:t>
      </w:r>
      <w:proofErr w:type="spellEnd"/>
      <w:r w:rsidRPr="00E0044C">
        <w:rPr>
          <w:rFonts w:ascii="Times New Roman" w:hAnsi="Times New Roman" w:cs="Times New Roman"/>
          <w:color w:val="000000" w:themeColor="text1"/>
          <w:sz w:val="24"/>
          <w:szCs w:val="24"/>
        </w:rPr>
        <w:t xml:space="preserve"> compared to </w:t>
      </w:r>
      <w:proofErr w:type="spellStart"/>
      <w:r w:rsidRPr="00E0044C">
        <w:rPr>
          <w:rFonts w:ascii="Times New Roman" w:hAnsi="Times New Roman" w:cs="Times New Roman"/>
          <w:color w:val="000000" w:themeColor="text1"/>
          <w:sz w:val="24"/>
          <w:szCs w:val="24"/>
        </w:rPr>
        <w:t>ZnO</w:t>
      </w:r>
      <w:proofErr w:type="spellEnd"/>
      <w:r w:rsidRPr="00E0044C">
        <w:rPr>
          <w:rFonts w:ascii="Times New Roman" w:hAnsi="Times New Roman" w:cs="Times New Roman"/>
          <w:color w:val="000000" w:themeColor="text1"/>
          <w:sz w:val="24"/>
          <w:szCs w:val="24"/>
        </w:rPr>
        <w:t xml:space="preserve">-NPs alone. Selenate (7.87 </w:t>
      </w:r>
      <w:proofErr w:type="spellStart"/>
      <w:r w:rsidRPr="00E0044C">
        <w:rPr>
          <w:rFonts w:ascii="Times New Roman" w:hAnsi="Times New Roman" w:cs="Times New Roman"/>
          <w:color w:val="000000" w:themeColor="text1"/>
          <w:sz w:val="24"/>
          <w:szCs w:val="24"/>
        </w:rPr>
        <w:t>nmol</w:t>
      </w:r>
      <w:proofErr w:type="spellEnd"/>
      <w:r w:rsidRPr="00E0044C">
        <w:rPr>
          <w:rFonts w:ascii="Times New Roman" w:hAnsi="Times New Roman" w:cs="Times New Roman"/>
          <w:color w:val="000000" w:themeColor="text1"/>
          <w:sz w:val="24"/>
          <w:szCs w:val="24"/>
        </w:rPr>
        <w:t xml:space="preserve">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was more effective in reducing MDA content than either selenite (8.17 </w:t>
      </w:r>
      <w:proofErr w:type="spellStart"/>
      <w:r w:rsidRPr="00E0044C">
        <w:rPr>
          <w:rFonts w:ascii="Times New Roman" w:hAnsi="Times New Roman" w:cs="Times New Roman"/>
          <w:color w:val="000000" w:themeColor="text1"/>
          <w:sz w:val="24"/>
          <w:szCs w:val="24"/>
        </w:rPr>
        <w:t>nmol</w:t>
      </w:r>
      <w:proofErr w:type="spellEnd"/>
      <w:r w:rsidRPr="00E0044C">
        <w:rPr>
          <w:rFonts w:ascii="Times New Roman" w:hAnsi="Times New Roman" w:cs="Times New Roman"/>
          <w:color w:val="000000" w:themeColor="text1"/>
          <w:sz w:val="24"/>
          <w:szCs w:val="24"/>
        </w:rPr>
        <w:t xml:space="preserve">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or nano zinc (8.31 </w:t>
      </w:r>
      <w:proofErr w:type="spellStart"/>
      <w:r w:rsidRPr="00E0044C">
        <w:rPr>
          <w:rFonts w:ascii="Times New Roman" w:hAnsi="Times New Roman" w:cs="Times New Roman"/>
          <w:color w:val="000000" w:themeColor="text1"/>
          <w:sz w:val="24"/>
          <w:szCs w:val="24"/>
        </w:rPr>
        <w:t>nmol</w:t>
      </w:r>
      <w:proofErr w:type="spellEnd"/>
      <w:r w:rsidRPr="00E0044C">
        <w:rPr>
          <w:rFonts w:ascii="Times New Roman" w:hAnsi="Times New Roman" w:cs="Times New Roman"/>
          <w:color w:val="000000" w:themeColor="text1"/>
          <w:sz w:val="24"/>
          <w:szCs w:val="24"/>
        </w:rPr>
        <w:t xml:space="preserve">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w:t>
      </w:r>
      <w:r w:rsidRPr="00E0044C">
        <w:rPr>
          <w:rFonts w:ascii="Times New Roman" w:hAnsi="Times New Roman" w:cs="Times New Roman"/>
          <w:b/>
          <w:bCs/>
          <w:color w:val="000000" w:themeColor="text1"/>
          <w:sz w:val="24"/>
          <w:szCs w:val="24"/>
        </w:rPr>
        <w:t>Supplementary Table 2</w:t>
      </w:r>
      <w:r w:rsidRPr="00E0044C">
        <w:rPr>
          <w:rFonts w:ascii="Times New Roman" w:hAnsi="Times New Roman" w:cs="Times New Roman"/>
          <w:color w:val="000000" w:themeColor="text1"/>
          <w:sz w:val="24"/>
          <w:szCs w:val="24"/>
        </w:rPr>
        <w:t xml:space="preserve">). Selenate was further effective in combination with selenite (7.45 </w:t>
      </w:r>
      <w:proofErr w:type="spellStart"/>
      <w:r w:rsidRPr="00E0044C">
        <w:rPr>
          <w:rFonts w:ascii="Times New Roman" w:hAnsi="Times New Roman" w:cs="Times New Roman"/>
          <w:color w:val="000000" w:themeColor="text1"/>
          <w:sz w:val="24"/>
          <w:szCs w:val="24"/>
        </w:rPr>
        <w:t>nmol</w:t>
      </w:r>
      <w:proofErr w:type="spellEnd"/>
      <w:r w:rsidRPr="00E0044C">
        <w:rPr>
          <w:rFonts w:ascii="Times New Roman" w:hAnsi="Times New Roman" w:cs="Times New Roman"/>
          <w:color w:val="000000" w:themeColor="text1"/>
          <w:sz w:val="24"/>
          <w:szCs w:val="24"/>
        </w:rPr>
        <w:t xml:space="preserve">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of MDA) or </w:t>
      </w:r>
      <w:proofErr w:type="spellStart"/>
      <w:r w:rsidRPr="00E0044C">
        <w:rPr>
          <w:rFonts w:ascii="Times New Roman" w:hAnsi="Times New Roman" w:cs="Times New Roman"/>
          <w:color w:val="000000" w:themeColor="text1"/>
          <w:sz w:val="24"/>
          <w:szCs w:val="24"/>
        </w:rPr>
        <w:t>ZnO</w:t>
      </w:r>
      <w:proofErr w:type="spellEnd"/>
      <w:r w:rsidRPr="00E0044C">
        <w:rPr>
          <w:rFonts w:ascii="Times New Roman" w:hAnsi="Times New Roman" w:cs="Times New Roman"/>
          <w:color w:val="000000" w:themeColor="text1"/>
          <w:sz w:val="24"/>
          <w:szCs w:val="24"/>
        </w:rPr>
        <w:t xml:space="preserve">-NPs (7.46 </w:t>
      </w:r>
      <w:proofErr w:type="spellStart"/>
      <w:r w:rsidRPr="00E0044C">
        <w:rPr>
          <w:rFonts w:ascii="Times New Roman" w:hAnsi="Times New Roman" w:cs="Times New Roman"/>
          <w:color w:val="000000" w:themeColor="text1"/>
          <w:sz w:val="24"/>
          <w:szCs w:val="24"/>
        </w:rPr>
        <w:t>nmol</w:t>
      </w:r>
      <w:proofErr w:type="spellEnd"/>
      <w:r w:rsidRPr="00E0044C">
        <w:rPr>
          <w:rFonts w:ascii="Times New Roman" w:hAnsi="Times New Roman" w:cs="Times New Roman"/>
          <w:color w:val="000000" w:themeColor="text1"/>
          <w:sz w:val="24"/>
          <w:szCs w:val="24"/>
        </w:rPr>
        <w:t xml:space="preserve">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or with both (7.36 </w:t>
      </w:r>
      <w:proofErr w:type="spellStart"/>
      <w:r w:rsidRPr="00E0044C">
        <w:rPr>
          <w:rFonts w:ascii="Times New Roman" w:hAnsi="Times New Roman" w:cs="Times New Roman"/>
          <w:color w:val="000000" w:themeColor="text1"/>
          <w:sz w:val="24"/>
          <w:szCs w:val="24"/>
        </w:rPr>
        <w:t>nmol</w:t>
      </w:r>
      <w:proofErr w:type="spellEnd"/>
      <w:r w:rsidRPr="00E0044C">
        <w:rPr>
          <w:rFonts w:ascii="Times New Roman" w:hAnsi="Times New Roman" w:cs="Times New Roman"/>
          <w:color w:val="000000" w:themeColor="text1"/>
          <w:sz w:val="24"/>
          <w:szCs w:val="24"/>
        </w:rPr>
        <w:t xml:space="preserve">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Although better efficacy was observed with respect to increase in α-amylase activity of selenate (8.79 units) over that of selenite (7.88 units) or </w:t>
      </w:r>
      <w:proofErr w:type="spellStart"/>
      <w:r w:rsidRPr="00E0044C">
        <w:rPr>
          <w:rFonts w:ascii="Times New Roman" w:hAnsi="Times New Roman" w:cs="Times New Roman"/>
          <w:color w:val="000000" w:themeColor="text1"/>
          <w:sz w:val="24"/>
          <w:szCs w:val="24"/>
        </w:rPr>
        <w:t>ZnO</w:t>
      </w:r>
      <w:proofErr w:type="spellEnd"/>
      <w:r w:rsidRPr="00E0044C">
        <w:rPr>
          <w:rFonts w:ascii="Times New Roman" w:hAnsi="Times New Roman" w:cs="Times New Roman"/>
          <w:color w:val="000000" w:themeColor="text1"/>
          <w:sz w:val="24"/>
          <w:szCs w:val="24"/>
        </w:rPr>
        <w:t xml:space="preserve">-NPs (7.88 units), combined application of all three priming agents recorded the highest α-amylase activity (9.53 units). Soluble sugar content, a major product of α-amylase activity, was also the highest in seed </w:t>
      </w:r>
      <w:proofErr w:type="spellStart"/>
      <w:r w:rsidRPr="00E0044C">
        <w:rPr>
          <w:rFonts w:ascii="Times New Roman" w:hAnsi="Times New Roman" w:cs="Times New Roman"/>
          <w:color w:val="000000" w:themeColor="text1"/>
          <w:sz w:val="24"/>
          <w:szCs w:val="24"/>
        </w:rPr>
        <w:t>leachate</w:t>
      </w:r>
      <w:proofErr w:type="spellEnd"/>
      <w:r w:rsidRPr="00E0044C">
        <w:rPr>
          <w:rFonts w:ascii="Times New Roman" w:hAnsi="Times New Roman" w:cs="Times New Roman"/>
          <w:color w:val="000000" w:themeColor="text1"/>
          <w:sz w:val="24"/>
          <w:szCs w:val="24"/>
        </w:rPr>
        <w:t xml:space="preserve"> with combination of all three (18.07 mg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followed by selenate + </w:t>
      </w:r>
      <w:proofErr w:type="spellStart"/>
      <w:r w:rsidRPr="00E0044C">
        <w:rPr>
          <w:rFonts w:ascii="Times New Roman" w:hAnsi="Times New Roman" w:cs="Times New Roman"/>
          <w:color w:val="000000" w:themeColor="text1"/>
          <w:sz w:val="24"/>
          <w:szCs w:val="24"/>
        </w:rPr>
        <w:t>ZnO</w:t>
      </w:r>
      <w:proofErr w:type="spellEnd"/>
      <w:r w:rsidRPr="00E0044C">
        <w:rPr>
          <w:rFonts w:ascii="Times New Roman" w:hAnsi="Times New Roman" w:cs="Times New Roman"/>
          <w:color w:val="000000" w:themeColor="text1"/>
          <w:sz w:val="24"/>
          <w:szCs w:val="24"/>
        </w:rPr>
        <w:t>-NPS (17.79 mg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selenite + selenate (17.17 mg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only selenite (16.35 mg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and only </w:t>
      </w:r>
      <w:proofErr w:type="spellStart"/>
      <w:r w:rsidRPr="00E0044C">
        <w:rPr>
          <w:rFonts w:ascii="Times New Roman" w:hAnsi="Times New Roman" w:cs="Times New Roman"/>
          <w:color w:val="000000" w:themeColor="text1"/>
          <w:sz w:val="24"/>
          <w:szCs w:val="24"/>
        </w:rPr>
        <w:t>ZnO</w:t>
      </w:r>
      <w:proofErr w:type="spellEnd"/>
      <w:r w:rsidRPr="00E0044C">
        <w:rPr>
          <w:rFonts w:ascii="Times New Roman" w:hAnsi="Times New Roman" w:cs="Times New Roman"/>
          <w:color w:val="000000" w:themeColor="text1"/>
          <w:sz w:val="24"/>
          <w:szCs w:val="24"/>
        </w:rPr>
        <w:t>-NPs</w:t>
      </w:r>
      <w:r w:rsidRPr="00E0044C">
        <w:rPr>
          <w:rFonts w:ascii="Times New Roman" w:hAnsi="Times New Roman" w:cs="Times New Roman"/>
          <w:color w:val="000000" w:themeColor="text1"/>
          <w:sz w:val="24"/>
          <w:szCs w:val="24"/>
          <w:vertAlign w:val="subscript"/>
        </w:rPr>
        <w:t xml:space="preserve"> </w:t>
      </w:r>
      <w:r w:rsidRPr="00E0044C">
        <w:rPr>
          <w:rFonts w:ascii="Times New Roman" w:hAnsi="Times New Roman" w:cs="Times New Roman"/>
          <w:color w:val="000000" w:themeColor="text1"/>
          <w:sz w:val="24"/>
          <w:szCs w:val="24"/>
        </w:rPr>
        <w:t>(16.49 nm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Combined application of all three priming agents also enhanced the activity of antioxidant enzymes SOD (991 </w:t>
      </w:r>
      <w:proofErr w:type="gramStart"/>
      <w:r w:rsidRPr="00E0044C">
        <w:rPr>
          <w:rFonts w:ascii="Times New Roman" w:hAnsi="Times New Roman" w:cs="Times New Roman"/>
          <w:color w:val="000000" w:themeColor="text1"/>
          <w:sz w:val="24"/>
          <w:szCs w:val="24"/>
        </w:rPr>
        <w:t>units</w:t>
      </w:r>
      <w:proofErr w:type="gramEnd"/>
      <w:r w:rsidRPr="00E0044C">
        <w:rPr>
          <w:rFonts w:ascii="Times New Roman" w:hAnsi="Times New Roman" w:cs="Times New Roman"/>
          <w:color w:val="000000" w:themeColor="text1"/>
          <w:sz w:val="24"/>
          <w:szCs w:val="24"/>
        </w:rPr>
        <w:t xml:space="preserve">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protein), POX (3.37 units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protein), CAT (2.59 units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protein) and GPX (324 µmol min</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g</w:t>
      </w:r>
      <w:r w:rsidRPr="00E0044C">
        <w:rPr>
          <w:rFonts w:ascii="Times New Roman" w:hAnsi="Times New Roman" w:cs="Times New Roman"/>
          <w:color w:val="000000" w:themeColor="text1"/>
          <w:sz w:val="24"/>
          <w:szCs w:val="24"/>
          <w:vertAlign w:val="superscript"/>
        </w:rPr>
        <w:t>-1</w:t>
      </w:r>
      <w:r w:rsidRPr="00E0044C">
        <w:rPr>
          <w:rFonts w:ascii="Times New Roman" w:hAnsi="Times New Roman" w:cs="Times New Roman"/>
          <w:color w:val="000000" w:themeColor="text1"/>
          <w:sz w:val="24"/>
          <w:szCs w:val="24"/>
        </w:rPr>
        <w:t xml:space="preserve"> protein) compared to the control.</w:t>
      </w:r>
    </w:p>
    <w:p w:rsidR="00E145AA" w:rsidRPr="00E0044C" w:rsidRDefault="00E145AA" w:rsidP="00E145AA">
      <w:pPr>
        <w:spacing w:line="240" w:lineRule="auto"/>
        <w:jc w:val="both"/>
        <w:rPr>
          <w:rFonts w:ascii="Times New Roman" w:hAnsi="Times New Roman" w:cs="Times New Roman"/>
          <w:b/>
          <w:color w:val="000000" w:themeColor="text1"/>
          <w:sz w:val="24"/>
          <w:szCs w:val="24"/>
        </w:rPr>
      </w:pPr>
    </w:p>
    <w:p w:rsidR="00E145AA" w:rsidRDefault="00E145AA" w:rsidP="00E145AA">
      <w:pPr>
        <w:spacing w:after="160" w:line="259" w:lineRule="auto"/>
        <w:rPr>
          <w:rFonts w:ascii="Times New Roman" w:hAnsi="Times New Roman" w:cs="Times New Roman"/>
          <w:b/>
          <w:color w:val="000000" w:themeColor="text1"/>
          <w:sz w:val="24"/>
          <w:szCs w:val="24"/>
        </w:rPr>
      </w:pPr>
    </w:p>
    <w:p w:rsidR="00E145AA" w:rsidRDefault="00E145AA" w:rsidP="00E145AA">
      <w:pPr>
        <w:spacing w:after="160" w:line="259" w:lineRule="auto"/>
        <w:rPr>
          <w:rFonts w:ascii="Times New Roman" w:hAnsi="Times New Roman" w:cs="Times New Roman"/>
          <w:b/>
          <w:color w:val="000000" w:themeColor="text1"/>
          <w:sz w:val="24"/>
          <w:szCs w:val="24"/>
        </w:rPr>
      </w:pPr>
    </w:p>
    <w:p w:rsidR="00E145AA" w:rsidRDefault="00E145AA" w:rsidP="00E145AA">
      <w:pPr>
        <w:spacing w:after="160" w:line="259" w:lineRule="auto"/>
        <w:rPr>
          <w:rFonts w:ascii="Times New Roman" w:hAnsi="Times New Roman" w:cs="Times New Roman"/>
          <w:b/>
          <w:color w:val="000000" w:themeColor="text1"/>
          <w:sz w:val="24"/>
          <w:szCs w:val="24"/>
        </w:rPr>
      </w:pPr>
    </w:p>
    <w:p w:rsidR="00E145AA" w:rsidRDefault="00E145AA" w:rsidP="00E145AA">
      <w:pPr>
        <w:spacing w:after="160" w:line="259" w:lineRule="auto"/>
        <w:rPr>
          <w:rFonts w:ascii="Times New Roman" w:hAnsi="Times New Roman" w:cs="Times New Roman"/>
          <w:b/>
          <w:color w:val="000000" w:themeColor="text1"/>
          <w:sz w:val="24"/>
          <w:szCs w:val="24"/>
        </w:rPr>
      </w:pPr>
    </w:p>
    <w:p w:rsidR="00E145AA" w:rsidRDefault="00E145AA" w:rsidP="00E145AA">
      <w:pPr>
        <w:spacing w:after="160" w:line="259" w:lineRule="auto"/>
        <w:rPr>
          <w:rFonts w:ascii="Times New Roman" w:hAnsi="Times New Roman" w:cs="Times New Roman"/>
          <w:b/>
          <w:color w:val="000000" w:themeColor="text1"/>
          <w:sz w:val="24"/>
          <w:szCs w:val="24"/>
        </w:rPr>
      </w:pPr>
    </w:p>
    <w:p w:rsidR="00E145AA" w:rsidRDefault="00E145AA" w:rsidP="00E145AA">
      <w:pPr>
        <w:spacing w:after="160" w:line="259" w:lineRule="auto"/>
        <w:rPr>
          <w:rFonts w:ascii="Times New Roman" w:hAnsi="Times New Roman" w:cs="Times New Roman"/>
          <w:b/>
          <w:color w:val="000000" w:themeColor="text1"/>
          <w:sz w:val="24"/>
          <w:szCs w:val="24"/>
        </w:rPr>
      </w:pPr>
    </w:p>
    <w:p w:rsidR="00E145AA" w:rsidRDefault="00E145AA" w:rsidP="00E145AA">
      <w:pPr>
        <w:spacing w:after="160" w:line="259" w:lineRule="auto"/>
        <w:rPr>
          <w:rFonts w:ascii="Times New Roman" w:hAnsi="Times New Roman" w:cs="Times New Roman"/>
          <w:b/>
          <w:color w:val="000000" w:themeColor="text1"/>
          <w:sz w:val="24"/>
          <w:szCs w:val="24"/>
        </w:rPr>
      </w:pPr>
    </w:p>
    <w:p w:rsidR="00E145AA" w:rsidRDefault="00E145AA" w:rsidP="00E145AA">
      <w:pPr>
        <w:spacing w:after="160" w:line="259" w:lineRule="auto"/>
        <w:rPr>
          <w:rFonts w:ascii="Times New Roman" w:hAnsi="Times New Roman" w:cs="Times New Roman"/>
          <w:b/>
          <w:color w:val="000000" w:themeColor="text1"/>
          <w:sz w:val="24"/>
          <w:szCs w:val="24"/>
        </w:rPr>
      </w:pPr>
    </w:p>
    <w:p w:rsidR="00E145AA" w:rsidRPr="00E0044C" w:rsidRDefault="00E145AA" w:rsidP="00E145AA">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b/>
          <w:color w:val="000000" w:themeColor="text1"/>
          <w:sz w:val="24"/>
          <w:szCs w:val="24"/>
        </w:rPr>
        <w:lastRenderedPageBreak/>
        <w:t xml:space="preserve">Supplementary Table S2 </w:t>
      </w:r>
      <w:r w:rsidRPr="00E0044C">
        <w:rPr>
          <w:rFonts w:ascii="Times New Roman" w:hAnsi="Times New Roman" w:cs="Times New Roman"/>
          <w:color w:val="000000" w:themeColor="text1"/>
          <w:sz w:val="24"/>
          <w:szCs w:val="24"/>
        </w:rPr>
        <w:t xml:space="preserve">Effect </w:t>
      </w:r>
      <w:r w:rsidRPr="00E0044C">
        <w:rPr>
          <w:rFonts w:ascii="Times New Roman" w:hAnsi="Times New Roman" w:cs="Times New Roman"/>
          <w:bCs/>
          <w:color w:val="000000" w:themeColor="text1"/>
          <w:sz w:val="24"/>
          <w:szCs w:val="24"/>
        </w:rPr>
        <w:t>of priming on seed biochemical attributes in DSR</w:t>
      </w:r>
    </w:p>
    <w:p w:rsidR="00E145AA" w:rsidRPr="00E0044C" w:rsidRDefault="00E145AA" w:rsidP="00E145AA">
      <w:pPr>
        <w:spacing w:line="240" w:lineRule="auto"/>
        <w:jc w:val="both"/>
        <w:rPr>
          <w:rFonts w:ascii="Times New Roman" w:hAnsi="Times New Roman" w:cs="Times New Roman"/>
          <w:bCs/>
          <w:color w:val="000000" w:themeColor="text1"/>
          <w:sz w:val="24"/>
          <w:szCs w:val="24"/>
        </w:rPr>
      </w:pPr>
    </w:p>
    <w:p w:rsidR="00E145AA" w:rsidRPr="00E0044C" w:rsidRDefault="00E145AA" w:rsidP="00E145AA">
      <w:pPr>
        <w:spacing w:line="240" w:lineRule="auto"/>
        <w:jc w:val="both"/>
        <w:rPr>
          <w:rFonts w:ascii="Times New Roman" w:eastAsia="Calibri" w:hAnsi="Times New Roman" w:cs="Times New Roman"/>
          <w:b/>
          <w:color w:val="000000" w:themeColor="text1"/>
          <w:sz w:val="24"/>
          <w:szCs w:val="24"/>
          <w:lang w:eastAsia="en-US"/>
        </w:rPr>
      </w:pPr>
      <w:r w:rsidRPr="00E0044C">
        <w:rPr>
          <w:rFonts w:ascii="Times New Roman" w:hAnsi="Times New Roman" w:cs="Times New Roman"/>
          <w:bCs/>
          <w:color w:val="000000" w:themeColor="text1"/>
          <w:sz w:val="24"/>
          <w:szCs w:val="24"/>
        </w:rPr>
        <w:t xml:space="preserve"> </w:t>
      </w:r>
    </w:p>
    <w:tbl>
      <w:tblPr>
        <w:tblW w:w="4904" w:type="pct"/>
        <w:tblBorders>
          <w:top w:val="single" w:sz="4" w:space="0" w:color="auto"/>
          <w:bottom w:val="single" w:sz="4" w:space="0" w:color="auto"/>
        </w:tblBorders>
        <w:tblLook w:val="04A0"/>
      </w:tblPr>
      <w:tblGrid>
        <w:gridCol w:w="1492"/>
        <w:gridCol w:w="1017"/>
        <w:gridCol w:w="1070"/>
        <w:gridCol w:w="1043"/>
        <w:gridCol w:w="994"/>
        <w:gridCol w:w="1130"/>
        <w:gridCol w:w="1122"/>
        <w:gridCol w:w="1199"/>
      </w:tblGrid>
      <w:tr w:rsidR="00E145AA" w:rsidRPr="00E0044C" w:rsidTr="00437A5B">
        <w:tc>
          <w:tcPr>
            <w:tcW w:w="822" w:type="pct"/>
            <w:vMerge w:val="restart"/>
          </w:tcPr>
          <w:p w:rsidR="00E145AA" w:rsidRPr="00E0044C" w:rsidRDefault="00E145AA" w:rsidP="00437A5B">
            <w:pPr>
              <w:spacing w:line="240" w:lineRule="auto"/>
              <w:jc w:val="both"/>
              <w:rPr>
                <w:rFonts w:ascii="Times New Roman" w:eastAsia="Calibri" w:hAnsi="Times New Roman" w:cs="Times New Roman"/>
                <w:bCs/>
                <w:color w:val="000000" w:themeColor="text1"/>
                <w:sz w:val="24"/>
                <w:szCs w:val="24"/>
                <w:lang w:eastAsia="en-US"/>
              </w:rPr>
            </w:pPr>
            <w:r w:rsidRPr="00E0044C">
              <w:rPr>
                <w:rFonts w:ascii="Times New Roman" w:eastAsia="Calibri" w:hAnsi="Times New Roman" w:cs="Times New Roman"/>
                <w:bCs/>
                <w:color w:val="000000" w:themeColor="text1"/>
                <w:sz w:val="24"/>
                <w:szCs w:val="24"/>
                <w:lang w:eastAsia="en-US"/>
              </w:rPr>
              <w:t>Treatments</w:t>
            </w:r>
          </w:p>
        </w:tc>
        <w:tc>
          <w:tcPr>
            <w:tcW w:w="560"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bCs/>
                <w:color w:val="000000" w:themeColor="text1"/>
                <w:sz w:val="24"/>
                <w:szCs w:val="24"/>
              </w:rPr>
              <w:t xml:space="preserve">MDA </w:t>
            </w:r>
          </w:p>
          <w:p w:rsidR="00E145AA" w:rsidRPr="00E0044C" w:rsidRDefault="00E145AA" w:rsidP="00437A5B">
            <w:pPr>
              <w:spacing w:line="240" w:lineRule="auto"/>
              <w:jc w:val="both"/>
              <w:rPr>
                <w:rFonts w:ascii="Times New Roman" w:eastAsia="Calibri" w:hAnsi="Times New Roman" w:cs="Times New Roman"/>
                <w:bCs/>
                <w:color w:val="000000" w:themeColor="text1"/>
                <w:sz w:val="24"/>
                <w:szCs w:val="24"/>
                <w:lang w:eastAsia="en-US"/>
              </w:rPr>
            </w:pPr>
          </w:p>
        </w:tc>
        <w:tc>
          <w:tcPr>
            <w:tcW w:w="590"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bCs/>
                <w:color w:val="000000" w:themeColor="text1"/>
                <w:sz w:val="24"/>
                <w:szCs w:val="24"/>
              </w:rPr>
              <w:t>α-Amylase</w:t>
            </w:r>
          </w:p>
          <w:p w:rsidR="00E145AA" w:rsidRPr="00E0044C" w:rsidRDefault="00E145AA" w:rsidP="00437A5B">
            <w:pPr>
              <w:spacing w:line="240" w:lineRule="auto"/>
              <w:jc w:val="both"/>
              <w:rPr>
                <w:rFonts w:ascii="Times New Roman" w:eastAsia="Calibri" w:hAnsi="Times New Roman" w:cs="Times New Roman"/>
                <w:bCs/>
                <w:color w:val="000000" w:themeColor="text1"/>
                <w:sz w:val="24"/>
                <w:szCs w:val="24"/>
                <w:lang w:eastAsia="en-US"/>
              </w:rPr>
            </w:pPr>
            <w:r w:rsidRPr="00E0044C">
              <w:rPr>
                <w:rFonts w:ascii="Times New Roman" w:hAnsi="Times New Roman" w:cs="Times New Roman"/>
                <w:bCs/>
                <w:color w:val="000000" w:themeColor="text1"/>
                <w:sz w:val="24"/>
                <w:szCs w:val="24"/>
              </w:rPr>
              <w:t xml:space="preserve">activity </w:t>
            </w:r>
          </w:p>
        </w:tc>
        <w:tc>
          <w:tcPr>
            <w:tcW w:w="575" w:type="pct"/>
            <w:tcBorders>
              <w:top w:val="single" w:sz="4" w:space="0" w:color="auto"/>
              <w:bottom w:val="single" w:sz="4" w:space="0" w:color="auto"/>
            </w:tcBorders>
          </w:tcPr>
          <w:p w:rsidR="00E145AA" w:rsidRPr="00E0044C" w:rsidRDefault="00E145AA" w:rsidP="00437A5B">
            <w:pPr>
              <w:spacing w:line="240" w:lineRule="auto"/>
              <w:ind w:right="-106"/>
              <w:jc w:val="both"/>
              <w:rPr>
                <w:rFonts w:ascii="Times New Roman" w:hAnsi="Times New Roman" w:cs="Times New Roman"/>
                <w:bCs/>
                <w:color w:val="000000" w:themeColor="text1"/>
                <w:sz w:val="24"/>
                <w:szCs w:val="24"/>
              </w:rPr>
            </w:pPr>
            <w:r w:rsidRPr="00E0044C">
              <w:rPr>
                <w:rFonts w:ascii="Times New Roman" w:hAnsi="Times New Roman" w:cs="Times New Roman"/>
                <w:bCs/>
                <w:color w:val="000000" w:themeColor="text1"/>
                <w:sz w:val="24"/>
                <w:szCs w:val="24"/>
              </w:rPr>
              <w:t>Total soluble sugars</w:t>
            </w:r>
          </w:p>
          <w:p w:rsidR="00E145AA" w:rsidRPr="00E0044C" w:rsidRDefault="00E145AA" w:rsidP="00437A5B">
            <w:pPr>
              <w:spacing w:line="240" w:lineRule="auto"/>
              <w:ind w:right="-106"/>
              <w:jc w:val="both"/>
              <w:rPr>
                <w:rFonts w:ascii="Times New Roman" w:eastAsia="Calibri" w:hAnsi="Times New Roman" w:cs="Times New Roman"/>
                <w:bCs/>
                <w:color w:val="000000" w:themeColor="text1"/>
                <w:sz w:val="24"/>
                <w:szCs w:val="24"/>
                <w:lang w:eastAsia="en-US"/>
              </w:rPr>
            </w:pPr>
          </w:p>
        </w:tc>
        <w:tc>
          <w:tcPr>
            <w:tcW w:w="548" w:type="pct"/>
            <w:tcBorders>
              <w:top w:val="single" w:sz="4" w:space="0" w:color="auto"/>
              <w:bottom w:val="single" w:sz="4" w:space="0" w:color="auto"/>
            </w:tcBorders>
          </w:tcPr>
          <w:p w:rsidR="00E145AA" w:rsidRPr="00E0044C" w:rsidRDefault="00E145AA" w:rsidP="00437A5B">
            <w:pPr>
              <w:spacing w:line="240" w:lineRule="auto"/>
              <w:jc w:val="both"/>
              <w:rPr>
                <w:rFonts w:ascii="Times New Roman" w:eastAsia="Calibri" w:hAnsi="Times New Roman" w:cs="Times New Roman"/>
                <w:bCs/>
                <w:color w:val="000000" w:themeColor="text1"/>
                <w:sz w:val="24"/>
                <w:szCs w:val="24"/>
                <w:lang w:eastAsia="en-US"/>
              </w:rPr>
            </w:pPr>
            <w:r w:rsidRPr="00E0044C">
              <w:rPr>
                <w:rFonts w:ascii="Times New Roman" w:hAnsi="Times New Roman" w:cs="Times New Roman"/>
                <w:bCs/>
                <w:color w:val="000000" w:themeColor="text1"/>
                <w:sz w:val="24"/>
                <w:szCs w:val="24"/>
              </w:rPr>
              <w:t xml:space="preserve">SOD </w:t>
            </w:r>
          </w:p>
        </w:tc>
        <w:tc>
          <w:tcPr>
            <w:tcW w:w="623" w:type="pct"/>
            <w:tcBorders>
              <w:top w:val="single" w:sz="4" w:space="0" w:color="auto"/>
              <w:bottom w:val="single" w:sz="4" w:space="0" w:color="auto"/>
            </w:tcBorders>
          </w:tcPr>
          <w:p w:rsidR="00E145AA" w:rsidRPr="00E0044C" w:rsidRDefault="00E145AA" w:rsidP="00437A5B">
            <w:pPr>
              <w:spacing w:line="240" w:lineRule="auto"/>
              <w:jc w:val="both"/>
              <w:rPr>
                <w:rFonts w:ascii="Times New Roman" w:eastAsia="Calibri" w:hAnsi="Times New Roman" w:cs="Times New Roman"/>
                <w:bCs/>
                <w:color w:val="000000" w:themeColor="text1"/>
                <w:sz w:val="24"/>
                <w:szCs w:val="24"/>
                <w:lang w:eastAsia="en-US"/>
              </w:rPr>
            </w:pPr>
            <w:r w:rsidRPr="00E0044C">
              <w:rPr>
                <w:rFonts w:ascii="Times New Roman" w:hAnsi="Times New Roman" w:cs="Times New Roman"/>
                <w:bCs/>
                <w:color w:val="000000" w:themeColor="text1"/>
                <w:sz w:val="24"/>
                <w:szCs w:val="24"/>
              </w:rPr>
              <w:t xml:space="preserve">POX </w:t>
            </w:r>
          </w:p>
        </w:tc>
        <w:tc>
          <w:tcPr>
            <w:tcW w:w="619" w:type="pct"/>
            <w:tcBorders>
              <w:top w:val="single" w:sz="4" w:space="0" w:color="auto"/>
              <w:bottom w:val="single" w:sz="4" w:space="0" w:color="auto"/>
            </w:tcBorders>
          </w:tcPr>
          <w:p w:rsidR="00E145AA" w:rsidRPr="00E0044C" w:rsidRDefault="00E145AA" w:rsidP="00437A5B">
            <w:pPr>
              <w:spacing w:line="240" w:lineRule="auto"/>
              <w:jc w:val="both"/>
              <w:rPr>
                <w:rFonts w:ascii="Times New Roman" w:eastAsia="Calibri" w:hAnsi="Times New Roman" w:cs="Times New Roman"/>
                <w:bCs/>
                <w:color w:val="000000" w:themeColor="text1"/>
                <w:sz w:val="24"/>
                <w:szCs w:val="24"/>
                <w:lang w:eastAsia="en-US"/>
              </w:rPr>
            </w:pPr>
            <w:r w:rsidRPr="00E0044C">
              <w:rPr>
                <w:rFonts w:ascii="Times New Roman" w:hAnsi="Times New Roman" w:cs="Times New Roman"/>
                <w:bCs/>
                <w:color w:val="000000" w:themeColor="text1"/>
                <w:sz w:val="24"/>
                <w:szCs w:val="24"/>
              </w:rPr>
              <w:t xml:space="preserve">CAT </w:t>
            </w:r>
          </w:p>
        </w:tc>
        <w:tc>
          <w:tcPr>
            <w:tcW w:w="661" w:type="pct"/>
            <w:tcBorders>
              <w:top w:val="single" w:sz="4" w:space="0" w:color="auto"/>
              <w:bottom w:val="single" w:sz="4" w:space="0" w:color="auto"/>
            </w:tcBorders>
          </w:tcPr>
          <w:p w:rsidR="00E145AA" w:rsidRPr="00E0044C" w:rsidRDefault="00E145AA" w:rsidP="00437A5B">
            <w:pPr>
              <w:spacing w:line="240" w:lineRule="auto"/>
              <w:jc w:val="both"/>
              <w:rPr>
                <w:rFonts w:ascii="Times New Roman" w:eastAsia="Calibri" w:hAnsi="Times New Roman" w:cs="Times New Roman"/>
                <w:bCs/>
                <w:color w:val="000000" w:themeColor="text1"/>
                <w:sz w:val="24"/>
                <w:szCs w:val="24"/>
                <w:lang w:eastAsia="en-US"/>
              </w:rPr>
            </w:pPr>
            <w:r w:rsidRPr="00E0044C">
              <w:rPr>
                <w:rFonts w:ascii="Times New Roman" w:hAnsi="Times New Roman" w:cs="Times New Roman"/>
                <w:bCs/>
                <w:color w:val="000000" w:themeColor="text1"/>
                <w:sz w:val="24"/>
                <w:szCs w:val="24"/>
              </w:rPr>
              <w:t xml:space="preserve">GPX </w:t>
            </w:r>
          </w:p>
        </w:tc>
      </w:tr>
      <w:tr w:rsidR="00E145AA" w:rsidRPr="00E0044C" w:rsidTr="00437A5B">
        <w:tc>
          <w:tcPr>
            <w:tcW w:w="822" w:type="pct"/>
            <w:vMerge/>
            <w:tcBorders>
              <w:bottom w:val="single" w:sz="4" w:space="0" w:color="auto"/>
            </w:tcBorders>
          </w:tcPr>
          <w:p w:rsidR="00E145AA" w:rsidRPr="00E0044C" w:rsidRDefault="00E145AA" w:rsidP="00437A5B">
            <w:pPr>
              <w:spacing w:line="240" w:lineRule="auto"/>
              <w:jc w:val="both"/>
              <w:rPr>
                <w:rFonts w:ascii="Times New Roman" w:eastAsia="Calibri" w:hAnsi="Times New Roman" w:cs="Times New Roman"/>
                <w:bCs/>
                <w:color w:val="000000" w:themeColor="text1"/>
                <w:sz w:val="24"/>
                <w:szCs w:val="24"/>
                <w:lang w:eastAsia="en-US"/>
              </w:rPr>
            </w:pPr>
          </w:p>
        </w:tc>
        <w:tc>
          <w:tcPr>
            <w:tcW w:w="560"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bCs/>
                <w:color w:val="000000" w:themeColor="text1"/>
                <w:sz w:val="24"/>
                <w:szCs w:val="24"/>
              </w:rPr>
              <w:t>n mol g</w:t>
            </w:r>
            <w:r w:rsidRPr="00E0044C">
              <w:rPr>
                <w:rFonts w:ascii="Times New Roman" w:hAnsi="Times New Roman" w:cs="Times New Roman"/>
                <w:bCs/>
                <w:color w:val="000000" w:themeColor="text1"/>
                <w:sz w:val="24"/>
                <w:szCs w:val="24"/>
                <w:vertAlign w:val="superscript"/>
              </w:rPr>
              <w:t>−1</w:t>
            </w:r>
            <w:r w:rsidRPr="00E0044C">
              <w:rPr>
                <w:rFonts w:ascii="Times New Roman" w:hAnsi="Times New Roman" w:cs="Times New Roman"/>
                <w:bCs/>
                <w:color w:val="000000" w:themeColor="text1"/>
                <w:sz w:val="24"/>
                <w:szCs w:val="24"/>
              </w:rPr>
              <w:t xml:space="preserve"> seed)</w:t>
            </w:r>
          </w:p>
        </w:tc>
        <w:tc>
          <w:tcPr>
            <w:tcW w:w="590"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proofErr w:type="spellStart"/>
            <w:r w:rsidRPr="00E0044C">
              <w:rPr>
                <w:rFonts w:ascii="Times New Roman" w:hAnsi="Times New Roman" w:cs="Times New Roman"/>
                <w:bCs/>
                <w:color w:val="000000" w:themeColor="text1"/>
                <w:sz w:val="24"/>
                <w:szCs w:val="24"/>
              </w:rPr>
              <w:t>units</w:t>
            </w:r>
            <w:r w:rsidRPr="00E0044C">
              <w:rPr>
                <w:rFonts w:ascii="Times New Roman" w:hAnsi="Times New Roman" w:cs="Times New Roman"/>
                <w:bCs/>
                <w:color w:val="000000" w:themeColor="text1"/>
                <w:sz w:val="24"/>
                <w:szCs w:val="24"/>
                <w:vertAlign w:val="superscript"/>
              </w:rPr>
              <w:t>a</w:t>
            </w:r>
            <w:proofErr w:type="spellEnd"/>
          </w:p>
        </w:tc>
        <w:tc>
          <w:tcPr>
            <w:tcW w:w="575" w:type="pct"/>
            <w:tcBorders>
              <w:top w:val="single" w:sz="4" w:space="0" w:color="auto"/>
              <w:bottom w:val="single" w:sz="4" w:space="0" w:color="auto"/>
            </w:tcBorders>
          </w:tcPr>
          <w:p w:rsidR="00E145AA" w:rsidRPr="00E0044C" w:rsidRDefault="00E145AA" w:rsidP="00437A5B">
            <w:pPr>
              <w:spacing w:line="240" w:lineRule="auto"/>
              <w:ind w:right="-106"/>
              <w:jc w:val="both"/>
              <w:rPr>
                <w:rFonts w:ascii="Times New Roman" w:hAnsi="Times New Roman" w:cs="Times New Roman"/>
                <w:bCs/>
                <w:color w:val="000000" w:themeColor="text1"/>
                <w:sz w:val="24"/>
                <w:szCs w:val="24"/>
              </w:rPr>
            </w:pPr>
            <w:r w:rsidRPr="00E0044C">
              <w:rPr>
                <w:rFonts w:ascii="Times New Roman" w:hAnsi="Times New Roman" w:cs="Times New Roman"/>
                <w:bCs/>
                <w:color w:val="000000" w:themeColor="text1"/>
                <w:sz w:val="24"/>
                <w:szCs w:val="24"/>
              </w:rPr>
              <w:t>mg g</w:t>
            </w:r>
            <w:r w:rsidRPr="00E0044C">
              <w:rPr>
                <w:rFonts w:ascii="Times New Roman" w:hAnsi="Times New Roman" w:cs="Times New Roman"/>
                <w:bCs/>
                <w:color w:val="000000" w:themeColor="text1"/>
                <w:sz w:val="24"/>
                <w:szCs w:val="24"/>
                <w:vertAlign w:val="superscript"/>
              </w:rPr>
              <w:t xml:space="preserve">−1 </w:t>
            </w:r>
            <w:r w:rsidRPr="00E0044C">
              <w:rPr>
                <w:rFonts w:ascii="Times New Roman" w:hAnsi="Times New Roman" w:cs="Times New Roman"/>
                <w:bCs/>
                <w:color w:val="000000" w:themeColor="text1"/>
                <w:sz w:val="24"/>
                <w:szCs w:val="24"/>
              </w:rPr>
              <w:t>seed</w:t>
            </w:r>
          </w:p>
        </w:tc>
        <w:tc>
          <w:tcPr>
            <w:tcW w:w="548"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bCs/>
                <w:color w:val="000000" w:themeColor="text1"/>
                <w:sz w:val="24"/>
                <w:szCs w:val="24"/>
              </w:rPr>
              <w:t>units g</w:t>
            </w:r>
            <w:r w:rsidRPr="00E0044C">
              <w:rPr>
                <w:rFonts w:ascii="Times New Roman" w:hAnsi="Times New Roman" w:cs="Times New Roman"/>
                <w:bCs/>
                <w:color w:val="000000" w:themeColor="text1"/>
                <w:sz w:val="24"/>
                <w:szCs w:val="24"/>
                <w:vertAlign w:val="superscript"/>
              </w:rPr>
              <w:t>−1</w:t>
            </w:r>
            <w:r w:rsidRPr="00E0044C">
              <w:rPr>
                <w:rFonts w:ascii="Times New Roman" w:hAnsi="Times New Roman" w:cs="Times New Roman"/>
                <w:bCs/>
                <w:color w:val="000000" w:themeColor="text1"/>
                <w:sz w:val="24"/>
                <w:szCs w:val="24"/>
              </w:rPr>
              <w:t xml:space="preserve"> protein</w:t>
            </w:r>
          </w:p>
        </w:tc>
        <w:tc>
          <w:tcPr>
            <w:tcW w:w="1903" w:type="pct"/>
            <w:gridSpan w:val="3"/>
            <w:tcBorders>
              <w:top w:val="single" w:sz="4" w:space="0" w:color="auto"/>
              <w:bottom w:val="single" w:sz="4" w:space="0" w:color="auto"/>
            </w:tcBorders>
          </w:tcPr>
          <w:p w:rsidR="00E145AA" w:rsidRPr="00E0044C" w:rsidRDefault="00E145AA" w:rsidP="00437A5B">
            <w:pPr>
              <w:spacing w:line="240" w:lineRule="auto"/>
              <w:jc w:val="center"/>
              <w:rPr>
                <w:rFonts w:ascii="Times New Roman" w:hAnsi="Times New Roman" w:cs="Times New Roman"/>
                <w:bCs/>
                <w:color w:val="000000" w:themeColor="text1"/>
                <w:sz w:val="24"/>
                <w:szCs w:val="24"/>
              </w:rPr>
            </w:pPr>
            <w:r w:rsidRPr="00E0044C">
              <w:rPr>
                <w:rFonts w:ascii="Times New Roman" w:hAnsi="Times New Roman" w:cs="Times New Roman"/>
                <w:bCs/>
                <w:color w:val="000000" w:themeColor="text1"/>
                <w:sz w:val="24"/>
                <w:szCs w:val="24"/>
              </w:rPr>
              <w:t>------</w:t>
            </w:r>
            <w:proofErr w:type="spellStart"/>
            <w:r w:rsidRPr="00E0044C">
              <w:rPr>
                <w:rFonts w:ascii="Times New Roman" w:hAnsi="Times New Roman" w:cs="Times New Roman"/>
                <w:bCs/>
                <w:color w:val="000000" w:themeColor="text1"/>
                <w:sz w:val="24"/>
                <w:szCs w:val="24"/>
              </w:rPr>
              <w:t>μmol</w:t>
            </w:r>
            <w:proofErr w:type="spellEnd"/>
            <w:r w:rsidRPr="00E0044C">
              <w:rPr>
                <w:rFonts w:ascii="Times New Roman" w:hAnsi="Times New Roman" w:cs="Times New Roman"/>
                <w:bCs/>
                <w:color w:val="000000" w:themeColor="text1"/>
                <w:sz w:val="24"/>
                <w:szCs w:val="24"/>
              </w:rPr>
              <w:t xml:space="preserve"> min</w:t>
            </w:r>
            <w:r w:rsidRPr="00E0044C">
              <w:rPr>
                <w:rFonts w:ascii="Times New Roman" w:hAnsi="Times New Roman" w:cs="Times New Roman"/>
                <w:bCs/>
                <w:color w:val="000000" w:themeColor="text1"/>
                <w:sz w:val="24"/>
                <w:szCs w:val="24"/>
                <w:vertAlign w:val="superscript"/>
              </w:rPr>
              <w:t>−1</w:t>
            </w:r>
            <w:r w:rsidRPr="00E0044C">
              <w:rPr>
                <w:rFonts w:ascii="Times New Roman" w:hAnsi="Times New Roman" w:cs="Times New Roman"/>
                <w:bCs/>
                <w:color w:val="000000" w:themeColor="text1"/>
                <w:sz w:val="24"/>
                <w:szCs w:val="24"/>
              </w:rPr>
              <w:t xml:space="preserve"> g</w:t>
            </w:r>
            <w:r w:rsidRPr="00E0044C">
              <w:rPr>
                <w:rFonts w:ascii="Times New Roman" w:hAnsi="Times New Roman" w:cs="Times New Roman"/>
                <w:bCs/>
                <w:color w:val="000000" w:themeColor="text1"/>
                <w:sz w:val="24"/>
                <w:szCs w:val="24"/>
                <w:vertAlign w:val="superscript"/>
              </w:rPr>
              <w:t>−1</w:t>
            </w:r>
            <w:r w:rsidRPr="00E0044C">
              <w:rPr>
                <w:rFonts w:ascii="Times New Roman" w:hAnsi="Times New Roman" w:cs="Times New Roman"/>
                <w:bCs/>
                <w:color w:val="000000" w:themeColor="text1"/>
                <w:sz w:val="24"/>
                <w:szCs w:val="24"/>
              </w:rPr>
              <w:t xml:space="preserve"> protein------</w:t>
            </w:r>
          </w:p>
        </w:tc>
      </w:tr>
      <w:tr w:rsidR="00E145AA" w:rsidRPr="00E0044C" w:rsidTr="00437A5B">
        <w:tc>
          <w:tcPr>
            <w:tcW w:w="822" w:type="pct"/>
            <w:tcBorders>
              <w:top w:val="single" w:sz="4" w:space="0" w:color="auto"/>
            </w:tcBorders>
            <w:vAlign w:val="center"/>
          </w:tcPr>
          <w:p w:rsidR="00E145AA" w:rsidRPr="00E0044C" w:rsidRDefault="00E145AA" w:rsidP="00437A5B">
            <w:pPr>
              <w:spacing w:line="240" w:lineRule="auto"/>
              <w:jc w:val="both"/>
              <w:rPr>
                <w:rFonts w:ascii="Times New Roman" w:eastAsia="Calibri" w:hAnsi="Times New Roman" w:cs="Times New Roman"/>
                <w:color w:val="000000" w:themeColor="text1"/>
                <w:sz w:val="24"/>
                <w:szCs w:val="24"/>
                <w:lang w:eastAsia="en-US"/>
              </w:rPr>
            </w:pPr>
            <w:r w:rsidRPr="00E0044C">
              <w:rPr>
                <w:rFonts w:ascii="Times New Roman" w:eastAsia="Times New Roman" w:hAnsi="Times New Roman" w:cs="Times New Roman"/>
                <w:bCs/>
                <w:color w:val="000000" w:themeColor="text1"/>
                <w:sz w:val="24"/>
                <w:szCs w:val="24"/>
              </w:rPr>
              <w:t>T</w:t>
            </w:r>
            <w:r w:rsidRPr="00E0044C">
              <w:rPr>
                <w:rFonts w:ascii="Times New Roman" w:eastAsia="Times New Roman" w:hAnsi="Times New Roman" w:cs="Times New Roman"/>
                <w:bCs/>
                <w:color w:val="000000" w:themeColor="text1"/>
                <w:sz w:val="24"/>
                <w:szCs w:val="24"/>
                <w:vertAlign w:val="subscript"/>
              </w:rPr>
              <w:t>1</w:t>
            </w:r>
          </w:p>
        </w:tc>
        <w:tc>
          <w:tcPr>
            <w:tcW w:w="560" w:type="pct"/>
            <w:tcBorders>
              <w:top w:val="single" w:sz="4" w:space="0" w:color="auto"/>
            </w:tcBorders>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8.61a</w:t>
            </w:r>
          </w:p>
        </w:tc>
        <w:tc>
          <w:tcPr>
            <w:tcW w:w="590" w:type="pct"/>
            <w:tcBorders>
              <w:top w:val="single" w:sz="4" w:space="0" w:color="auto"/>
            </w:tcBorders>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7.19h</w:t>
            </w:r>
          </w:p>
        </w:tc>
        <w:tc>
          <w:tcPr>
            <w:tcW w:w="575" w:type="pct"/>
            <w:tcBorders>
              <w:top w:val="single" w:sz="4" w:space="0" w:color="auto"/>
            </w:tcBorders>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15.84h</w:t>
            </w:r>
          </w:p>
        </w:tc>
        <w:tc>
          <w:tcPr>
            <w:tcW w:w="548" w:type="pct"/>
            <w:tcBorders>
              <w:top w:val="single" w:sz="4" w:space="0" w:color="auto"/>
            </w:tcBorders>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640h</w:t>
            </w:r>
          </w:p>
        </w:tc>
        <w:tc>
          <w:tcPr>
            <w:tcW w:w="623" w:type="pct"/>
            <w:tcBorders>
              <w:top w:val="single" w:sz="4" w:space="0" w:color="auto"/>
            </w:tcBorders>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1.30h</w:t>
            </w:r>
          </w:p>
        </w:tc>
        <w:tc>
          <w:tcPr>
            <w:tcW w:w="619" w:type="pct"/>
            <w:tcBorders>
              <w:top w:val="single" w:sz="4" w:space="0" w:color="auto"/>
            </w:tcBorders>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1.24h</w:t>
            </w:r>
          </w:p>
        </w:tc>
        <w:tc>
          <w:tcPr>
            <w:tcW w:w="661" w:type="pct"/>
            <w:tcBorders>
              <w:top w:val="single" w:sz="4" w:space="0" w:color="auto"/>
            </w:tcBorders>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174h</w:t>
            </w:r>
          </w:p>
        </w:tc>
      </w:tr>
      <w:tr w:rsidR="00E145AA" w:rsidRPr="00E0044C" w:rsidTr="00437A5B">
        <w:tc>
          <w:tcPr>
            <w:tcW w:w="822" w:type="pct"/>
            <w:vAlign w:val="center"/>
          </w:tcPr>
          <w:p w:rsidR="00E145AA" w:rsidRPr="00E0044C" w:rsidRDefault="00E145AA" w:rsidP="00437A5B">
            <w:pPr>
              <w:spacing w:line="240" w:lineRule="auto"/>
              <w:jc w:val="both"/>
              <w:rPr>
                <w:rFonts w:ascii="Times New Roman" w:eastAsia="Times New Roman" w:hAnsi="Times New Roman" w:cs="Times New Roman"/>
                <w:color w:val="000000" w:themeColor="text1"/>
                <w:sz w:val="24"/>
                <w:szCs w:val="24"/>
              </w:rPr>
            </w:pPr>
            <w:r w:rsidRPr="00E0044C">
              <w:rPr>
                <w:rFonts w:ascii="Times New Roman" w:eastAsia="Times New Roman" w:hAnsi="Times New Roman" w:cs="Times New Roman"/>
                <w:bCs/>
                <w:color w:val="000000" w:themeColor="text1"/>
                <w:sz w:val="24"/>
                <w:szCs w:val="24"/>
              </w:rPr>
              <w:t>T</w:t>
            </w:r>
            <w:r w:rsidRPr="00E0044C">
              <w:rPr>
                <w:rFonts w:ascii="Times New Roman" w:eastAsia="Times New Roman" w:hAnsi="Times New Roman" w:cs="Times New Roman"/>
                <w:bCs/>
                <w:color w:val="000000" w:themeColor="text1"/>
                <w:sz w:val="24"/>
                <w:szCs w:val="24"/>
                <w:vertAlign w:val="subscript"/>
              </w:rPr>
              <w:t>2</w:t>
            </w:r>
          </w:p>
        </w:tc>
        <w:tc>
          <w:tcPr>
            <w:tcW w:w="560" w:type="pct"/>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8.17b</w:t>
            </w:r>
          </w:p>
        </w:tc>
        <w:tc>
          <w:tcPr>
            <w:tcW w:w="590" w:type="pct"/>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7.88g</w:t>
            </w:r>
          </w:p>
        </w:tc>
        <w:tc>
          <w:tcPr>
            <w:tcW w:w="575" w:type="pct"/>
            <w:vAlign w:val="bottom"/>
          </w:tcPr>
          <w:p w:rsidR="00E145AA" w:rsidRPr="00E0044C" w:rsidRDefault="00E145AA" w:rsidP="00437A5B">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16.35g</w:t>
            </w:r>
          </w:p>
        </w:tc>
        <w:tc>
          <w:tcPr>
            <w:tcW w:w="548"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790g</w:t>
            </w:r>
          </w:p>
        </w:tc>
        <w:tc>
          <w:tcPr>
            <w:tcW w:w="623"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2.88f</w:t>
            </w:r>
          </w:p>
        </w:tc>
        <w:tc>
          <w:tcPr>
            <w:tcW w:w="619"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1.86g</w:t>
            </w:r>
          </w:p>
        </w:tc>
        <w:tc>
          <w:tcPr>
            <w:tcW w:w="661"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196g</w:t>
            </w:r>
          </w:p>
        </w:tc>
      </w:tr>
      <w:tr w:rsidR="00E145AA" w:rsidRPr="00E0044C" w:rsidTr="00437A5B">
        <w:tc>
          <w:tcPr>
            <w:tcW w:w="822" w:type="pct"/>
            <w:vAlign w:val="center"/>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bCs/>
                <w:color w:val="000000" w:themeColor="text1"/>
                <w:sz w:val="24"/>
                <w:szCs w:val="24"/>
              </w:rPr>
              <w:t>T</w:t>
            </w:r>
            <w:r w:rsidRPr="00E0044C">
              <w:rPr>
                <w:rFonts w:ascii="Times New Roman" w:eastAsia="Times New Roman" w:hAnsi="Times New Roman" w:cs="Times New Roman"/>
                <w:bCs/>
                <w:color w:val="000000" w:themeColor="text1"/>
                <w:sz w:val="24"/>
                <w:szCs w:val="24"/>
                <w:vertAlign w:val="subscript"/>
              </w:rPr>
              <w:t>3</w:t>
            </w:r>
          </w:p>
        </w:tc>
        <w:tc>
          <w:tcPr>
            <w:tcW w:w="56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7.87c</w:t>
            </w:r>
          </w:p>
        </w:tc>
        <w:tc>
          <w:tcPr>
            <w:tcW w:w="59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8.79d</w:t>
            </w:r>
          </w:p>
        </w:tc>
        <w:tc>
          <w:tcPr>
            <w:tcW w:w="575"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17.17d</w:t>
            </w:r>
          </w:p>
        </w:tc>
        <w:tc>
          <w:tcPr>
            <w:tcW w:w="548"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831d</w:t>
            </w:r>
          </w:p>
        </w:tc>
        <w:tc>
          <w:tcPr>
            <w:tcW w:w="623"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2.97d</w:t>
            </w:r>
          </w:p>
        </w:tc>
        <w:tc>
          <w:tcPr>
            <w:tcW w:w="619"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2.27d</w:t>
            </w:r>
          </w:p>
        </w:tc>
        <w:tc>
          <w:tcPr>
            <w:tcW w:w="661"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251d</w:t>
            </w:r>
          </w:p>
        </w:tc>
      </w:tr>
      <w:tr w:rsidR="00E145AA" w:rsidRPr="00E0044C" w:rsidTr="00437A5B">
        <w:tc>
          <w:tcPr>
            <w:tcW w:w="822" w:type="pct"/>
            <w:vAlign w:val="center"/>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bCs/>
                <w:color w:val="000000" w:themeColor="text1"/>
                <w:sz w:val="24"/>
                <w:szCs w:val="24"/>
              </w:rPr>
              <w:t>T</w:t>
            </w:r>
            <w:r w:rsidRPr="00E0044C">
              <w:rPr>
                <w:rFonts w:ascii="Times New Roman" w:eastAsia="Times New Roman" w:hAnsi="Times New Roman" w:cs="Times New Roman"/>
                <w:bCs/>
                <w:color w:val="000000" w:themeColor="text1"/>
                <w:sz w:val="24"/>
                <w:szCs w:val="24"/>
                <w:vertAlign w:val="subscript"/>
              </w:rPr>
              <w:t>4</w:t>
            </w:r>
          </w:p>
        </w:tc>
        <w:tc>
          <w:tcPr>
            <w:tcW w:w="56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7.45d</w:t>
            </w:r>
          </w:p>
        </w:tc>
        <w:tc>
          <w:tcPr>
            <w:tcW w:w="59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8.95c</w:t>
            </w:r>
          </w:p>
        </w:tc>
        <w:tc>
          <w:tcPr>
            <w:tcW w:w="575"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17.31c</w:t>
            </w:r>
          </w:p>
        </w:tc>
        <w:tc>
          <w:tcPr>
            <w:tcW w:w="548"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838c</w:t>
            </w:r>
          </w:p>
        </w:tc>
        <w:tc>
          <w:tcPr>
            <w:tcW w:w="623"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3.03c</w:t>
            </w:r>
          </w:p>
        </w:tc>
        <w:tc>
          <w:tcPr>
            <w:tcW w:w="619"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2.35c</w:t>
            </w:r>
          </w:p>
        </w:tc>
        <w:tc>
          <w:tcPr>
            <w:tcW w:w="661"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309c</w:t>
            </w:r>
          </w:p>
        </w:tc>
      </w:tr>
      <w:tr w:rsidR="00E145AA" w:rsidRPr="00E0044C" w:rsidTr="00437A5B">
        <w:tc>
          <w:tcPr>
            <w:tcW w:w="822" w:type="pct"/>
            <w:vAlign w:val="center"/>
          </w:tcPr>
          <w:p w:rsidR="00E145AA" w:rsidRPr="00E0044C" w:rsidRDefault="00E145AA" w:rsidP="00437A5B">
            <w:pPr>
              <w:spacing w:line="240" w:lineRule="auto"/>
              <w:ind w:right="-136"/>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bCs/>
                <w:color w:val="000000" w:themeColor="text1"/>
                <w:sz w:val="24"/>
                <w:szCs w:val="24"/>
              </w:rPr>
              <w:t>T</w:t>
            </w:r>
            <w:r w:rsidRPr="00E0044C">
              <w:rPr>
                <w:rFonts w:ascii="Times New Roman" w:eastAsia="Times New Roman" w:hAnsi="Times New Roman" w:cs="Times New Roman"/>
                <w:bCs/>
                <w:color w:val="000000" w:themeColor="text1"/>
                <w:sz w:val="24"/>
                <w:szCs w:val="24"/>
                <w:vertAlign w:val="subscript"/>
              </w:rPr>
              <w:t>5</w:t>
            </w:r>
          </w:p>
        </w:tc>
        <w:tc>
          <w:tcPr>
            <w:tcW w:w="56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8.31b</w:t>
            </w:r>
          </w:p>
        </w:tc>
        <w:tc>
          <w:tcPr>
            <w:tcW w:w="59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8.41f</w:t>
            </w:r>
          </w:p>
        </w:tc>
        <w:tc>
          <w:tcPr>
            <w:tcW w:w="575"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16.49f</w:t>
            </w:r>
          </w:p>
        </w:tc>
        <w:tc>
          <w:tcPr>
            <w:tcW w:w="548"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807f</w:t>
            </w:r>
          </w:p>
        </w:tc>
        <w:tc>
          <w:tcPr>
            <w:tcW w:w="623"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2.86g</w:t>
            </w:r>
          </w:p>
        </w:tc>
        <w:tc>
          <w:tcPr>
            <w:tcW w:w="619"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2.07f</w:t>
            </w:r>
          </w:p>
        </w:tc>
        <w:tc>
          <w:tcPr>
            <w:tcW w:w="661"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210f</w:t>
            </w:r>
          </w:p>
        </w:tc>
      </w:tr>
      <w:tr w:rsidR="00E145AA" w:rsidRPr="00E0044C" w:rsidTr="00437A5B">
        <w:tc>
          <w:tcPr>
            <w:tcW w:w="822" w:type="pct"/>
            <w:vAlign w:val="center"/>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bCs/>
                <w:color w:val="000000" w:themeColor="text1"/>
                <w:sz w:val="24"/>
                <w:szCs w:val="24"/>
              </w:rPr>
              <w:t>T</w:t>
            </w:r>
            <w:r w:rsidRPr="00E0044C">
              <w:rPr>
                <w:rFonts w:ascii="Times New Roman" w:eastAsia="Times New Roman" w:hAnsi="Times New Roman" w:cs="Times New Roman"/>
                <w:bCs/>
                <w:color w:val="000000" w:themeColor="text1"/>
                <w:sz w:val="24"/>
                <w:szCs w:val="24"/>
                <w:vertAlign w:val="subscript"/>
              </w:rPr>
              <w:t>6</w:t>
            </w:r>
          </w:p>
        </w:tc>
        <w:tc>
          <w:tcPr>
            <w:tcW w:w="56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8.18b</w:t>
            </w:r>
          </w:p>
        </w:tc>
        <w:tc>
          <w:tcPr>
            <w:tcW w:w="59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8.64e</w:t>
            </w:r>
          </w:p>
        </w:tc>
        <w:tc>
          <w:tcPr>
            <w:tcW w:w="575"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16.80e</w:t>
            </w:r>
          </w:p>
        </w:tc>
        <w:tc>
          <w:tcPr>
            <w:tcW w:w="548"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821e</w:t>
            </w:r>
          </w:p>
        </w:tc>
        <w:tc>
          <w:tcPr>
            <w:tcW w:w="623"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2.92e</w:t>
            </w:r>
          </w:p>
        </w:tc>
        <w:tc>
          <w:tcPr>
            <w:tcW w:w="619"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2.13e</w:t>
            </w:r>
          </w:p>
        </w:tc>
        <w:tc>
          <w:tcPr>
            <w:tcW w:w="661"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234e</w:t>
            </w:r>
          </w:p>
        </w:tc>
      </w:tr>
      <w:tr w:rsidR="00E145AA" w:rsidRPr="00E0044C" w:rsidTr="00437A5B">
        <w:tc>
          <w:tcPr>
            <w:tcW w:w="822" w:type="pct"/>
            <w:vAlign w:val="center"/>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bCs/>
                <w:color w:val="000000" w:themeColor="text1"/>
                <w:sz w:val="24"/>
                <w:szCs w:val="24"/>
              </w:rPr>
              <w:t>T</w:t>
            </w:r>
            <w:r w:rsidRPr="00E0044C">
              <w:rPr>
                <w:rFonts w:ascii="Times New Roman" w:eastAsia="Times New Roman" w:hAnsi="Times New Roman" w:cs="Times New Roman"/>
                <w:bCs/>
                <w:color w:val="000000" w:themeColor="text1"/>
                <w:sz w:val="24"/>
                <w:szCs w:val="24"/>
                <w:vertAlign w:val="subscript"/>
              </w:rPr>
              <w:t>7</w:t>
            </w:r>
          </w:p>
        </w:tc>
        <w:tc>
          <w:tcPr>
            <w:tcW w:w="56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7.46d</w:t>
            </w:r>
          </w:p>
        </w:tc>
        <w:tc>
          <w:tcPr>
            <w:tcW w:w="590"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9.24b</w:t>
            </w:r>
          </w:p>
        </w:tc>
        <w:tc>
          <w:tcPr>
            <w:tcW w:w="575"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17.79b</w:t>
            </w:r>
          </w:p>
        </w:tc>
        <w:tc>
          <w:tcPr>
            <w:tcW w:w="548"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973b</w:t>
            </w:r>
          </w:p>
        </w:tc>
        <w:tc>
          <w:tcPr>
            <w:tcW w:w="623"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3.28b</w:t>
            </w:r>
          </w:p>
        </w:tc>
        <w:tc>
          <w:tcPr>
            <w:tcW w:w="619"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2.41b</w:t>
            </w:r>
          </w:p>
        </w:tc>
        <w:tc>
          <w:tcPr>
            <w:tcW w:w="661" w:type="pct"/>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320b</w:t>
            </w:r>
          </w:p>
        </w:tc>
      </w:tr>
      <w:tr w:rsidR="00E145AA" w:rsidRPr="00E0044C" w:rsidTr="00437A5B">
        <w:tc>
          <w:tcPr>
            <w:tcW w:w="822" w:type="pct"/>
            <w:tcBorders>
              <w:bottom w:val="single" w:sz="4" w:space="0" w:color="auto"/>
            </w:tcBorders>
            <w:vAlign w:val="center"/>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bCs/>
                <w:color w:val="000000" w:themeColor="text1"/>
                <w:sz w:val="24"/>
                <w:szCs w:val="24"/>
              </w:rPr>
              <w:t>T</w:t>
            </w:r>
            <w:r w:rsidRPr="00E0044C">
              <w:rPr>
                <w:rFonts w:ascii="Times New Roman" w:eastAsia="Times New Roman" w:hAnsi="Times New Roman" w:cs="Times New Roman"/>
                <w:bCs/>
                <w:color w:val="000000" w:themeColor="text1"/>
                <w:sz w:val="24"/>
                <w:szCs w:val="24"/>
                <w:vertAlign w:val="subscript"/>
              </w:rPr>
              <w:t>8</w:t>
            </w:r>
          </w:p>
        </w:tc>
        <w:tc>
          <w:tcPr>
            <w:tcW w:w="560" w:type="pct"/>
            <w:tcBorders>
              <w:bottom w:val="single" w:sz="4" w:space="0" w:color="auto"/>
            </w:tcBorders>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7.36d</w:t>
            </w:r>
          </w:p>
        </w:tc>
        <w:tc>
          <w:tcPr>
            <w:tcW w:w="590" w:type="pct"/>
            <w:tcBorders>
              <w:bottom w:val="single" w:sz="4" w:space="0" w:color="auto"/>
            </w:tcBorders>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9.53a</w:t>
            </w:r>
          </w:p>
        </w:tc>
        <w:tc>
          <w:tcPr>
            <w:tcW w:w="575" w:type="pct"/>
            <w:tcBorders>
              <w:bottom w:val="single" w:sz="4" w:space="0" w:color="auto"/>
            </w:tcBorders>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18.07a</w:t>
            </w:r>
          </w:p>
        </w:tc>
        <w:tc>
          <w:tcPr>
            <w:tcW w:w="548" w:type="pct"/>
            <w:tcBorders>
              <w:bottom w:val="single" w:sz="4" w:space="0" w:color="auto"/>
            </w:tcBorders>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991a</w:t>
            </w:r>
          </w:p>
        </w:tc>
        <w:tc>
          <w:tcPr>
            <w:tcW w:w="623" w:type="pct"/>
            <w:tcBorders>
              <w:bottom w:val="single" w:sz="4" w:space="0" w:color="auto"/>
            </w:tcBorders>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3.37a</w:t>
            </w:r>
          </w:p>
        </w:tc>
        <w:tc>
          <w:tcPr>
            <w:tcW w:w="619" w:type="pct"/>
            <w:tcBorders>
              <w:bottom w:val="single" w:sz="4" w:space="0" w:color="auto"/>
            </w:tcBorders>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2.59a</w:t>
            </w:r>
          </w:p>
        </w:tc>
        <w:tc>
          <w:tcPr>
            <w:tcW w:w="661" w:type="pct"/>
            <w:tcBorders>
              <w:bottom w:val="single" w:sz="4" w:space="0" w:color="auto"/>
            </w:tcBorders>
            <w:vAlign w:val="bottom"/>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334a</w:t>
            </w:r>
          </w:p>
        </w:tc>
      </w:tr>
      <w:tr w:rsidR="00E145AA" w:rsidRPr="00E0044C" w:rsidTr="00437A5B">
        <w:tc>
          <w:tcPr>
            <w:tcW w:w="822" w:type="pct"/>
            <w:tcBorders>
              <w:top w:val="single" w:sz="4" w:space="0" w:color="auto"/>
              <w:bottom w:val="single" w:sz="4" w:space="0" w:color="auto"/>
            </w:tcBorders>
            <w:vAlign w:val="center"/>
          </w:tcPr>
          <w:p w:rsidR="00E145AA" w:rsidRPr="00E0044C" w:rsidRDefault="00E145AA" w:rsidP="00437A5B">
            <w:pPr>
              <w:spacing w:line="240" w:lineRule="auto"/>
              <w:ind w:right="-136"/>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color w:val="000000" w:themeColor="text1"/>
                <w:sz w:val="24"/>
                <w:szCs w:val="24"/>
              </w:rPr>
              <w:t>HSD p ≤ 0.05</w:t>
            </w:r>
          </w:p>
        </w:tc>
        <w:tc>
          <w:tcPr>
            <w:tcW w:w="560"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0.24</w:t>
            </w:r>
          </w:p>
        </w:tc>
        <w:tc>
          <w:tcPr>
            <w:tcW w:w="590"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0.20</w:t>
            </w:r>
          </w:p>
        </w:tc>
        <w:tc>
          <w:tcPr>
            <w:tcW w:w="575"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0.19</w:t>
            </w:r>
          </w:p>
        </w:tc>
        <w:tc>
          <w:tcPr>
            <w:tcW w:w="548"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24</w:t>
            </w:r>
          </w:p>
        </w:tc>
        <w:tc>
          <w:tcPr>
            <w:tcW w:w="623"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0.06</w:t>
            </w:r>
          </w:p>
        </w:tc>
        <w:tc>
          <w:tcPr>
            <w:tcW w:w="619"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0.14</w:t>
            </w:r>
          </w:p>
        </w:tc>
        <w:tc>
          <w:tcPr>
            <w:tcW w:w="661" w:type="pct"/>
            <w:tcBorders>
              <w:top w:val="single" w:sz="4" w:space="0" w:color="auto"/>
              <w:bottom w:val="single" w:sz="4" w:space="0" w:color="auto"/>
            </w:tcBorders>
          </w:tcPr>
          <w:p w:rsidR="00E145AA" w:rsidRPr="00E0044C" w:rsidRDefault="00E145AA" w:rsidP="00437A5B">
            <w:pPr>
              <w:spacing w:line="240" w:lineRule="auto"/>
              <w:jc w:val="both"/>
              <w:rPr>
                <w:rFonts w:ascii="Times New Roman" w:hAnsi="Times New Roman" w:cs="Times New Roman"/>
                <w:bCs/>
                <w:color w:val="000000" w:themeColor="text1"/>
                <w:sz w:val="24"/>
                <w:szCs w:val="24"/>
              </w:rPr>
            </w:pPr>
            <w:r w:rsidRPr="00E0044C">
              <w:rPr>
                <w:rFonts w:ascii="Times New Roman" w:hAnsi="Times New Roman" w:cs="Times New Roman"/>
                <w:color w:val="000000" w:themeColor="text1"/>
                <w:sz w:val="24"/>
                <w:szCs w:val="24"/>
              </w:rPr>
              <w:t>10</w:t>
            </w:r>
          </w:p>
        </w:tc>
      </w:tr>
    </w:tbl>
    <w:p w:rsidR="00E145AA" w:rsidRPr="00E0044C" w:rsidRDefault="00E145AA" w:rsidP="00E145AA">
      <w:pPr>
        <w:spacing w:line="240" w:lineRule="auto"/>
        <w:jc w:val="both"/>
        <w:rPr>
          <w:rFonts w:ascii="Times New Roman" w:eastAsia="Calibri" w:hAnsi="Times New Roman" w:cs="Times New Roman"/>
          <w:bCs/>
          <w:color w:val="000000" w:themeColor="text1"/>
          <w:sz w:val="24"/>
          <w:szCs w:val="24"/>
          <w:vertAlign w:val="superscript"/>
          <w:lang w:eastAsia="en-US"/>
        </w:rPr>
      </w:pPr>
    </w:p>
    <w:p w:rsidR="00E145AA" w:rsidRPr="00E0044C" w:rsidRDefault="00E145AA" w:rsidP="00E145AA">
      <w:pPr>
        <w:spacing w:line="240" w:lineRule="auto"/>
        <w:jc w:val="both"/>
        <w:rPr>
          <w:rFonts w:ascii="Times New Roman" w:eastAsia="Calibri" w:hAnsi="Times New Roman" w:cs="Times New Roman"/>
          <w:bCs/>
          <w:color w:val="000000" w:themeColor="text1"/>
          <w:sz w:val="24"/>
          <w:szCs w:val="24"/>
          <w:lang w:eastAsia="en-US"/>
        </w:rPr>
      </w:pPr>
      <w:proofErr w:type="spellStart"/>
      <w:proofErr w:type="gramStart"/>
      <w:r w:rsidRPr="00E0044C">
        <w:rPr>
          <w:rFonts w:ascii="Times New Roman" w:eastAsia="Calibri" w:hAnsi="Times New Roman" w:cs="Times New Roman"/>
          <w:bCs/>
          <w:color w:val="000000" w:themeColor="text1"/>
          <w:sz w:val="24"/>
          <w:szCs w:val="24"/>
          <w:vertAlign w:val="superscript"/>
          <w:lang w:eastAsia="en-US"/>
        </w:rPr>
        <w:t>a</w:t>
      </w:r>
      <w:r w:rsidRPr="00E0044C">
        <w:rPr>
          <w:rFonts w:ascii="Times New Roman" w:eastAsia="Calibri" w:hAnsi="Times New Roman" w:cs="Times New Roman"/>
          <w:bCs/>
          <w:color w:val="000000" w:themeColor="text1"/>
          <w:sz w:val="24"/>
          <w:szCs w:val="24"/>
          <w:lang w:eastAsia="en-US"/>
        </w:rPr>
        <w:t>One</w:t>
      </w:r>
      <w:proofErr w:type="spellEnd"/>
      <w:proofErr w:type="gramEnd"/>
      <w:r w:rsidRPr="00E0044C">
        <w:rPr>
          <w:rFonts w:ascii="Times New Roman" w:eastAsia="Calibri" w:hAnsi="Times New Roman" w:cs="Times New Roman"/>
          <w:bCs/>
          <w:color w:val="000000" w:themeColor="text1"/>
          <w:sz w:val="24"/>
          <w:szCs w:val="24"/>
          <w:lang w:eastAsia="en-US"/>
        </w:rPr>
        <w:t xml:space="preserve"> unit refers to the amount of enzyme which released 1 </w:t>
      </w:r>
      <w:proofErr w:type="spellStart"/>
      <w:r w:rsidRPr="00E0044C">
        <w:rPr>
          <w:rFonts w:ascii="Times New Roman" w:eastAsia="Calibri" w:hAnsi="Times New Roman" w:cs="Times New Roman"/>
          <w:bCs/>
          <w:color w:val="000000" w:themeColor="text1"/>
          <w:sz w:val="24"/>
          <w:szCs w:val="24"/>
          <w:lang w:eastAsia="en-US"/>
        </w:rPr>
        <w:t>μmol</w:t>
      </w:r>
      <w:proofErr w:type="spellEnd"/>
      <w:r w:rsidRPr="00E0044C">
        <w:rPr>
          <w:rFonts w:ascii="Times New Roman" w:eastAsia="Calibri" w:hAnsi="Times New Roman" w:cs="Times New Roman"/>
          <w:bCs/>
          <w:color w:val="000000" w:themeColor="text1"/>
          <w:sz w:val="24"/>
          <w:szCs w:val="24"/>
          <w:lang w:eastAsia="en-US"/>
        </w:rPr>
        <w:t xml:space="preserve"> of maltose by 1 </w:t>
      </w:r>
      <w:proofErr w:type="spellStart"/>
      <w:r w:rsidRPr="00E0044C">
        <w:rPr>
          <w:rFonts w:ascii="Times New Roman" w:eastAsia="Calibri" w:hAnsi="Times New Roman" w:cs="Times New Roman"/>
          <w:bCs/>
          <w:color w:val="000000" w:themeColor="text1"/>
          <w:sz w:val="24"/>
          <w:szCs w:val="24"/>
          <w:lang w:eastAsia="en-US"/>
        </w:rPr>
        <w:t>mL</w:t>
      </w:r>
      <w:proofErr w:type="spellEnd"/>
      <w:r w:rsidRPr="00E0044C">
        <w:rPr>
          <w:rFonts w:ascii="Times New Roman" w:eastAsia="Calibri" w:hAnsi="Times New Roman" w:cs="Times New Roman"/>
          <w:bCs/>
          <w:color w:val="000000" w:themeColor="text1"/>
          <w:sz w:val="24"/>
          <w:szCs w:val="24"/>
          <w:lang w:eastAsia="en-US"/>
        </w:rPr>
        <w:t xml:space="preserve"> original enzyme solution in 1 min. </w:t>
      </w:r>
    </w:p>
    <w:p w:rsidR="00E145AA" w:rsidRPr="00E0044C" w:rsidRDefault="00E145AA" w:rsidP="00E145AA">
      <w:pPr>
        <w:spacing w:line="240" w:lineRule="auto"/>
        <w:jc w:val="both"/>
        <w:rPr>
          <w:rFonts w:ascii="Times New Roman" w:eastAsia="Calibri" w:hAnsi="Times New Roman" w:cs="Times New Roman"/>
          <w:bCs/>
          <w:color w:val="000000" w:themeColor="text1"/>
          <w:sz w:val="24"/>
          <w:szCs w:val="24"/>
          <w:lang w:eastAsia="en-US"/>
        </w:rPr>
      </w:pPr>
      <w:r w:rsidRPr="00E0044C">
        <w:rPr>
          <w:rFonts w:ascii="Times New Roman" w:eastAsia="Calibri" w:hAnsi="Times New Roman" w:cs="Times New Roman"/>
          <w:bCs/>
          <w:color w:val="000000" w:themeColor="text1"/>
          <w:sz w:val="24"/>
          <w:szCs w:val="24"/>
          <w:lang w:eastAsia="en-US"/>
        </w:rPr>
        <w:t xml:space="preserve">Means not sharing a letter in common differ significantly at 5% probability level by HSD </w:t>
      </w:r>
      <w:proofErr w:type="spellStart"/>
      <w:r w:rsidRPr="00E0044C">
        <w:rPr>
          <w:rFonts w:ascii="Times New Roman" w:eastAsia="Calibri" w:hAnsi="Times New Roman" w:cs="Times New Roman"/>
          <w:bCs/>
          <w:color w:val="000000" w:themeColor="text1"/>
          <w:sz w:val="24"/>
          <w:szCs w:val="24"/>
          <w:lang w:eastAsia="en-US"/>
        </w:rPr>
        <w:t>Tukey’s</w:t>
      </w:r>
      <w:proofErr w:type="spellEnd"/>
      <w:r w:rsidRPr="00E0044C">
        <w:rPr>
          <w:rFonts w:ascii="Times New Roman" w:eastAsia="Calibri" w:hAnsi="Times New Roman" w:cs="Times New Roman"/>
          <w:bCs/>
          <w:color w:val="000000" w:themeColor="text1"/>
          <w:sz w:val="24"/>
          <w:szCs w:val="24"/>
          <w:lang w:eastAsia="en-US"/>
        </w:rPr>
        <w:t xml:space="preserve"> test.</w:t>
      </w:r>
    </w:p>
    <w:p w:rsidR="00E145AA" w:rsidRPr="00E0044C" w:rsidRDefault="00E145AA" w:rsidP="00E145AA">
      <w:pPr>
        <w:spacing w:line="24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For treatments details, refer to the Main Text (Table 1)</w:t>
      </w: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hAnsi="Times New Roman" w:cs="Times New Roman"/>
          <w:b/>
          <w:bCs/>
          <w:color w:val="000000" w:themeColor="text1"/>
        </w:rPr>
      </w:pPr>
      <w:r w:rsidRPr="00E0044C">
        <w:rPr>
          <w:rFonts w:ascii="Times New Roman" w:hAnsi="Times New Roman" w:cs="Times New Roman"/>
          <w:b/>
          <w:bCs/>
          <w:color w:val="000000" w:themeColor="text1"/>
        </w:rPr>
        <w:lastRenderedPageBreak/>
        <w:t xml:space="preserve">Supplementary Table S3 </w:t>
      </w:r>
      <w:r w:rsidRPr="00E0044C">
        <w:rPr>
          <w:rFonts w:ascii="Times New Roman" w:hAnsi="Times New Roman" w:cs="Times New Roman"/>
          <w:color w:val="000000" w:themeColor="text1"/>
        </w:rPr>
        <w:t>Results of the analysis of variance (two-way ANOVA with interaction) test of the field experimentation</w:t>
      </w:r>
    </w:p>
    <w:p w:rsidR="00E145AA" w:rsidRPr="00E0044C" w:rsidRDefault="00E145AA" w:rsidP="00E145AA">
      <w:pPr>
        <w:spacing w:line="240" w:lineRule="auto"/>
        <w:jc w:val="both"/>
        <w:rPr>
          <w:rFonts w:ascii="Times New Roman" w:hAnsi="Times New Roman" w:cs="Times New Roman"/>
          <w:color w:val="000000" w:themeColor="text1"/>
          <w:sz w:val="20"/>
          <w:szCs w:val="20"/>
        </w:rPr>
      </w:pPr>
    </w:p>
    <w:tbl>
      <w:tblPr>
        <w:tblStyle w:val="Header"/>
        <w:tblW w:w="5420" w:type="pct"/>
        <w:tblInd w:w="-567" w:type="dxa"/>
        <w:tblBorders>
          <w:top w:val="single" w:sz="4" w:space="0" w:color="auto"/>
          <w:bottom w:val="single" w:sz="4" w:space="0" w:color="auto"/>
        </w:tblBorders>
        <w:tblLook w:val="04A0"/>
      </w:tblPr>
      <w:tblGrid>
        <w:gridCol w:w="4093"/>
        <w:gridCol w:w="1914"/>
        <w:gridCol w:w="393"/>
        <w:gridCol w:w="1327"/>
        <w:gridCol w:w="990"/>
        <w:gridCol w:w="1305"/>
      </w:tblGrid>
      <w:tr w:rsidR="00E145AA" w:rsidRPr="00E0044C" w:rsidTr="00437A5B">
        <w:tc>
          <w:tcPr>
            <w:tcW w:w="2042" w:type="pct"/>
            <w:tcBorders>
              <w:top w:val="single" w:sz="4" w:space="0" w:color="auto"/>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bookmarkStart w:id="1" w:name="_Hlk90980660"/>
            <w:r w:rsidRPr="00E0044C">
              <w:rPr>
                <w:rFonts w:ascii="Times New Roman" w:hAnsi="Times New Roman" w:cs="Times New Roman"/>
                <w:color w:val="000000" w:themeColor="text1"/>
                <w:sz w:val="20"/>
                <w:szCs w:val="20"/>
              </w:rPr>
              <w:t>Parameters</w:t>
            </w:r>
          </w:p>
        </w:tc>
        <w:tc>
          <w:tcPr>
            <w:tcW w:w="955"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Sources of variation</w:t>
            </w:r>
          </w:p>
        </w:tc>
        <w:tc>
          <w:tcPr>
            <w:tcW w:w="196"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proofErr w:type="spellStart"/>
            <w:r w:rsidRPr="00E0044C">
              <w:rPr>
                <w:rFonts w:ascii="Times New Roman" w:hAnsi="Times New Roman" w:cs="Times New Roman"/>
                <w:color w:val="000000" w:themeColor="text1"/>
                <w:sz w:val="20"/>
                <w:szCs w:val="20"/>
              </w:rPr>
              <w:t>df</w:t>
            </w:r>
            <w:proofErr w:type="spellEnd"/>
          </w:p>
        </w:tc>
        <w:tc>
          <w:tcPr>
            <w:tcW w:w="662"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Sum of squares</w:t>
            </w:r>
          </w:p>
        </w:tc>
        <w:tc>
          <w:tcPr>
            <w:tcW w:w="494"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F ratio</w:t>
            </w:r>
          </w:p>
        </w:tc>
        <w:tc>
          <w:tcPr>
            <w:tcW w:w="651" w:type="pct"/>
            <w:tcBorders>
              <w:top w:val="single" w:sz="4" w:space="0" w:color="auto"/>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proofErr w:type="spellStart"/>
            <w:r w:rsidRPr="00E0044C">
              <w:rPr>
                <w:rFonts w:ascii="Times New Roman" w:hAnsi="Times New Roman" w:cs="Times New Roman"/>
                <w:color w:val="000000" w:themeColor="text1"/>
                <w:sz w:val="20"/>
                <w:szCs w:val="20"/>
              </w:rPr>
              <w:t>Prob</w:t>
            </w:r>
            <w:proofErr w:type="spellEnd"/>
          </w:p>
        </w:tc>
      </w:tr>
      <w:tr w:rsidR="00E145AA" w:rsidRPr="00E0044C" w:rsidTr="00437A5B">
        <w:tc>
          <w:tcPr>
            <w:tcW w:w="2042" w:type="pct"/>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Total chlorophyll</w:t>
            </w:r>
          </w:p>
        </w:tc>
        <w:tc>
          <w:tcPr>
            <w:tcW w:w="955" w:type="pct"/>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0.060224</w:t>
            </w:r>
          </w:p>
        </w:tc>
        <w:tc>
          <w:tcPr>
            <w:tcW w:w="49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11.9605</w:t>
            </w:r>
          </w:p>
        </w:tc>
        <w:tc>
          <w:tcPr>
            <w:tcW w:w="651"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0.0016*</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13.471943</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382.2212</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0.057524</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1.6320</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0.1622</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Total phenolics</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0.00310556</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4.5914</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0.0398*</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0.02828314</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5.9736</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0.0002*</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0.00452202</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0.9551</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0.4796</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Soluble protein</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6.24e-12</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0.0000</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0.9999</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0.15773311</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29.0520</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0.00131876</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0.2429</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0.9709</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N</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208.9003</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10.8107</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0.0025*</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8480.7262</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62.6975</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2038.1335</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15.0678</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P</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14.0359</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8.4033</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0.0067*</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1373.0465</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117.4348</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1.1087</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0.0948</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0.9983</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K</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55.9556</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10.5443</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0.0027*</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2188.2826</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58.9089</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1098.2948</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29.5663</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B</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6.58412</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13.1523</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0.0010*</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413.31505</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117.9474</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0.51862</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0.1480</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0.9931</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Zn</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1088.591</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12.7591</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0.0011*</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70520.778</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118.0793</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90.171</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0.1510</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0.9927</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Si</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367.141</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12.4498</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0.0013*</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23365.702</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113.1909</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17.933</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0.0869</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0.9987</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LAI (Vegetative stage)</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1.932019</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63.8552</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13.039931</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61.5690</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1.126331</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5.3181</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0.0004*</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LAI (Reproductive stage)</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13.409102</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348.2130</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15.896065</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58.9708</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1.006915</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3.7354</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0.0046*</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LAI (Ripening stage)</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0.779811</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32.3316</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14.214487</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84.1920</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0.338308</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2.0038</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0.0855</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LAD (Vegetative stage)</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349.2635</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51.9252</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5154.0830</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109.4658</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184.3468</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3.9153</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0.0034*</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LAD (Reproductive stage)</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5002.083</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551.2555</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11063.364</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174.1771</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460.058</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7.2430</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bCs/>
                <w:color w:val="000000" w:themeColor="text1"/>
                <w:sz w:val="20"/>
                <w:szCs w:val="20"/>
              </w:rPr>
              <w:t>LAD (Ripening stage)</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1513.432</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118.7769</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11725.229</w:t>
            </w:r>
          </w:p>
        </w:tc>
        <w:tc>
          <w:tcPr>
            <w:tcW w:w="494"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131.4597</w:t>
            </w:r>
          </w:p>
        </w:tc>
        <w:tc>
          <w:tcPr>
            <w:tcW w:w="651" w:type="pct"/>
            <w:tcBorders>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304.565</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3.4147</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0.0077*</w:t>
            </w:r>
          </w:p>
        </w:tc>
      </w:tr>
      <w:tr w:rsidR="00E145AA" w:rsidRPr="00E0044C" w:rsidTr="00437A5B">
        <w:tc>
          <w:tcPr>
            <w:tcW w:w="2042" w:type="pct"/>
            <w:tcBorders>
              <w:top w:val="single" w:sz="4" w:space="0" w:color="auto"/>
              <w:bottom w:val="nil"/>
            </w:tcBorders>
          </w:tcPr>
          <w:p w:rsidR="00E145AA" w:rsidRPr="00E0044C" w:rsidRDefault="00E145AA" w:rsidP="00437A5B">
            <w:pPr>
              <w:autoSpaceDE w:val="0"/>
              <w:autoSpaceDN w:val="0"/>
              <w:adjustRightInd w:val="0"/>
              <w:rPr>
                <w:rFonts w:ascii="Times New Roman" w:hAnsi="Times New Roman" w:cs="Times New Roman"/>
                <w:color w:val="000000" w:themeColor="text1"/>
                <w:sz w:val="20"/>
                <w:szCs w:val="20"/>
              </w:rPr>
            </w:pPr>
            <w:r w:rsidRPr="00E0044C">
              <w:rPr>
                <w:rFonts w:ascii="Times New Roman" w:eastAsia="+mn-ea" w:hAnsi="Times New Roman" w:cs="Times New Roman"/>
                <w:bCs/>
                <w:color w:val="000000" w:themeColor="text1"/>
                <w:kern w:val="24"/>
                <w:sz w:val="20"/>
                <w:szCs w:val="20"/>
              </w:rPr>
              <w:t>Crop growth rate</w:t>
            </w:r>
            <w:r w:rsidRPr="00E0044C">
              <w:rPr>
                <w:rFonts w:ascii="Times New Roman" w:eastAsia="+mn-ea" w:hAnsi="Times New Roman" w:cs="Times New Roman"/>
                <w:bCs/>
                <w:color w:val="000000" w:themeColor="text1"/>
                <w:kern w:val="24"/>
              </w:rPr>
              <w:t xml:space="preserve"> </w:t>
            </w:r>
            <w:r w:rsidRPr="00E0044C">
              <w:rPr>
                <w:rFonts w:ascii="Times New Roman" w:hAnsi="Times New Roman" w:cs="Times New Roman"/>
                <w:bCs/>
                <w:color w:val="000000" w:themeColor="text1"/>
                <w:sz w:val="20"/>
                <w:szCs w:val="20"/>
              </w:rPr>
              <w:t>(Vegetative stage)</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0.040750</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1.5227</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0.2262</w:t>
            </w:r>
          </w:p>
        </w:tc>
      </w:tr>
      <w:tr w:rsidR="00E145AA" w:rsidRPr="00E0044C" w:rsidTr="00437A5B">
        <w:tc>
          <w:tcPr>
            <w:tcW w:w="2042" w:type="pct"/>
            <w:tcBorders>
              <w:top w:val="nil"/>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24.762983</w:t>
            </w:r>
          </w:p>
        </w:tc>
        <w:tc>
          <w:tcPr>
            <w:tcW w:w="494" w:type="pct"/>
            <w:tcBorders>
              <w:top w:val="nil"/>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132.1863</w:t>
            </w:r>
          </w:p>
        </w:tc>
        <w:tc>
          <w:tcPr>
            <w:tcW w:w="651" w:type="pct"/>
            <w:tcBorders>
              <w:top w:val="nil"/>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1.079833</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5.7642</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0.0002*</w:t>
            </w:r>
          </w:p>
        </w:tc>
      </w:tr>
      <w:tr w:rsidR="00E145AA" w:rsidRPr="00E0044C" w:rsidTr="00437A5B">
        <w:tc>
          <w:tcPr>
            <w:tcW w:w="2042" w:type="pct"/>
            <w:tcBorders>
              <w:top w:val="single" w:sz="4" w:space="0" w:color="auto"/>
            </w:tcBorders>
          </w:tcPr>
          <w:p w:rsidR="00E145AA" w:rsidRPr="00E0044C" w:rsidRDefault="00E145AA" w:rsidP="00437A5B">
            <w:pPr>
              <w:autoSpaceDE w:val="0"/>
              <w:autoSpaceDN w:val="0"/>
              <w:adjustRightInd w:val="0"/>
              <w:rPr>
                <w:rFonts w:ascii="Times New Roman" w:hAnsi="Times New Roman" w:cs="Times New Roman"/>
                <w:color w:val="000000" w:themeColor="text1"/>
                <w:sz w:val="20"/>
                <w:szCs w:val="20"/>
              </w:rPr>
            </w:pPr>
            <w:r w:rsidRPr="00E0044C">
              <w:rPr>
                <w:rFonts w:ascii="Times New Roman" w:eastAsia="+mn-ea" w:hAnsi="Times New Roman" w:cs="Times New Roman"/>
                <w:bCs/>
                <w:color w:val="000000" w:themeColor="text1"/>
                <w:kern w:val="24"/>
                <w:sz w:val="20"/>
                <w:szCs w:val="20"/>
              </w:rPr>
              <w:t>Crop growth rate</w:t>
            </w:r>
            <w:r w:rsidRPr="00E0044C">
              <w:rPr>
                <w:rFonts w:ascii="Times New Roman" w:eastAsia="+mn-ea" w:hAnsi="Times New Roman" w:cs="Times New Roman"/>
                <w:bCs/>
                <w:color w:val="000000" w:themeColor="text1"/>
                <w:kern w:val="24"/>
              </w:rPr>
              <w:t xml:space="preserve"> </w:t>
            </w:r>
            <w:r w:rsidRPr="00E0044C">
              <w:rPr>
                <w:rFonts w:ascii="Times New Roman" w:hAnsi="Times New Roman" w:cs="Times New Roman"/>
                <w:bCs/>
                <w:color w:val="000000" w:themeColor="text1"/>
                <w:sz w:val="20"/>
                <w:szCs w:val="20"/>
              </w:rPr>
              <w:t>(Reproductive stage)</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7.736962</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67.1683</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46.781458</w:t>
            </w:r>
          </w:p>
        </w:tc>
        <w:tc>
          <w:tcPr>
            <w:tcW w:w="494" w:type="pct"/>
            <w:tcBorders>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58.0189</w:t>
            </w:r>
          </w:p>
        </w:tc>
        <w:tc>
          <w:tcPr>
            <w:tcW w:w="651" w:type="pct"/>
            <w:tcBorders>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7.214922</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8.9480</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top w:val="single" w:sz="4" w:space="0" w:color="auto"/>
            </w:tcBorders>
          </w:tcPr>
          <w:p w:rsidR="00E145AA" w:rsidRPr="00E0044C" w:rsidRDefault="00E145AA" w:rsidP="00437A5B">
            <w:pPr>
              <w:autoSpaceDE w:val="0"/>
              <w:autoSpaceDN w:val="0"/>
              <w:adjustRightInd w:val="0"/>
              <w:rPr>
                <w:rFonts w:ascii="Times New Roman" w:hAnsi="Times New Roman" w:cs="Times New Roman"/>
                <w:color w:val="000000" w:themeColor="text1"/>
                <w:sz w:val="20"/>
                <w:szCs w:val="20"/>
              </w:rPr>
            </w:pPr>
            <w:r w:rsidRPr="00E0044C">
              <w:rPr>
                <w:rFonts w:ascii="Times New Roman" w:eastAsia="+mn-ea" w:hAnsi="Times New Roman" w:cs="Times New Roman"/>
                <w:bCs/>
                <w:color w:val="000000" w:themeColor="text1"/>
                <w:kern w:val="24"/>
                <w:sz w:val="20"/>
                <w:szCs w:val="20"/>
              </w:rPr>
              <w:t>Crop growth rate</w:t>
            </w:r>
            <w:r w:rsidRPr="00E0044C">
              <w:rPr>
                <w:rFonts w:ascii="Times New Roman" w:hAnsi="Times New Roman" w:cs="Times New Roman"/>
                <w:bCs/>
                <w:color w:val="000000" w:themeColor="text1"/>
                <w:sz w:val="20"/>
                <w:szCs w:val="20"/>
              </w:rPr>
              <w:t xml:space="preserve"> (Ripening stage)</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5.250039</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66.8017</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Pr>
          <w:p w:rsidR="00E145AA" w:rsidRPr="00E0044C" w:rsidRDefault="00E145AA" w:rsidP="00437A5B">
            <w:pPr>
              <w:rPr>
                <w:rFonts w:ascii="Times New Roman" w:hAnsi="Times New Roman" w:cs="Times New Roman"/>
                <w:color w:val="000000" w:themeColor="text1"/>
                <w:sz w:val="20"/>
                <w:szCs w:val="20"/>
              </w:rPr>
            </w:pPr>
          </w:p>
        </w:tc>
        <w:tc>
          <w:tcPr>
            <w:tcW w:w="955" w:type="pct"/>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34.913538</w:t>
            </w:r>
          </w:p>
        </w:tc>
        <w:tc>
          <w:tcPr>
            <w:tcW w:w="494" w:type="pct"/>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63.4630</w:t>
            </w:r>
          </w:p>
        </w:tc>
        <w:tc>
          <w:tcPr>
            <w:tcW w:w="651" w:type="pct"/>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3.639732</w:t>
            </w:r>
          </w:p>
        </w:tc>
        <w:tc>
          <w:tcPr>
            <w:tcW w:w="494"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6.6160</w:t>
            </w:r>
          </w:p>
        </w:tc>
        <w:tc>
          <w:tcPr>
            <w:tcW w:w="651"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top w:val="single" w:sz="4" w:space="0" w:color="auto"/>
              <w:bottom w:val="nil"/>
            </w:tcBorders>
          </w:tcPr>
          <w:p w:rsidR="00E145AA" w:rsidRPr="00E0044C" w:rsidRDefault="00E145AA" w:rsidP="00437A5B">
            <w:pPr>
              <w:autoSpaceDE w:val="0"/>
              <w:autoSpaceDN w:val="0"/>
              <w:adjustRightInd w:val="0"/>
              <w:rPr>
                <w:rFonts w:ascii="Times New Roman" w:hAnsi="Times New Roman" w:cs="Times New Roman"/>
                <w:color w:val="000000" w:themeColor="text1"/>
                <w:sz w:val="20"/>
                <w:szCs w:val="20"/>
              </w:rPr>
            </w:pPr>
            <w:r w:rsidRPr="00E0044C">
              <w:rPr>
                <w:rFonts w:ascii="Times New Roman" w:eastAsia="+mn-ea" w:hAnsi="Times New Roman" w:cs="Times New Roman"/>
                <w:bCs/>
                <w:color w:val="000000" w:themeColor="text1"/>
                <w:kern w:val="24"/>
              </w:rPr>
              <w:lastRenderedPageBreak/>
              <w:t xml:space="preserve">Net assimilation </w:t>
            </w:r>
            <w:r w:rsidRPr="00E0044C">
              <w:rPr>
                <w:rFonts w:ascii="Times New Roman" w:eastAsia="+mn-ea" w:hAnsi="Times New Roman" w:cs="Times New Roman"/>
                <w:bCs/>
                <w:color w:val="000000" w:themeColor="text1"/>
                <w:kern w:val="24"/>
                <w:sz w:val="20"/>
                <w:szCs w:val="20"/>
              </w:rPr>
              <w:t>rate</w:t>
            </w:r>
            <w:r w:rsidRPr="00E0044C">
              <w:rPr>
                <w:rFonts w:ascii="Times New Roman" w:hAnsi="Times New Roman" w:cs="Times New Roman"/>
                <w:bCs/>
                <w:color w:val="000000" w:themeColor="text1"/>
                <w:sz w:val="20"/>
                <w:szCs w:val="20"/>
              </w:rPr>
              <w:t xml:space="preserve"> (Vegetative stage)</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0.8752610</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32.3202</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top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1.2093813</w:t>
            </w:r>
          </w:p>
        </w:tc>
        <w:tc>
          <w:tcPr>
            <w:tcW w:w="494" w:type="pct"/>
            <w:tcBorders>
              <w:top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6.3797</w:t>
            </w:r>
          </w:p>
        </w:tc>
        <w:tc>
          <w:tcPr>
            <w:tcW w:w="651" w:type="pct"/>
            <w:tcBorders>
              <w:top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0.8505056</w:t>
            </w:r>
          </w:p>
        </w:tc>
        <w:tc>
          <w:tcPr>
            <w:tcW w:w="494"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4.4866</w:t>
            </w:r>
          </w:p>
        </w:tc>
        <w:tc>
          <w:tcPr>
            <w:tcW w:w="651"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0.0014*</w:t>
            </w:r>
          </w:p>
        </w:tc>
      </w:tr>
      <w:tr w:rsidR="00E145AA" w:rsidRPr="00E0044C" w:rsidTr="00437A5B">
        <w:tc>
          <w:tcPr>
            <w:tcW w:w="2042" w:type="pct"/>
            <w:tcBorders>
              <w:top w:val="single" w:sz="4" w:space="0" w:color="auto"/>
              <w:bottom w:val="nil"/>
            </w:tcBorders>
          </w:tcPr>
          <w:p w:rsidR="00E145AA" w:rsidRPr="00E0044C" w:rsidRDefault="00E145AA" w:rsidP="00437A5B">
            <w:pPr>
              <w:autoSpaceDE w:val="0"/>
              <w:autoSpaceDN w:val="0"/>
              <w:adjustRightInd w:val="0"/>
              <w:rPr>
                <w:rFonts w:ascii="Times New Roman" w:hAnsi="Times New Roman" w:cs="Times New Roman"/>
                <w:color w:val="000000" w:themeColor="text1"/>
                <w:sz w:val="20"/>
                <w:szCs w:val="20"/>
              </w:rPr>
            </w:pPr>
            <w:r w:rsidRPr="00E0044C">
              <w:rPr>
                <w:rFonts w:ascii="Times New Roman" w:eastAsia="+mn-ea" w:hAnsi="Times New Roman" w:cs="Times New Roman"/>
                <w:bCs/>
                <w:color w:val="000000" w:themeColor="text1"/>
                <w:kern w:val="24"/>
              </w:rPr>
              <w:t xml:space="preserve">Net assimilation </w:t>
            </w:r>
            <w:r w:rsidRPr="00E0044C">
              <w:rPr>
                <w:rFonts w:ascii="Times New Roman" w:eastAsia="+mn-ea" w:hAnsi="Times New Roman" w:cs="Times New Roman"/>
                <w:bCs/>
                <w:color w:val="000000" w:themeColor="text1"/>
                <w:kern w:val="24"/>
                <w:sz w:val="20"/>
                <w:szCs w:val="20"/>
              </w:rPr>
              <w:t>rate</w:t>
            </w:r>
            <w:r w:rsidRPr="00E0044C">
              <w:rPr>
                <w:rFonts w:ascii="Times New Roman" w:eastAsia="+mn-ea" w:hAnsi="Times New Roman" w:cs="Times New Roman"/>
                <w:bCs/>
                <w:color w:val="000000" w:themeColor="text1"/>
                <w:kern w:val="24"/>
              </w:rPr>
              <w:t xml:space="preserve"> </w:t>
            </w:r>
            <w:r w:rsidRPr="00E0044C">
              <w:rPr>
                <w:rFonts w:ascii="Times New Roman" w:hAnsi="Times New Roman" w:cs="Times New Roman"/>
                <w:bCs/>
                <w:color w:val="000000" w:themeColor="text1"/>
                <w:sz w:val="20"/>
                <w:szCs w:val="20"/>
              </w:rPr>
              <w:t>(Reproductive stage)</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1.1187662</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48.7605</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top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1.1887455</w:t>
            </w:r>
          </w:p>
        </w:tc>
        <w:tc>
          <w:tcPr>
            <w:tcW w:w="494" w:type="pct"/>
            <w:tcBorders>
              <w:top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7.4015</w:t>
            </w:r>
          </w:p>
        </w:tc>
        <w:tc>
          <w:tcPr>
            <w:tcW w:w="651" w:type="pct"/>
            <w:tcBorders>
              <w:top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&lt;.0001*</w:t>
            </w:r>
          </w:p>
        </w:tc>
      </w:tr>
      <w:tr w:rsidR="00E145AA" w:rsidRPr="00E0044C" w:rsidTr="00437A5B">
        <w:tc>
          <w:tcPr>
            <w:tcW w:w="2042" w:type="pct"/>
            <w:tcBorders>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0.4765625</w:t>
            </w:r>
          </w:p>
        </w:tc>
        <w:tc>
          <w:tcPr>
            <w:tcW w:w="494"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2.9672</w:t>
            </w:r>
          </w:p>
        </w:tc>
        <w:tc>
          <w:tcPr>
            <w:tcW w:w="651"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0.0163*</w:t>
            </w:r>
          </w:p>
        </w:tc>
      </w:tr>
      <w:tr w:rsidR="00E145AA" w:rsidRPr="00E0044C" w:rsidTr="00437A5B">
        <w:tc>
          <w:tcPr>
            <w:tcW w:w="2042" w:type="pct"/>
            <w:tcBorders>
              <w:top w:val="single" w:sz="4" w:space="0" w:color="auto"/>
              <w:bottom w:val="nil"/>
            </w:tcBorders>
          </w:tcPr>
          <w:p w:rsidR="00E145AA" w:rsidRPr="00E0044C" w:rsidRDefault="00E145AA" w:rsidP="00437A5B">
            <w:pPr>
              <w:autoSpaceDE w:val="0"/>
              <w:autoSpaceDN w:val="0"/>
              <w:adjustRightInd w:val="0"/>
              <w:rPr>
                <w:rFonts w:ascii="Times New Roman" w:hAnsi="Times New Roman" w:cs="Times New Roman"/>
                <w:color w:val="000000" w:themeColor="text1"/>
                <w:sz w:val="20"/>
                <w:szCs w:val="20"/>
              </w:rPr>
            </w:pPr>
            <w:r w:rsidRPr="00E0044C">
              <w:rPr>
                <w:rFonts w:ascii="Times New Roman" w:eastAsia="+mn-ea" w:hAnsi="Times New Roman" w:cs="Times New Roman"/>
                <w:bCs/>
                <w:color w:val="000000" w:themeColor="text1"/>
                <w:kern w:val="24"/>
              </w:rPr>
              <w:t xml:space="preserve">Net assimilation </w:t>
            </w:r>
            <w:r w:rsidRPr="00E0044C">
              <w:rPr>
                <w:rFonts w:ascii="Times New Roman" w:eastAsia="+mn-ea" w:hAnsi="Times New Roman" w:cs="Times New Roman"/>
                <w:bCs/>
                <w:color w:val="000000" w:themeColor="text1"/>
                <w:kern w:val="24"/>
                <w:sz w:val="20"/>
                <w:szCs w:val="20"/>
              </w:rPr>
              <w:t>rate</w:t>
            </w:r>
            <w:r w:rsidRPr="00E0044C">
              <w:rPr>
                <w:rFonts w:ascii="Times New Roman" w:hAnsi="Times New Roman" w:cs="Times New Roman"/>
                <w:bCs/>
                <w:color w:val="000000" w:themeColor="text1"/>
                <w:sz w:val="20"/>
                <w:szCs w:val="20"/>
              </w:rPr>
              <w:t xml:space="preserve"> (Ripening stage)</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0.00997034</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0.9205</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0.3445</w:t>
            </w:r>
          </w:p>
        </w:tc>
      </w:tr>
      <w:tr w:rsidR="00E145AA" w:rsidRPr="00E0044C" w:rsidTr="00437A5B">
        <w:tc>
          <w:tcPr>
            <w:tcW w:w="2042" w:type="pct"/>
            <w:tcBorders>
              <w:top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0.28774566</w:t>
            </w:r>
          </w:p>
        </w:tc>
        <w:tc>
          <w:tcPr>
            <w:tcW w:w="494" w:type="pct"/>
            <w:tcBorders>
              <w:top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3.7951</w:t>
            </w:r>
          </w:p>
        </w:tc>
        <w:tc>
          <w:tcPr>
            <w:tcW w:w="651" w:type="pct"/>
            <w:tcBorders>
              <w:top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0.0042*</w:t>
            </w:r>
          </w:p>
        </w:tc>
      </w:tr>
      <w:tr w:rsidR="00E145AA" w:rsidRPr="00E0044C" w:rsidTr="00437A5B">
        <w:tc>
          <w:tcPr>
            <w:tcW w:w="2042" w:type="pct"/>
            <w:tcBorders>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0.40693454</w:t>
            </w:r>
          </w:p>
        </w:tc>
        <w:tc>
          <w:tcPr>
            <w:tcW w:w="494"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5.3671</w:t>
            </w:r>
          </w:p>
        </w:tc>
        <w:tc>
          <w:tcPr>
            <w:tcW w:w="651" w:type="pct"/>
            <w:tcBorders>
              <w:bottom w:val="single" w:sz="4" w:space="0" w:color="auto"/>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Segoe UI" w:eastAsiaTheme="minorEastAsia" w:hAnsi="Segoe UI" w:cs="Segoe UI"/>
                <w:color w:val="000000" w:themeColor="text1"/>
                <w:sz w:val="18"/>
                <w:szCs w:val="18"/>
                <w:lang w:eastAsia="zh-TW"/>
              </w:rPr>
              <w:t>0.0004*</w:t>
            </w:r>
          </w:p>
        </w:tc>
      </w:tr>
      <w:tr w:rsidR="00E145AA" w:rsidRPr="00E0044C" w:rsidTr="00437A5B">
        <w:tc>
          <w:tcPr>
            <w:tcW w:w="2042" w:type="pct"/>
            <w:tcBorders>
              <w:top w:val="single" w:sz="4" w:space="0" w:color="auto"/>
              <w:bottom w:val="nil"/>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Panicles m</w:t>
            </w:r>
            <w:r w:rsidRPr="00E0044C">
              <w:rPr>
                <w:rFonts w:ascii="Times New Roman" w:hAnsi="Times New Roman" w:cs="Times New Roman"/>
                <w:color w:val="000000" w:themeColor="text1"/>
                <w:sz w:val="20"/>
                <w:szCs w:val="20"/>
                <w:vertAlign w:val="superscript"/>
              </w:rPr>
              <w:t>-2</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Times New Roman" w:eastAsiaTheme="minorEastAsia" w:hAnsi="Times New Roman" w:cs="Times New Roman"/>
                <w:color w:val="000000" w:themeColor="text1"/>
                <w:sz w:val="20"/>
                <w:szCs w:val="20"/>
                <w:lang w:eastAsia="zh-TW"/>
              </w:rPr>
              <w:t>240.139</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Times New Roman" w:eastAsiaTheme="minorEastAsia" w:hAnsi="Times New Roman" w:cs="Times New Roman"/>
                <w:color w:val="000000" w:themeColor="text1"/>
                <w:sz w:val="20"/>
                <w:szCs w:val="20"/>
                <w:lang w:eastAsia="zh-TW"/>
              </w:rPr>
              <w:t>33.7857</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Segoe UI" w:eastAsiaTheme="minorEastAsia" w:hAnsi="Segoe UI" w:cs="Segoe UI"/>
                <w:color w:val="000000" w:themeColor="text1"/>
                <w:sz w:val="18"/>
                <w:szCs w:val="18"/>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40789.948</w:t>
            </w:r>
          </w:p>
        </w:tc>
        <w:tc>
          <w:tcPr>
            <w:tcW w:w="494"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819.8331</w:t>
            </w:r>
          </w:p>
        </w:tc>
        <w:tc>
          <w:tcPr>
            <w:tcW w:w="651"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399.363</w:t>
            </w:r>
          </w:p>
        </w:tc>
        <w:tc>
          <w:tcPr>
            <w:tcW w:w="494"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8.0268</w:t>
            </w:r>
          </w:p>
        </w:tc>
        <w:tc>
          <w:tcPr>
            <w:tcW w:w="651"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single" w:sz="4" w:space="0" w:color="auto"/>
              <w:bottom w:val="nil"/>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Filled grain panicle</w:t>
            </w:r>
            <w:r w:rsidRPr="00E0044C">
              <w:rPr>
                <w:rFonts w:ascii="Times New Roman" w:hAnsi="Times New Roman" w:cs="Times New Roman"/>
                <w:color w:val="000000" w:themeColor="text1"/>
                <w:sz w:val="20"/>
                <w:szCs w:val="20"/>
                <w:vertAlign w:val="superscript"/>
              </w:rPr>
              <w:t>-1</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410.0981</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112.9191</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2718.3090</w:t>
            </w:r>
          </w:p>
        </w:tc>
        <w:tc>
          <w:tcPr>
            <w:tcW w:w="494"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106.9253</w:t>
            </w:r>
          </w:p>
        </w:tc>
        <w:tc>
          <w:tcPr>
            <w:tcW w:w="651"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5.7049</w:t>
            </w:r>
          </w:p>
        </w:tc>
        <w:tc>
          <w:tcPr>
            <w:tcW w:w="494"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0.2244</w:t>
            </w:r>
          </w:p>
        </w:tc>
        <w:tc>
          <w:tcPr>
            <w:tcW w:w="651"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0.9766</w:t>
            </w:r>
          </w:p>
        </w:tc>
      </w:tr>
      <w:tr w:rsidR="00E145AA" w:rsidRPr="00E0044C" w:rsidTr="00437A5B">
        <w:tc>
          <w:tcPr>
            <w:tcW w:w="2042" w:type="pct"/>
            <w:tcBorders>
              <w:top w:val="single" w:sz="4" w:space="0" w:color="auto"/>
              <w:bottom w:val="nil"/>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Grain-filling percentage</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60.7500</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10.0110</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0.0034*</w:t>
            </w:r>
          </w:p>
        </w:tc>
      </w:tr>
      <w:tr w:rsidR="00E145AA" w:rsidRPr="00E0044C" w:rsidTr="00437A5B">
        <w:tc>
          <w:tcPr>
            <w:tcW w:w="2042" w:type="pct"/>
            <w:tcBorders>
              <w:top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3461.2500</w:t>
            </w:r>
          </w:p>
        </w:tc>
        <w:tc>
          <w:tcPr>
            <w:tcW w:w="494"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81.4832</w:t>
            </w:r>
          </w:p>
        </w:tc>
        <w:tc>
          <w:tcPr>
            <w:tcW w:w="651"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17.2500</w:t>
            </w:r>
          </w:p>
        </w:tc>
        <w:tc>
          <w:tcPr>
            <w:tcW w:w="494"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0.4061</w:t>
            </w:r>
          </w:p>
        </w:tc>
        <w:tc>
          <w:tcPr>
            <w:tcW w:w="651"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0.8914</w:t>
            </w:r>
          </w:p>
        </w:tc>
      </w:tr>
      <w:tr w:rsidR="00E145AA" w:rsidRPr="00E0044C" w:rsidTr="00437A5B">
        <w:tc>
          <w:tcPr>
            <w:tcW w:w="2042" w:type="pct"/>
            <w:tcBorders>
              <w:top w:val="single" w:sz="4" w:space="0" w:color="auto"/>
              <w:bottom w:val="nil"/>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Test weight (g)</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0.00275415</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0.0014</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0.9700</w:t>
            </w:r>
          </w:p>
        </w:tc>
      </w:tr>
      <w:tr w:rsidR="00E145AA" w:rsidRPr="00E0044C" w:rsidTr="00437A5B">
        <w:tc>
          <w:tcPr>
            <w:tcW w:w="2042" w:type="pct"/>
            <w:tcBorders>
              <w:top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0.95390078</w:t>
            </w:r>
          </w:p>
        </w:tc>
        <w:tc>
          <w:tcPr>
            <w:tcW w:w="494"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0.0713</w:t>
            </w:r>
          </w:p>
        </w:tc>
        <w:tc>
          <w:tcPr>
            <w:tcW w:w="651"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0.9993</w:t>
            </w:r>
          </w:p>
        </w:tc>
      </w:tr>
      <w:tr w:rsidR="00E145AA" w:rsidRPr="00E0044C" w:rsidTr="00437A5B">
        <w:tc>
          <w:tcPr>
            <w:tcW w:w="2042" w:type="pct"/>
            <w:tcBorders>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0.27424650</w:t>
            </w:r>
          </w:p>
        </w:tc>
        <w:tc>
          <w:tcPr>
            <w:tcW w:w="494"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0.0205</w:t>
            </w:r>
          </w:p>
        </w:tc>
        <w:tc>
          <w:tcPr>
            <w:tcW w:w="651"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1.0000</w:t>
            </w:r>
          </w:p>
        </w:tc>
      </w:tr>
      <w:tr w:rsidR="00E145AA" w:rsidRPr="00E0044C" w:rsidTr="00437A5B">
        <w:tc>
          <w:tcPr>
            <w:tcW w:w="2042" w:type="pct"/>
            <w:tcBorders>
              <w:top w:val="single" w:sz="4" w:space="0" w:color="auto"/>
              <w:bottom w:val="nil"/>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Grain yield (t ha</w:t>
            </w:r>
            <w:r w:rsidRPr="00E0044C">
              <w:rPr>
                <w:rFonts w:ascii="Times New Roman" w:hAnsi="Times New Roman" w:cs="Times New Roman"/>
                <w:color w:val="000000" w:themeColor="text1"/>
                <w:sz w:val="20"/>
                <w:szCs w:val="20"/>
                <w:vertAlign w:val="superscript"/>
              </w:rPr>
              <w:t>-1</w:t>
            </w:r>
            <w:r w:rsidRPr="00E0044C">
              <w:rPr>
                <w:rFonts w:ascii="Times New Roman" w:hAnsi="Times New Roman" w:cs="Times New Roman"/>
                <w:color w:val="000000" w:themeColor="text1"/>
                <w:sz w:val="20"/>
                <w:szCs w:val="20"/>
              </w:rPr>
              <w:t>)</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0.193761</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8.2533</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0.0072*</w:t>
            </w:r>
          </w:p>
        </w:tc>
      </w:tr>
      <w:tr w:rsidR="00E145AA" w:rsidRPr="00E0044C" w:rsidTr="00437A5B">
        <w:tc>
          <w:tcPr>
            <w:tcW w:w="2042" w:type="pct"/>
            <w:tcBorders>
              <w:top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29.133453</w:t>
            </w:r>
          </w:p>
        </w:tc>
        <w:tc>
          <w:tcPr>
            <w:tcW w:w="494"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177.2790</w:t>
            </w:r>
          </w:p>
        </w:tc>
        <w:tc>
          <w:tcPr>
            <w:tcW w:w="651" w:type="pct"/>
            <w:tcBorders>
              <w:top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0.018018</w:t>
            </w:r>
          </w:p>
        </w:tc>
        <w:tc>
          <w:tcPr>
            <w:tcW w:w="494"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0.1096</w:t>
            </w:r>
          </w:p>
        </w:tc>
        <w:tc>
          <w:tcPr>
            <w:tcW w:w="651" w:type="pct"/>
            <w:tcBorders>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0.9973</w:t>
            </w:r>
          </w:p>
        </w:tc>
      </w:tr>
      <w:tr w:rsidR="00E145AA" w:rsidRPr="00E0044C" w:rsidTr="00437A5B">
        <w:tc>
          <w:tcPr>
            <w:tcW w:w="2042" w:type="pct"/>
            <w:tcBorders>
              <w:top w:val="single" w:sz="4" w:space="0" w:color="auto"/>
              <w:bottom w:val="nil"/>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Straw yield (t ha</w:t>
            </w:r>
            <w:r w:rsidRPr="00E0044C">
              <w:rPr>
                <w:rFonts w:ascii="Times New Roman" w:hAnsi="Times New Roman" w:cs="Times New Roman"/>
                <w:color w:val="000000" w:themeColor="text1"/>
                <w:sz w:val="20"/>
                <w:szCs w:val="20"/>
                <w:vertAlign w:val="superscript"/>
              </w:rPr>
              <w:t>-1</w:t>
            </w:r>
            <w:r w:rsidRPr="00E0044C">
              <w:rPr>
                <w:rFonts w:ascii="Times New Roman" w:hAnsi="Times New Roman" w:cs="Times New Roman"/>
                <w:color w:val="000000" w:themeColor="text1"/>
                <w:sz w:val="20"/>
                <w:szCs w:val="20"/>
              </w:rPr>
              <w:t>)</w:t>
            </w:r>
          </w:p>
        </w:tc>
        <w:tc>
          <w:tcPr>
            <w:tcW w:w="955"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1.278187</w:t>
            </w:r>
          </w:p>
        </w:tc>
        <w:tc>
          <w:tcPr>
            <w:tcW w:w="494"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31.6232</w:t>
            </w:r>
          </w:p>
        </w:tc>
        <w:tc>
          <w:tcPr>
            <w:tcW w:w="651" w:type="pct"/>
            <w:tcBorders>
              <w:top w:val="single" w:sz="4" w:space="0" w:color="auto"/>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nil"/>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Borders>
              <w:top w:val="nil"/>
              <w:bottom w:val="nil"/>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24.561631</w:t>
            </w:r>
          </w:p>
        </w:tc>
        <w:tc>
          <w:tcPr>
            <w:tcW w:w="494" w:type="pct"/>
            <w:tcBorders>
              <w:top w:val="nil"/>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86.8102</w:t>
            </w:r>
          </w:p>
        </w:tc>
        <w:tc>
          <w:tcPr>
            <w:tcW w:w="651" w:type="pct"/>
            <w:tcBorders>
              <w:top w:val="nil"/>
              <w:bottom w:val="nil"/>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Borders>
              <w:top w:val="nil"/>
              <w:bottom w:val="single" w:sz="4" w:space="0" w:color="auto"/>
            </w:tcBorders>
          </w:tcPr>
          <w:p w:rsidR="00E145AA" w:rsidRPr="00E0044C" w:rsidRDefault="00E145AA" w:rsidP="00437A5B">
            <w:pPr>
              <w:rPr>
                <w:rFonts w:ascii="Times New Roman" w:hAnsi="Times New Roman" w:cs="Times New Roman"/>
                <w:color w:val="000000" w:themeColor="text1"/>
                <w:sz w:val="20"/>
                <w:szCs w:val="20"/>
              </w:rPr>
            </w:pPr>
          </w:p>
        </w:tc>
        <w:tc>
          <w:tcPr>
            <w:tcW w:w="955"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Borders>
              <w:top w:val="nil"/>
              <w:bottom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0.053628</w:t>
            </w:r>
          </w:p>
        </w:tc>
        <w:tc>
          <w:tcPr>
            <w:tcW w:w="494"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0.1895</w:t>
            </w:r>
          </w:p>
        </w:tc>
        <w:tc>
          <w:tcPr>
            <w:tcW w:w="651" w:type="pct"/>
            <w:tcBorders>
              <w:top w:val="nil"/>
              <w:bottom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0.9856</w:t>
            </w:r>
          </w:p>
        </w:tc>
      </w:tr>
      <w:tr w:rsidR="00E145AA" w:rsidRPr="00E0044C" w:rsidTr="00437A5B">
        <w:tc>
          <w:tcPr>
            <w:tcW w:w="2042" w:type="pct"/>
            <w:tcBorders>
              <w:top w:val="single" w:sz="4" w:space="0" w:color="auto"/>
            </w:tcBorders>
          </w:tcPr>
          <w:p w:rsidR="00E145AA" w:rsidRPr="00E0044C" w:rsidRDefault="00E145AA" w:rsidP="00437A5B">
            <w:pPr>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Harvest index (%)</w:t>
            </w:r>
          </w:p>
        </w:tc>
        <w:tc>
          <w:tcPr>
            <w:tcW w:w="955"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Year</w:t>
            </w:r>
          </w:p>
        </w:tc>
        <w:tc>
          <w:tcPr>
            <w:tcW w:w="196" w:type="pct"/>
            <w:tcBorders>
              <w:top w:val="single" w:sz="4" w:space="0" w:color="auto"/>
            </w:tcBorders>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1</w:t>
            </w:r>
          </w:p>
        </w:tc>
        <w:tc>
          <w:tcPr>
            <w:tcW w:w="662"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6.275314</w:t>
            </w:r>
          </w:p>
        </w:tc>
        <w:tc>
          <w:tcPr>
            <w:tcW w:w="494"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5.3625</w:t>
            </w:r>
          </w:p>
        </w:tc>
        <w:tc>
          <w:tcPr>
            <w:tcW w:w="651" w:type="pct"/>
            <w:tcBorders>
              <w:top w:val="single" w:sz="4" w:space="0" w:color="auto"/>
            </w:tcBorders>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0.0271*</w:t>
            </w:r>
          </w:p>
        </w:tc>
      </w:tr>
      <w:tr w:rsidR="00E145AA" w:rsidRPr="00E0044C" w:rsidTr="00437A5B">
        <w:tc>
          <w:tcPr>
            <w:tcW w:w="2042" w:type="pct"/>
          </w:tcPr>
          <w:p w:rsidR="00E145AA" w:rsidRPr="00E0044C" w:rsidRDefault="00E145AA" w:rsidP="00437A5B">
            <w:pPr>
              <w:rPr>
                <w:rFonts w:ascii="Times New Roman" w:hAnsi="Times New Roman" w:cs="Times New Roman"/>
                <w:color w:val="000000" w:themeColor="text1"/>
                <w:sz w:val="20"/>
                <w:szCs w:val="20"/>
              </w:rPr>
            </w:pPr>
          </w:p>
        </w:tc>
        <w:tc>
          <w:tcPr>
            <w:tcW w:w="955" w:type="pct"/>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Treatment</w:t>
            </w:r>
          </w:p>
        </w:tc>
        <w:tc>
          <w:tcPr>
            <w:tcW w:w="196" w:type="pct"/>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84.405704</w:t>
            </w:r>
          </w:p>
        </w:tc>
        <w:tc>
          <w:tcPr>
            <w:tcW w:w="49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10.3040</w:t>
            </w:r>
          </w:p>
        </w:tc>
        <w:tc>
          <w:tcPr>
            <w:tcW w:w="651"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&lt;.0001*</w:t>
            </w:r>
          </w:p>
        </w:tc>
      </w:tr>
      <w:tr w:rsidR="00E145AA" w:rsidRPr="00E0044C" w:rsidTr="00437A5B">
        <w:tc>
          <w:tcPr>
            <w:tcW w:w="2042" w:type="pct"/>
          </w:tcPr>
          <w:p w:rsidR="00E145AA" w:rsidRPr="00E0044C" w:rsidRDefault="00E145AA" w:rsidP="00437A5B">
            <w:pPr>
              <w:rPr>
                <w:rFonts w:ascii="Times New Roman" w:hAnsi="Times New Roman" w:cs="Times New Roman"/>
                <w:color w:val="000000" w:themeColor="text1"/>
                <w:sz w:val="20"/>
                <w:szCs w:val="20"/>
              </w:rPr>
            </w:pPr>
          </w:p>
        </w:tc>
        <w:tc>
          <w:tcPr>
            <w:tcW w:w="955" w:type="pct"/>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sz w:val="20"/>
              </w:rPr>
              <w:t>Year x Treatment</w:t>
            </w:r>
          </w:p>
        </w:tc>
        <w:tc>
          <w:tcPr>
            <w:tcW w:w="196" w:type="pct"/>
          </w:tcPr>
          <w:p w:rsidR="00E145AA" w:rsidRPr="00E0044C" w:rsidRDefault="00E145AA" w:rsidP="00437A5B">
            <w:pPr>
              <w:jc w:val="right"/>
              <w:rPr>
                <w:rFonts w:ascii="Times New Roman" w:hAnsi="Times New Roman" w:cs="Times New Roman"/>
                <w:color w:val="000000" w:themeColor="text1"/>
                <w:sz w:val="20"/>
                <w:szCs w:val="20"/>
              </w:rPr>
            </w:pPr>
            <w:r w:rsidRPr="00E0044C">
              <w:rPr>
                <w:rFonts w:ascii="Times New Roman" w:hAnsi="Times New Roman" w:cs="Times New Roman"/>
                <w:color w:val="000000" w:themeColor="text1"/>
                <w:sz w:val="20"/>
                <w:szCs w:val="20"/>
              </w:rPr>
              <w:t>7</w:t>
            </w:r>
          </w:p>
        </w:tc>
        <w:tc>
          <w:tcPr>
            <w:tcW w:w="662"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2.600347</w:t>
            </w:r>
          </w:p>
        </w:tc>
        <w:tc>
          <w:tcPr>
            <w:tcW w:w="494"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0.3174</w:t>
            </w:r>
          </w:p>
        </w:tc>
        <w:tc>
          <w:tcPr>
            <w:tcW w:w="651" w:type="pct"/>
          </w:tcPr>
          <w:p w:rsidR="00E145AA" w:rsidRPr="00E0044C" w:rsidRDefault="00E145AA" w:rsidP="00437A5B">
            <w:pPr>
              <w:autoSpaceDE w:val="0"/>
              <w:autoSpaceDN w:val="0"/>
              <w:adjustRightInd w:val="0"/>
              <w:jc w:val="right"/>
              <w:rPr>
                <w:rFonts w:ascii="Times New Roman" w:eastAsiaTheme="minorEastAsia" w:hAnsi="Times New Roman" w:cs="Times New Roman"/>
                <w:color w:val="000000" w:themeColor="text1"/>
                <w:sz w:val="20"/>
                <w:szCs w:val="20"/>
                <w:lang w:eastAsia="zh-TW"/>
              </w:rPr>
            </w:pPr>
            <w:r w:rsidRPr="00E0044C">
              <w:rPr>
                <w:rFonts w:ascii="Times New Roman" w:eastAsiaTheme="minorEastAsia" w:hAnsi="Times New Roman" w:cs="Times New Roman"/>
                <w:color w:val="000000" w:themeColor="text1"/>
                <w:sz w:val="20"/>
                <w:szCs w:val="20"/>
                <w:lang w:eastAsia="zh-TW"/>
              </w:rPr>
              <w:t>0.9406</w:t>
            </w:r>
          </w:p>
        </w:tc>
      </w:tr>
      <w:bookmarkEnd w:id="1"/>
    </w:tbl>
    <w:p w:rsidR="00E145AA" w:rsidRPr="00E0044C" w:rsidRDefault="00E145AA" w:rsidP="00E145AA">
      <w:pPr>
        <w:spacing w:line="480" w:lineRule="auto"/>
        <w:jc w:val="both"/>
        <w:rPr>
          <w:rFonts w:ascii="Times New Roman" w:eastAsia="Calibri" w:hAnsi="Times New Roman" w:cs="Times New Roman"/>
          <w:b/>
          <w:color w:val="000000" w:themeColor="text1"/>
          <w:sz w:val="24"/>
          <w:szCs w:val="24"/>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Pr="00E0044C"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tbl>
      <w:tblPr>
        <w:tblW w:w="0" w:type="auto"/>
        <w:tblLook w:val="04A0"/>
      </w:tblPr>
      <w:tblGrid>
        <w:gridCol w:w="9245"/>
      </w:tblGrid>
      <w:tr w:rsidR="00E145AA" w:rsidRPr="00E0044C" w:rsidTr="00437A5B">
        <w:tc>
          <w:tcPr>
            <w:tcW w:w="9245" w:type="dxa"/>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vertAlign w:val="superscript"/>
              </w:rPr>
            </w:pPr>
            <w:r w:rsidRPr="00E0044C">
              <w:rPr>
                <w:rFonts w:ascii="Times New Roman" w:eastAsia="Times New Roman" w:hAnsi="Times New Roman" w:cs="Times New Roman"/>
                <w:bCs/>
                <w:noProof/>
                <w:color w:val="000000" w:themeColor="text1"/>
                <w:sz w:val="24"/>
                <w:szCs w:val="24"/>
                <w:vertAlign w:val="superscript"/>
                <w:lang w:val="en-US" w:eastAsia="en-US"/>
              </w:rPr>
              <w:drawing>
                <wp:inline distT="0" distB="0" distL="0" distR="0">
                  <wp:extent cx="5835300" cy="2847975"/>
                  <wp:effectExtent l="1905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835743" cy="2848191"/>
                          </a:xfrm>
                          <a:prstGeom prst="rect">
                            <a:avLst/>
                          </a:prstGeom>
                          <a:noFill/>
                        </pic:spPr>
                      </pic:pic>
                    </a:graphicData>
                  </a:graphic>
                </wp:inline>
              </w:drawing>
            </w:r>
          </w:p>
        </w:tc>
      </w:tr>
      <w:tr w:rsidR="00E145AA" w:rsidRPr="00E0044C" w:rsidTr="00437A5B">
        <w:tc>
          <w:tcPr>
            <w:tcW w:w="9245" w:type="dxa"/>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bCs/>
                <w:color w:val="000000" w:themeColor="text1"/>
                <w:sz w:val="24"/>
                <w:szCs w:val="24"/>
              </w:rPr>
              <w:t>(a).</w:t>
            </w:r>
          </w:p>
        </w:tc>
      </w:tr>
      <w:tr w:rsidR="00E145AA" w:rsidRPr="00E0044C" w:rsidTr="00437A5B">
        <w:tc>
          <w:tcPr>
            <w:tcW w:w="9245" w:type="dxa"/>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vertAlign w:val="superscript"/>
              </w:rPr>
            </w:pPr>
            <w:r w:rsidRPr="00E0044C">
              <w:rPr>
                <w:rFonts w:ascii="Times New Roman" w:eastAsia="Times New Roman" w:hAnsi="Times New Roman" w:cs="Times New Roman"/>
                <w:bCs/>
                <w:noProof/>
                <w:color w:val="000000" w:themeColor="text1"/>
                <w:sz w:val="24"/>
                <w:szCs w:val="24"/>
                <w:vertAlign w:val="superscript"/>
                <w:lang w:val="en-US" w:eastAsia="en-US"/>
              </w:rPr>
              <w:drawing>
                <wp:inline distT="0" distB="0" distL="0" distR="0">
                  <wp:extent cx="5816993" cy="294322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816260" cy="2942854"/>
                          </a:xfrm>
                          <a:prstGeom prst="rect">
                            <a:avLst/>
                          </a:prstGeom>
                          <a:noFill/>
                        </pic:spPr>
                      </pic:pic>
                    </a:graphicData>
                  </a:graphic>
                </wp:inline>
              </w:drawing>
            </w:r>
          </w:p>
        </w:tc>
      </w:tr>
      <w:tr w:rsidR="00E145AA" w:rsidRPr="00E0044C" w:rsidTr="00437A5B">
        <w:tc>
          <w:tcPr>
            <w:tcW w:w="9245" w:type="dxa"/>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bCs/>
                <w:color w:val="000000" w:themeColor="text1"/>
                <w:sz w:val="24"/>
                <w:szCs w:val="24"/>
              </w:rPr>
              <w:t>(b).</w:t>
            </w:r>
          </w:p>
        </w:tc>
      </w:tr>
      <w:tr w:rsidR="00E145AA" w:rsidRPr="00E0044C" w:rsidTr="00437A5B">
        <w:tc>
          <w:tcPr>
            <w:tcW w:w="9245" w:type="dxa"/>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vertAlign w:val="superscript"/>
              </w:rPr>
            </w:pPr>
            <w:r w:rsidRPr="00E0044C">
              <w:rPr>
                <w:rFonts w:ascii="Times New Roman" w:eastAsia="Calibri" w:hAnsi="Times New Roman" w:cs="Times New Roman"/>
                <w:b/>
                <w:noProof/>
                <w:color w:val="000000" w:themeColor="text1"/>
                <w:sz w:val="24"/>
                <w:szCs w:val="24"/>
              </w:rPr>
              <w:t>Supplementary Figure S1</w:t>
            </w:r>
            <w:r w:rsidRPr="00E0044C">
              <w:rPr>
                <w:rFonts w:ascii="Times New Roman" w:eastAsia="Calibri" w:hAnsi="Times New Roman" w:cs="Times New Roman"/>
                <w:noProof/>
                <w:color w:val="000000" w:themeColor="text1"/>
                <w:sz w:val="24"/>
                <w:szCs w:val="24"/>
              </w:rPr>
              <w:t xml:space="preserve"> Weekly total rainfall, average maximum and minimum temperatures (T max and T min) and pan evaporation (a); relative humidity (morning, RH-I and evening, RH-II) and bright sunshine hours (BSH) during two years of experimentation, 2019 and 2020.</w:t>
            </w:r>
          </w:p>
        </w:tc>
      </w:tr>
    </w:tbl>
    <w:p w:rsidR="00E145AA"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240" w:lineRule="auto"/>
        <w:jc w:val="both"/>
        <w:rPr>
          <w:rFonts w:ascii="Times New Roman" w:hAnsi="Times New Roman" w:cs="Times New Roman"/>
          <w:color w:val="000000" w:themeColor="text1"/>
          <w:sz w:val="24"/>
          <w:szCs w:val="24"/>
        </w:rPr>
      </w:pPr>
    </w:p>
    <w:p w:rsidR="00E145AA" w:rsidRPr="00E0044C" w:rsidRDefault="00E145AA" w:rsidP="00E145AA">
      <w:pPr>
        <w:spacing w:line="240" w:lineRule="auto"/>
        <w:jc w:val="both"/>
        <w:rPr>
          <w:rFonts w:ascii="Times New Roman" w:hAnsi="Times New Roman" w:cs="Times New Roman"/>
          <w:color w:val="000000" w:themeColor="text1"/>
          <w:sz w:val="24"/>
          <w:szCs w:val="24"/>
        </w:rPr>
      </w:pPr>
    </w:p>
    <w:tbl>
      <w:tblPr>
        <w:tblStyle w:val="Header"/>
        <w:tblW w:w="0" w:type="auto"/>
        <w:tblLook w:val="04A0"/>
      </w:tblPr>
      <w:tblGrid>
        <w:gridCol w:w="9242"/>
      </w:tblGrid>
      <w:tr w:rsidR="00E145AA" w:rsidRPr="00E0044C" w:rsidTr="00437A5B">
        <w:tc>
          <w:tcPr>
            <w:tcW w:w="9242" w:type="dxa"/>
          </w:tcPr>
          <w:p w:rsidR="00E145AA" w:rsidRPr="00E0044C" w:rsidRDefault="00E145AA" w:rsidP="00437A5B">
            <w:pPr>
              <w:rPr>
                <w:rFonts w:ascii="Times New Roman" w:hAnsi="Times New Roman" w:cs="Times New Roman"/>
                <w:color w:val="000000" w:themeColor="text1"/>
                <w:sz w:val="24"/>
                <w:szCs w:val="24"/>
              </w:rPr>
            </w:pPr>
            <w:r w:rsidRPr="00E0044C">
              <w:rPr>
                <w:rFonts w:ascii="Times New Roman" w:hAnsi="Times New Roman" w:cs="Times New Roman"/>
                <w:noProof/>
                <w:color w:val="000000" w:themeColor="text1"/>
                <w:sz w:val="24"/>
                <w:szCs w:val="24"/>
                <w:lang w:val="en-US" w:eastAsia="en-US"/>
              </w:rPr>
              <w:drawing>
                <wp:inline distT="0" distB="0" distL="0" distR="0">
                  <wp:extent cx="5388610" cy="4742815"/>
                  <wp:effectExtent l="19050" t="0" r="2540" b="0"/>
                  <wp:docPr id="6" name="Picture 1" descr="C:\Users\Benukar\Desktop\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nukar\Desktop\1.bmp"/>
                          <pic:cNvPicPr>
                            <a:picLocks noChangeAspect="1" noChangeArrowheads="1"/>
                          </pic:cNvPicPr>
                        </pic:nvPicPr>
                        <pic:blipFill>
                          <a:blip r:embed="rId7" cstate="print"/>
                          <a:srcRect/>
                          <a:stretch>
                            <a:fillRect/>
                          </a:stretch>
                        </pic:blipFill>
                        <pic:spPr bwMode="auto">
                          <a:xfrm>
                            <a:off x="0" y="0"/>
                            <a:ext cx="5388610" cy="4742815"/>
                          </a:xfrm>
                          <a:prstGeom prst="rect">
                            <a:avLst/>
                          </a:prstGeom>
                          <a:noFill/>
                          <a:ln w="9525">
                            <a:noFill/>
                            <a:miter lim="800000"/>
                            <a:headEnd/>
                            <a:tailEnd/>
                          </a:ln>
                        </pic:spPr>
                      </pic:pic>
                    </a:graphicData>
                  </a:graphic>
                </wp:inline>
              </w:drawing>
            </w:r>
          </w:p>
        </w:tc>
      </w:tr>
      <w:tr w:rsidR="00E145AA" w:rsidRPr="00E0044C" w:rsidTr="00437A5B">
        <w:tc>
          <w:tcPr>
            <w:tcW w:w="9242" w:type="dxa"/>
          </w:tcPr>
          <w:p w:rsidR="00E145AA" w:rsidRPr="00E0044C" w:rsidRDefault="00E145AA" w:rsidP="00437A5B">
            <w:pPr>
              <w:jc w:val="both"/>
              <w:rPr>
                <w:rFonts w:ascii="Times New Roman" w:eastAsia="+mn-ea" w:hAnsi="Times New Roman" w:cs="Times New Roman"/>
                <w:bCs/>
                <w:color w:val="000000" w:themeColor="text1"/>
                <w:kern w:val="24"/>
                <w:sz w:val="24"/>
                <w:szCs w:val="24"/>
              </w:rPr>
            </w:pPr>
            <w:r w:rsidRPr="00E0044C">
              <w:rPr>
                <w:rFonts w:ascii="Times New Roman" w:eastAsia="+mn-ea" w:hAnsi="Times New Roman" w:cs="Times New Roman"/>
                <w:b/>
                <w:color w:val="000000" w:themeColor="text1"/>
                <w:kern w:val="24"/>
                <w:sz w:val="24"/>
                <w:szCs w:val="24"/>
              </w:rPr>
              <w:t>Supplementary Figure S2</w:t>
            </w:r>
            <w:r w:rsidRPr="00E0044C">
              <w:rPr>
                <w:rFonts w:ascii="Times New Roman" w:eastAsia="+mn-ea" w:hAnsi="Times New Roman" w:cs="Times New Roman"/>
                <w:bCs/>
                <w:color w:val="000000" w:themeColor="text1"/>
                <w:kern w:val="24"/>
                <w:sz w:val="24"/>
                <w:szCs w:val="24"/>
              </w:rPr>
              <w:t xml:space="preserve"> Effect of seed priming on electrical conductivity of seed leachates (µs cm</w:t>
            </w:r>
            <w:r w:rsidRPr="00E0044C">
              <w:rPr>
                <w:rFonts w:ascii="Times New Roman" w:eastAsia="+mn-ea" w:hAnsi="Times New Roman" w:cs="Times New Roman"/>
                <w:bCs/>
                <w:color w:val="000000" w:themeColor="text1"/>
                <w:kern w:val="24"/>
                <w:sz w:val="24"/>
                <w:szCs w:val="24"/>
                <w:vertAlign w:val="superscript"/>
              </w:rPr>
              <w:t>−1</w:t>
            </w:r>
            <w:r w:rsidRPr="00E0044C">
              <w:rPr>
                <w:rFonts w:ascii="Times New Roman" w:eastAsia="+mn-ea" w:hAnsi="Times New Roman" w:cs="Times New Roman"/>
                <w:bCs/>
                <w:color w:val="000000" w:themeColor="text1"/>
                <w:kern w:val="24"/>
                <w:sz w:val="24"/>
                <w:szCs w:val="24"/>
              </w:rPr>
              <w:t xml:space="preserve"> g</w:t>
            </w:r>
            <w:r w:rsidRPr="00E0044C">
              <w:rPr>
                <w:rFonts w:ascii="Times New Roman" w:eastAsia="+mn-ea" w:hAnsi="Times New Roman" w:cs="Times New Roman"/>
                <w:bCs/>
                <w:color w:val="000000" w:themeColor="text1"/>
                <w:kern w:val="24"/>
                <w:sz w:val="24"/>
                <w:szCs w:val="24"/>
                <w:vertAlign w:val="superscript"/>
              </w:rPr>
              <w:t>−1</w:t>
            </w:r>
            <w:r w:rsidRPr="00E0044C">
              <w:rPr>
                <w:rFonts w:ascii="Times New Roman" w:eastAsia="+mn-ea" w:hAnsi="Times New Roman" w:cs="Times New Roman"/>
                <w:bCs/>
                <w:color w:val="000000" w:themeColor="text1"/>
                <w:kern w:val="24"/>
                <w:sz w:val="24"/>
                <w:szCs w:val="24"/>
              </w:rPr>
              <w:t>) in direct-seeded rice as a function of soaking time. Means followed by different letters (</w:t>
            </w:r>
            <w:proofErr w:type="spellStart"/>
            <w:r w:rsidRPr="00E0044C">
              <w:rPr>
                <w:rFonts w:ascii="Times New Roman" w:eastAsia="+mn-ea" w:hAnsi="Times New Roman" w:cs="Times New Roman"/>
                <w:bCs/>
                <w:color w:val="000000" w:themeColor="text1"/>
                <w:kern w:val="24"/>
                <w:sz w:val="24"/>
                <w:szCs w:val="24"/>
              </w:rPr>
              <w:t>Tukey</w:t>
            </w:r>
            <w:proofErr w:type="spellEnd"/>
            <w:r w:rsidRPr="00E0044C">
              <w:rPr>
                <w:rFonts w:ascii="Times New Roman" w:eastAsia="+mn-ea" w:hAnsi="Times New Roman" w:cs="Times New Roman"/>
                <w:bCs/>
                <w:color w:val="000000" w:themeColor="text1"/>
                <w:kern w:val="24"/>
                <w:sz w:val="24"/>
                <w:szCs w:val="24"/>
              </w:rPr>
              <w:t xml:space="preserve"> ranking) differ significantly at 5% level of significance.</w:t>
            </w:r>
          </w:p>
          <w:p w:rsidR="00E145AA" w:rsidRPr="00E0044C" w:rsidRDefault="00E145AA" w:rsidP="00437A5B">
            <w:pPr>
              <w:rPr>
                <w:rFonts w:ascii="Times New Roman" w:hAnsi="Times New Roman" w:cs="Times New Roman"/>
                <w:color w:val="000000" w:themeColor="text1"/>
                <w:sz w:val="24"/>
                <w:szCs w:val="24"/>
              </w:rPr>
            </w:pPr>
            <w:r w:rsidRPr="00E0044C">
              <w:rPr>
                <w:rFonts w:ascii="Times New Roman" w:eastAsia="+mn-ea" w:hAnsi="Times New Roman" w:cs="Times New Roman"/>
                <w:bCs/>
                <w:color w:val="000000" w:themeColor="text1"/>
                <w:kern w:val="24"/>
                <w:sz w:val="24"/>
                <w:szCs w:val="24"/>
              </w:rPr>
              <w:t>Treatments detail in Table 1 (Main Text).</w:t>
            </w:r>
          </w:p>
        </w:tc>
      </w:tr>
    </w:tbl>
    <w:p w:rsidR="00E145AA" w:rsidRPr="00E0044C" w:rsidRDefault="00E145AA" w:rsidP="00E145AA">
      <w:pPr>
        <w:spacing w:line="240" w:lineRule="auto"/>
        <w:jc w:val="both"/>
        <w:rPr>
          <w:rFonts w:ascii="Times New Roman" w:hAnsi="Times New Roman" w:cs="Times New Roman"/>
          <w:color w:val="000000" w:themeColor="text1"/>
          <w:sz w:val="24"/>
          <w:szCs w:val="24"/>
        </w:rPr>
      </w:pPr>
    </w:p>
    <w:p w:rsidR="00E145AA" w:rsidRDefault="00E145AA" w:rsidP="00E145AA">
      <w:pPr>
        <w:spacing w:line="480" w:lineRule="auto"/>
        <w:jc w:val="both"/>
        <w:rPr>
          <w:rFonts w:ascii="Times New Roman" w:eastAsia="Calibri" w:hAnsi="Times New Roman" w:cs="Times New Roman"/>
          <w:i/>
          <w:color w:val="000000" w:themeColor="text1"/>
          <w:sz w:val="24"/>
          <w:szCs w:val="24"/>
        </w:rPr>
      </w:pPr>
    </w:p>
    <w:p w:rsidR="00E145AA" w:rsidRPr="00E0044C" w:rsidRDefault="00E145AA" w:rsidP="00E145AA">
      <w:pPr>
        <w:spacing w:line="480" w:lineRule="auto"/>
        <w:jc w:val="both"/>
        <w:rPr>
          <w:rFonts w:ascii="Times New Roman" w:eastAsia="Calibri" w:hAnsi="Times New Roman" w:cs="Times New Roman"/>
          <w:i/>
          <w:color w:val="000000" w:themeColor="text1"/>
          <w:sz w:val="24"/>
          <w:szCs w:val="24"/>
        </w:rPr>
      </w:pPr>
      <w:r w:rsidRPr="00E0044C">
        <w:rPr>
          <w:rFonts w:ascii="Times New Roman" w:eastAsia="Calibri" w:hAnsi="Times New Roman" w:cs="Times New Roman"/>
          <w:i/>
          <w:color w:val="000000" w:themeColor="text1"/>
          <w:sz w:val="24"/>
          <w:szCs w:val="24"/>
        </w:rPr>
        <w:t>Seedling growth</w:t>
      </w:r>
    </w:p>
    <w:p w:rsidR="00E145AA" w:rsidRPr="00E0044C" w:rsidRDefault="00E145AA" w:rsidP="00E145AA">
      <w:pPr>
        <w:spacing w:line="360" w:lineRule="auto"/>
        <w:jc w:val="both"/>
        <w:rPr>
          <w:rFonts w:ascii="Times New Roman" w:eastAsia="Calibri" w:hAnsi="Times New Roman" w:cs="Times New Roman"/>
          <w:color w:val="000000" w:themeColor="text1"/>
          <w:sz w:val="24"/>
          <w:szCs w:val="24"/>
        </w:rPr>
      </w:pPr>
      <w:r w:rsidRPr="00E0044C">
        <w:rPr>
          <w:rFonts w:ascii="Times New Roman" w:eastAsia="Times New Roman" w:hAnsi="Times New Roman" w:cs="Times New Roman"/>
          <w:color w:val="000000" w:themeColor="text1"/>
          <w:sz w:val="24"/>
          <w:szCs w:val="24"/>
        </w:rPr>
        <w:t>Root and shoot lengths were measured on 18 days after sowing (DAS) from each treatment. For these, five randomly selected seedlings were cut aboveground and oven-dried at 70 °C for 48 h to get the dry biomass of root and shoot, and both the components were summed up to record the total seedling biomass.</w:t>
      </w:r>
    </w:p>
    <w:p w:rsidR="00E145AA" w:rsidRPr="00E0044C" w:rsidRDefault="00E145AA" w:rsidP="00E145AA">
      <w:pPr>
        <w:spacing w:line="360" w:lineRule="auto"/>
        <w:jc w:val="both"/>
        <w:rPr>
          <w:rFonts w:ascii="Times New Roman" w:hAnsi="Times New Roman" w:cs="Times New Roman"/>
          <w:color w:val="000000" w:themeColor="text1"/>
          <w:sz w:val="24"/>
          <w:szCs w:val="24"/>
        </w:rPr>
      </w:pPr>
      <w:r w:rsidRPr="00E0044C">
        <w:rPr>
          <w:rFonts w:ascii="Times New Roman" w:eastAsia="Calibri" w:hAnsi="Times New Roman" w:cs="Times New Roman"/>
          <w:color w:val="000000" w:themeColor="text1"/>
          <w:sz w:val="24"/>
          <w:szCs w:val="24"/>
        </w:rPr>
        <w:t>Shoot length of seedlings increased through priming (</w:t>
      </w:r>
      <w:r w:rsidRPr="00EF2940">
        <w:rPr>
          <w:rFonts w:ascii="Times New Roman" w:eastAsia="Calibri" w:hAnsi="Times New Roman" w:cs="Times New Roman"/>
          <w:bCs/>
          <w:color w:val="000000" w:themeColor="text1"/>
          <w:sz w:val="24"/>
          <w:szCs w:val="24"/>
        </w:rPr>
        <w:t>Supplementary Figure S3</w:t>
      </w:r>
      <w:r w:rsidRPr="00EF2940">
        <w:rPr>
          <w:rFonts w:ascii="Times New Roman" w:eastAsia="Calibri" w:hAnsi="Times New Roman" w:cs="Times New Roman"/>
          <w:color w:val="000000" w:themeColor="text1"/>
          <w:sz w:val="24"/>
          <w:szCs w:val="24"/>
        </w:rPr>
        <w:t>).</w:t>
      </w:r>
      <w:r w:rsidRPr="00E0044C">
        <w:rPr>
          <w:rFonts w:ascii="Times New Roman" w:eastAsia="Calibri" w:hAnsi="Times New Roman" w:cs="Times New Roman"/>
          <w:color w:val="000000" w:themeColor="text1"/>
          <w:sz w:val="24"/>
          <w:szCs w:val="24"/>
        </w:rPr>
        <w:t xml:space="preserve"> Priming with selenite and selenate combination recorded higher shoot length compared to their single application. Inclusion of </w:t>
      </w:r>
      <w:proofErr w:type="spellStart"/>
      <w:r w:rsidRPr="00E0044C">
        <w:rPr>
          <w:rFonts w:ascii="Times New Roman" w:eastAsia="Calibri" w:hAnsi="Times New Roman" w:cs="Times New Roman"/>
          <w:color w:val="000000" w:themeColor="text1"/>
          <w:sz w:val="24"/>
          <w:szCs w:val="24"/>
        </w:rPr>
        <w:t>ZnO</w:t>
      </w:r>
      <w:proofErr w:type="spellEnd"/>
      <w:r w:rsidRPr="00E0044C">
        <w:rPr>
          <w:rFonts w:ascii="Times New Roman" w:eastAsia="Calibri" w:hAnsi="Times New Roman" w:cs="Times New Roman"/>
          <w:color w:val="000000" w:themeColor="text1"/>
          <w:sz w:val="24"/>
          <w:szCs w:val="24"/>
        </w:rPr>
        <w:t>-NPs with either of selenite and selenate did not show further change, but recorded the maximum shoot length (</w:t>
      </w:r>
      <w:r>
        <w:rPr>
          <w:rFonts w:ascii="Times New Roman" w:eastAsia="Calibri" w:hAnsi="Times New Roman" w:cs="Times New Roman"/>
          <w:color w:val="000000" w:themeColor="text1"/>
          <w:sz w:val="24"/>
          <w:szCs w:val="24"/>
        </w:rPr>
        <w:t>9.6cm</w:t>
      </w:r>
      <w:r w:rsidRPr="00E0044C">
        <w:rPr>
          <w:rFonts w:ascii="Times New Roman" w:eastAsia="Calibri" w:hAnsi="Times New Roman" w:cs="Times New Roman"/>
          <w:color w:val="000000" w:themeColor="text1"/>
          <w:sz w:val="24"/>
          <w:szCs w:val="24"/>
        </w:rPr>
        <w:t xml:space="preserve">) when combined with both of these. Priming with selenate increased root length compared to the control, but was comparable </w:t>
      </w:r>
      <w:r w:rsidRPr="00E0044C">
        <w:rPr>
          <w:rFonts w:ascii="Times New Roman" w:eastAsia="Calibri" w:hAnsi="Times New Roman" w:cs="Times New Roman"/>
          <w:color w:val="000000" w:themeColor="text1"/>
          <w:sz w:val="24"/>
          <w:szCs w:val="24"/>
        </w:rPr>
        <w:lastRenderedPageBreak/>
        <w:t xml:space="preserve">with selenite. Impact of </w:t>
      </w:r>
      <w:proofErr w:type="spellStart"/>
      <w:r w:rsidRPr="00E0044C">
        <w:rPr>
          <w:rFonts w:ascii="Times New Roman" w:eastAsia="Calibri" w:hAnsi="Times New Roman" w:cs="Times New Roman"/>
          <w:color w:val="000000" w:themeColor="text1"/>
          <w:sz w:val="24"/>
          <w:szCs w:val="24"/>
        </w:rPr>
        <w:t>ZnO</w:t>
      </w:r>
      <w:proofErr w:type="spellEnd"/>
      <w:r w:rsidRPr="00E0044C">
        <w:rPr>
          <w:rFonts w:ascii="Times New Roman" w:eastAsia="Calibri" w:hAnsi="Times New Roman" w:cs="Times New Roman"/>
          <w:color w:val="000000" w:themeColor="text1"/>
          <w:sz w:val="24"/>
          <w:szCs w:val="24"/>
        </w:rPr>
        <w:t xml:space="preserve">-NPs in combination with </w:t>
      </w:r>
      <w:proofErr w:type="gramStart"/>
      <w:r w:rsidRPr="00E0044C">
        <w:rPr>
          <w:rFonts w:ascii="Times New Roman" w:eastAsia="Calibri" w:hAnsi="Times New Roman" w:cs="Times New Roman"/>
          <w:color w:val="000000" w:themeColor="text1"/>
          <w:sz w:val="24"/>
          <w:szCs w:val="24"/>
        </w:rPr>
        <w:t>either selenite and</w:t>
      </w:r>
      <w:proofErr w:type="gramEnd"/>
      <w:r w:rsidRPr="00E0044C">
        <w:rPr>
          <w:rFonts w:ascii="Times New Roman" w:eastAsia="Calibri" w:hAnsi="Times New Roman" w:cs="Times New Roman"/>
          <w:color w:val="000000" w:themeColor="text1"/>
          <w:sz w:val="24"/>
          <w:szCs w:val="24"/>
        </w:rPr>
        <w:t xml:space="preserve"> selenate was also similar. It was all-three-combination (</w:t>
      </w:r>
      <w:proofErr w:type="spellStart"/>
      <w:r w:rsidRPr="00E0044C">
        <w:rPr>
          <w:rFonts w:ascii="Times New Roman" w:eastAsia="Calibri" w:hAnsi="Times New Roman" w:cs="Times New Roman"/>
          <w:color w:val="000000" w:themeColor="text1"/>
          <w:sz w:val="24"/>
          <w:szCs w:val="24"/>
        </w:rPr>
        <w:t>ZnO-NPs+selenite+selenate</w:t>
      </w:r>
      <w:proofErr w:type="spellEnd"/>
      <w:r w:rsidRPr="00E0044C">
        <w:rPr>
          <w:rFonts w:ascii="Times New Roman" w:eastAsia="Calibri" w:hAnsi="Times New Roman" w:cs="Times New Roman"/>
          <w:color w:val="000000" w:themeColor="text1"/>
          <w:sz w:val="24"/>
          <w:szCs w:val="24"/>
        </w:rPr>
        <w:t>) that produced the maximum root length (</w:t>
      </w:r>
      <w:r>
        <w:rPr>
          <w:rFonts w:ascii="Times New Roman" w:eastAsia="Calibri" w:hAnsi="Times New Roman" w:cs="Times New Roman"/>
          <w:color w:val="000000" w:themeColor="text1"/>
          <w:sz w:val="24"/>
          <w:szCs w:val="24"/>
        </w:rPr>
        <w:t>12.9cm</w:t>
      </w:r>
      <w:r w:rsidRPr="00E0044C">
        <w:rPr>
          <w:rFonts w:ascii="Times New Roman" w:eastAsia="Calibri" w:hAnsi="Times New Roman" w:cs="Times New Roman"/>
          <w:color w:val="000000" w:themeColor="text1"/>
          <w:sz w:val="24"/>
          <w:szCs w:val="24"/>
        </w:rPr>
        <w:t>) of rice seedlings.</w:t>
      </w:r>
    </w:p>
    <w:p w:rsidR="00E145AA" w:rsidRPr="00E0044C" w:rsidRDefault="00E145AA" w:rsidP="00E145AA">
      <w:pPr>
        <w:spacing w:line="240" w:lineRule="auto"/>
        <w:jc w:val="both"/>
        <w:rPr>
          <w:rFonts w:ascii="Times New Roman" w:hAnsi="Times New Roman" w:cs="Times New Roman"/>
          <w:color w:val="000000" w:themeColor="text1"/>
          <w:sz w:val="24"/>
          <w:szCs w:val="24"/>
        </w:rPr>
      </w:pPr>
    </w:p>
    <w:tbl>
      <w:tblPr>
        <w:tblW w:w="0" w:type="auto"/>
        <w:tblLook w:val="04A0"/>
      </w:tblPr>
      <w:tblGrid>
        <w:gridCol w:w="9242"/>
      </w:tblGrid>
      <w:tr w:rsidR="00E145AA" w:rsidRPr="00E0044C" w:rsidTr="00437A5B">
        <w:tc>
          <w:tcPr>
            <w:tcW w:w="9242" w:type="dxa"/>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vertAlign w:val="superscript"/>
              </w:rPr>
            </w:pPr>
            <w:r w:rsidRPr="00E0044C">
              <w:rPr>
                <w:rFonts w:ascii="Times New Roman" w:eastAsia="Times New Roman" w:hAnsi="Times New Roman" w:cs="Times New Roman"/>
                <w:bCs/>
                <w:noProof/>
                <w:color w:val="000000" w:themeColor="text1"/>
                <w:sz w:val="24"/>
                <w:szCs w:val="24"/>
                <w:vertAlign w:val="superscript"/>
                <w:lang w:val="en-US" w:eastAsia="en-US"/>
              </w:rPr>
              <w:drawing>
                <wp:inline distT="0" distB="0" distL="0" distR="0">
                  <wp:extent cx="4819650" cy="2476500"/>
                  <wp:effectExtent l="19050" t="0" r="0" b="0"/>
                  <wp:docPr id="10" name="Picture 4" descr="C:\Users\Benukar\Desktop\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enukar\Desktop\1.bmp"/>
                          <pic:cNvPicPr>
                            <a:picLocks noChangeAspect="1" noChangeArrowheads="1"/>
                          </pic:cNvPicPr>
                        </pic:nvPicPr>
                        <pic:blipFill>
                          <a:blip r:embed="rId8" cstate="print"/>
                          <a:srcRect/>
                          <a:stretch>
                            <a:fillRect/>
                          </a:stretch>
                        </pic:blipFill>
                        <pic:spPr bwMode="auto">
                          <a:xfrm>
                            <a:off x="0" y="0"/>
                            <a:ext cx="4825341" cy="2479424"/>
                          </a:xfrm>
                          <a:prstGeom prst="rect">
                            <a:avLst/>
                          </a:prstGeom>
                          <a:noFill/>
                          <a:ln w="9525">
                            <a:noFill/>
                            <a:miter lim="800000"/>
                            <a:headEnd/>
                            <a:tailEnd/>
                          </a:ln>
                        </pic:spPr>
                      </pic:pic>
                    </a:graphicData>
                  </a:graphic>
                </wp:inline>
              </w:drawing>
            </w:r>
          </w:p>
        </w:tc>
      </w:tr>
      <w:tr w:rsidR="00E145AA" w:rsidRPr="00E0044C" w:rsidTr="00437A5B">
        <w:tc>
          <w:tcPr>
            <w:tcW w:w="9242" w:type="dxa"/>
          </w:tcPr>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rPr>
            </w:pPr>
            <w:r w:rsidRPr="00E0044C">
              <w:rPr>
                <w:rFonts w:ascii="Times New Roman" w:eastAsia="Times New Roman" w:hAnsi="Times New Roman" w:cs="Times New Roman"/>
                <w:bCs/>
                <w:noProof/>
                <w:color w:val="000000" w:themeColor="text1"/>
                <w:sz w:val="24"/>
                <w:szCs w:val="24"/>
                <w:lang w:val="en-US" w:eastAsia="en-US"/>
              </w:rPr>
              <w:drawing>
                <wp:inline distT="0" distB="0" distL="0" distR="0">
                  <wp:extent cx="4822558" cy="2543175"/>
                  <wp:effectExtent l="19050" t="0" r="0" b="0"/>
                  <wp:docPr id="9" name="Picture 3" descr="C:\Users\Benukar\Desktop\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enukar\Desktop\1.bmp"/>
                          <pic:cNvPicPr>
                            <a:picLocks noChangeAspect="1" noChangeArrowheads="1"/>
                          </pic:cNvPicPr>
                        </pic:nvPicPr>
                        <pic:blipFill>
                          <a:blip r:embed="rId9" cstate="print"/>
                          <a:srcRect/>
                          <a:stretch>
                            <a:fillRect/>
                          </a:stretch>
                        </pic:blipFill>
                        <pic:spPr bwMode="auto">
                          <a:xfrm>
                            <a:off x="0" y="0"/>
                            <a:ext cx="4822558" cy="2543175"/>
                          </a:xfrm>
                          <a:prstGeom prst="rect">
                            <a:avLst/>
                          </a:prstGeom>
                          <a:noFill/>
                          <a:ln w="9525">
                            <a:noFill/>
                            <a:miter lim="800000"/>
                            <a:headEnd/>
                            <a:tailEnd/>
                          </a:ln>
                        </pic:spPr>
                      </pic:pic>
                    </a:graphicData>
                  </a:graphic>
                </wp:inline>
              </w:drawing>
            </w:r>
          </w:p>
        </w:tc>
      </w:tr>
      <w:tr w:rsidR="00E145AA" w:rsidRPr="00E0044C" w:rsidTr="00437A5B">
        <w:tc>
          <w:tcPr>
            <w:tcW w:w="9242" w:type="dxa"/>
          </w:tcPr>
          <w:p w:rsidR="00E145AA" w:rsidRPr="00E0044C" w:rsidRDefault="00E145AA" w:rsidP="00437A5B">
            <w:pPr>
              <w:spacing w:line="240" w:lineRule="auto"/>
              <w:jc w:val="both"/>
              <w:rPr>
                <w:rFonts w:ascii="Times New Roman" w:eastAsia="Calibri" w:hAnsi="Times New Roman" w:cs="Times New Roman"/>
                <w:bCs/>
                <w:noProof/>
                <w:color w:val="000000" w:themeColor="text1"/>
                <w:sz w:val="24"/>
                <w:szCs w:val="24"/>
              </w:rPr>
            </w:pPr>
          </w:p>
          <w:p w:rsidR="00E145AA" w:rsidRPr="00E0044C" w:rsidRDefault="00E145AA" w:rsidP="00437A5B">
            <w:pPr>
              <w:spacing w:line="240" w:lineRule="auto"/>
              <w:jc w:val="both"/>
              <w:rPr>
                <w:rFonts w:ascii="Times New Roman" w:eastAsia="Calibri" w:hAnsi="Times New Roman" w:cs="Times New Roman"/>
                <w:bCs/>
                <w:color w:val="000000" w:themeColor="text1"/>
                <w:sz w:val="24"/>
                <w:szCs w:val="24"/>
                <w:lang w:eastAsia="en-US"/>
              </w:rPr>
            </w:pPr>
            <w:r w:rsidRPr="00E0044C">
              <w:rPr>
                <w:rFonts w:ascii="Times New Roman" w:eastAsia="Calibri" w:hAnsi="Times New Roman" w:cs="Times New Roman"/>
                <w:b/>
                <w:noProof/>
                <w:color w:val="000000" w:themeColor="text1"/>
                <w:sz w:val="24"/>
                <w:szCs w:val="24"/>
              </w:rPr>
              <w:t>Supplementary Figure S3</w:t>
            </w:r>
            <w:r w:rsidRPr="00E0044C">
              <w:rPr>
                <w:rFonts w:ascii="Times New Roman" w:eastAsia="Calibri" w:hAnsi="Times New Roman" w:cs="Times New Roman"/>
                <w:noProof/>
                <w:color w:val="000000" w:themeColor="text1"/>
                <w:sz w:val="24"/>
                <w:szCs w:val="24"/>
              </w:rPr>
              <w:t xml:space="preserve"> </w:t>
            </w:r>
            <w:r w:rsidRPr="00E0044C">
              <w:rPr>
                <w:rFonts w:ascii="Times New Roman" w:eastAsia="Calibri" w:hAnsi="Times New Roman" w:cs="Times New Roman"/>
                <w:bCs/>
                <w:color w:val="000000" w:themeColor="text1"/>
                <w:sz w:val="24"/>
                <w:szCs w:val="24"/>
                <w:lang w:eastAsia="en-US"/>
              </w:rPr>
              <w:t xml:space="preserve">Effect of seed priming with selenium and </w:t>
            </w:r>
            <w:proofErr w:type="spellStart"/>
            <w:r w:rsidRPr="00E0044C">
              <w:rPr>
                <w:rFonts w:ascii="Times New Roman" w:eastAsia="Calibri" w:hAnsi="Times New Roman" w:cs="Times New Roman"/>
                <w:bCs/>
                <w:color w:val="000000" w:themeColor="text1"/>
                <w:sz w:val="24"/>
                <w:szCs w:val="24"/>
                <w:lang w:eastAsia="en-US"/>
              </w:rPr>
              <w:t>ZnO</w:t>
            </w:r>
            <w:proofErr w:type="spellEnd"/>
            <w:r w:rsidRPr="00E0044C">
              <w:rPr>
                <w:rFonts w:ascii="Times New Roman" w:eastAsia="Calibri" w:hAnsi="Times New Roman" w:cs="Times New Roman"/>
                <w:bCs/>
                <w:color w:val="000000" w:themeColor="text1"/>
                <w:sz w:val="24"/>
                <w:szCs w:val="24"/>
                <w:lang w:eastAsia="en-US"/>
              </w:rPr>
              <w:t>-NPs on seedling length (a) and dry weight (b) of rice in a pot experiment.</w:t>
            </w:r>
          </w:p>
          <w:p w:rsidR="00E145AA" w:rsidRPr="00E0044C" w:rsidRDefault="00E145AA" w:rsidP="00437A5B">
            <w:pPr>
              <w:spacing w:line="240" w:lineRule="auto"/>
              <w:jc w:val="both"/>
              <w:rPr>
                <w:rFonts w:ascii="Times New Roman" w:eastAsia="Calibri" w:hAnsi="Times New Roman" w:cs="Times New Roman"/>
                <w:color w:val="000000" w:themeColor="text1"/>
                <w:sz w:val="24"/>
                <w:szCs w:val="24"/>
                <w:lang w:val="en-US" w:eastAsia="en-US"/>
              </w:rPr>
            </w:pPr>
            <w:r w:rsidRPr="00E0044C">
              <w:rPr>
                <w:rFonts w:ascii="Times New Roman" w:eastAsia="Calibri" w:hAnsi="Times New Roman" w:cs="Times New Roman"/>
                <w:color w:val="000000" w:themeColor="text1"/>
                <w:sz w:val="24"/>
                <w:szCs w:val="24"/>
                <w:lang w:val="en-US" w:eastAsia="en-US"/>
              </w:rPr>
              <w:t>Means followed by different letters (</w:t>
            </w:r>
            <w:proofErr w:type="spellStart"/>
            <w:r w:rsidRPr="00E0044C">
              <w:rPr>
                <w:rFonts w:ascii="Times New Roman" w:eastAsia="Calibri" w:hAnsi="Times New Roman" w:cs="Times New Roman"/>
                <w:color w:val="000000" w:themeColor="text1"/>
                <w:sz w:val="24"/>
                <w:szCs w:val="24"/>
                <w:lang w:val="en-US" w:eastAsia="en-US"/>
              </w:rPr>
              <w:t>Tukey</w:t>
            </w:r>
            <w:proofErr w:type="spellEnd"/>
            <w:r w:rsidRPr="00E0044C">
              <w:rPr>
                <w:rFonts w:ascii="Times New Roman" w:eastAsia="Calibri" w:hAnsi="Times New Roman" w:cs="Times New Roman"/>
                <w:color w:val="000000" w:themeColor="text1"/>
                <w:sz w:val="24"/>
                <w:szCs w:val="24"/>
                <w:lang w:val="en-US" w:eastAsia="en-US"/>
              </w:rPr>
              <w:t xml:space="preserve"> ranking) differ significantly at 5% level of significance.</w:t>
            </w:r>
          </w:p>
          <w:p w:rsidR="00E145AA" w:rsidRPr="00E0044C" w:rsidRDefault="00E145AA" w:rsidP="00437A5B">
            <w:pPr>
              <w:spacing w:line="240" w:lineRule="auto"/>
              <w:jc w:val="both"/>
              <w:rPr>
                <w:rFonts w:ascii="Times New Roman" w:eastAsia="Times New Roman" w:hAnsi="Times New Roman" w:cs="Times New Roman"/>
                <w:bCs/>
                <w:color w:val="000000" w:themeColor="text1"/>
                <w:sz w:val="24"/>
                <w:szCs w:val="24"/>
                <w:vertAlign w:val="superscript"/>
              </w:rPr>
            </w:pPr>
            <w:r w:rsidRPr="00E0044C">
              <w:rPr>
                <w:rFonts w:ascii="Times New Roman" w:hAnsi="Times New Roman" w:cs="Times New Roman"/>
                <w:color w:val="000000" w:themeColor="text1"/>
                <w:sz w:val="24"/>
                <w:szCs w:val="24"/>
              </w:rPr>
              <w:t>Treatments details are in Table 1 of Main Text.</w:t>
            </w:r>
          </w:p>
        </w:tc>
      </w:tr>
    </w:tbl>
    <w:p w:rsidR="00E145AA" w:rsidRPr="00E0044C" w:rsidRDefault="00E145AA" w:rsidP="00E145AA">
      <w:pPr>
        <w:spacing w:line="480" w:lineRule="auto"/>
        <w:jc w:val="both"/>
        <w:rPr>
          <w:rFonts w:ascii="Times New Roman" w:hAnsi="Times New Roman" w:cs="Times New Roman"/>
          <w:bCs/>
          <w:i/>
          <w:color w:val="000000" w:themeColor="text1"/>
          <w:sz w:val="24"/>
          <w:szCs w:val="24"/>
        </w:rPr>
      </w:pPr>
      <w:r w:rsidRPr="00E0044C">
        <w:rPr>
          <w:rFonts w:ascii="Times New Roman" w:hAnsi="Times New Roman" w:cs="Times New Roman"/>
          <w:bCs/>
          <w:i/>
          <w:color w:val="000000" w:themeColor="text1"/>
          <w:sz w:val="24"/>
          <w:szCs w:val="24"/>
        </w:rPr>
        <w:t>Correlation between seed germination, biochemical attributes of seeds and seedling growth</w:t>
      </w:r>
    </w:p>
    <w:p w:rsidR="00E145AA" w:rsidRPr="00E0044C" w:rsidRDefault="00E145AA" w:rsidP="00E145AA">
      <w:pPr>
        <w:spacing w:line="360" w:lineRule="auto"/>
        <w:jc w:val="both"/>
        <w:rPr>
          <w:rFonts w:ascii="Times New Roman" w:hAnsi="Times New Roman" w:cs="Times New Roman"/>
          <w:color w:val="000000" w:themeColor="text1"/>
          <w:sz w:val="24"/>
          <w:szCs w:val="24"/>
        </w:rPr>
      </w:pPr>
      <w:r w:rsidRPr="00E0044C">
        <w:rPr>
          <w:rFonts w:ascii="Times New Roman" w:hAnsi="Times New Roman" w:cs="Times New Roman"/>
          <w:color w:val="000000" w:themeColor="text1"/>
          <w:sz w:val="24"/>
          <w:szCs w:val="24"/>
        </w:rPr>
        <w:t xml:space="preserve">Correlation among the parameters characterizing seed </w:t>
      </w:r>
      <w:proofErr w:type="spellStart"/>
      <w:r w:rsidRPr="00E0044C">
        <w:rPr>
          <w:rFonts w:ascii="Times New Roman" w:hAnsi="Times New Roman" w:cs="Times New Roman"/>
          <w:color w:val="000000" w:themeColor="text1"/>
          <w:sz w:val="24"/>
          <w:szCs w:val="24"/>
        </w:rPr>
        <w:t>gemination</w:t>
      </w:r>
      <w:proofErr w:type="spellEnd"/>
      <w:r w:rsidRPr="00E0044C">
        <w:rPr>
          <w:rFonts w:ascii="Times New Roman" w:hAnsi="Times New Roman" w:cs="Times New Roman"/>
          <w:color w:val="000000" w:themeColor="text1"/>
          <w:sz w:val="24"/>
          <w:szCs w:val="24"/>
        </w:rPr>
        <w:t xml:space="preserve"> (MET and SVI), seed biochemistry (MDA, </w:t>
      </w:r>
      <w:r w:rsidRPr="00E0044C">
        <w:rPr>
          <w:rFonts w:ascii="Times New Roman" w:hAnsi="Times New Roman" w:cs="Times New Roman"/>
          <w:color w:val="000000" w:themeColor="text1"/>
          <w:sz w:val="24"/>
          <w:szCs w:val="24"/>
        </w:rPr>
        <w:sym w:font="Symbol" w:char="F061"/>
      </w:r>
      <w:r w:rsidRPr="00E0044C">
        <w:rPr>
          <w:rFonts w:ascii="Times New Roman" w:hAnsi="Times New Roman" w:cs="Times New Roman"/>
          <w:color w:val="000000" w:themeColor="text1"/>
          <w:sz w:val="24"/>
          <w:szCs w:val="24"/>
        </w:rPr>
        <w:t xml:space="preserve">-amylase, TSS, SOD, POX, CAT and GPX), and seedling growth (root and shoot length and seed dry biomass) are presented in </w:t>
      </w:r>
      <w:r w:rsidRPr="00E0044C">
        <w:rPr>
          <w:rFonts w:ascii="Times New Roman" w:hAnsi="Times New Roman" w:cs="Times New Roman"/>
          <w:b/>
          <w:bCs/>
          <w:color w:val="000000" w:themeColor="text1"/>
          <w:sz w:val="24"/>
          <w:szCs w:val="24"/>
        </w:rPr>
        <w:t>Supplementary Figure S4</w:t>
      </w:r>
      <w:r w:rsidRPr="00E0044C">
        <w:rPr>
          <w:rFonts w:ascii="Times New Roman" w:hAnsi="Times New Roman" w:cs="Times New Roman"/>
          <w:color w:val="000000" w:themeColor="text1"/>
          <w:sz w:val="24"/>
          <w:szCs w:val="24"/>
        </w:rPr>
        <w:t xml:space="preserve">. The MDA content in seeds was negatively correlated with SVI (r = - 0.77) while α-amylase activity was positively correlated. Other germination parameter MET is </w:t>
      </w:r>
      <w:proofErr w:type="spellStart"/>
      <w:r w:rsidRPr="00E0044C">
        <w:rPr>
          <w:rFonts w:ascii="Times New Roman" w:hAnsi="Times New Roman" w:cs="Times New Roman"/>
          <w:color w:val="000000" w:themeColor="text1"/>
          <w:sz w:val="24"/>
          <w:szCs w:val="24"/>
        </w:rPr>
        <w:t>favouably</w:t>
      </w:r>
      <w:proofErr w:type="spellEnd"/>
      <w:r w:rsidRPr="00E0044C">
        <w:rPr>
          <w:rFonts w:ascii="Times New Roman" w:hAnsi="Times New Roman" w:cs="Times New Roman"/>
          <w:color w:val="000000" w:themeColor="text1"/>
          <w:sz w:val="24"/>
          <w:szCs w:val="24"/>
        </w:rPr>
        <w:t xml:space="preserve"> related to </w:t>
      </w:r>
      <w:r w:rsidRPr="00E0044C">
        <w:rPr>
          <w:rFonts w:ascii="Times New Roman" w:hAnsi="Times New Roman" w:cs="Times New Roman"/>
          <w:color w:val="000000" w:themeColor="text1"/>
          <w:sz w:val="24"/>
          <w:szCs w:val="24"/>
        </w:rPr>
        <w:lastRenderedPageBreak/>
        <w:t xml:space="preserve">α-amylase r = 0.82). MET (r = 0.77) and SVI (r = 0.90) were also positively correlated with soluble sugars (TSS), and so is the seedling dry biomass with </w:t>
      </w:r>
      <w:r w:rsidRPr="00E0044C">
        <w:rPr>
          <w:rFonts w:ascii="Times New Roman" w:hAnsi="Times New Roman" w:cs="Times New Roman"/>
          <w:color w:val="000000" w:themeColor="text1"/>
          <w:sz w:val="24"/>
          <w:szCs w:val="24"/>
        </w:rPr>
        <w:sym w:font="Symbol" w:char="F061"/>
      </w:r>
      <w:r w:rsidRPr="00E0044C">
        <w:rPr>
          <w:rFonts w:ascii="Times New Roman" w:hAnsi="Times New Roman" w:cs="Times New Roman"/>
          <w:color w:val="000000" w:themeColor="text1"/>
          <w:sz w:val="24"/>
          <w:szCs w:val="24"/>
        </w:rPr>
        <w:t xml:space="preserve">-amylase (r=0.80) and soluble sugars (r=0.81). All antioxidant enzymes were strongly in favour of increased shoot and root length (r </w:t>
      </w:r>
      <w:proofErr w:type="gramStart"/>
      <w:r w:rsidRPr="00E0044C">
        <w:rPr>
          <w:rFonts w:ascii="Times New Roman" w:hAnsi="Times New Roman" w:cs="Times New Roman"/>
          <w:color w:val="000000" w:themeColor="text1"/>
          <w:sz w:val="24"/>
          <w:szCs w:val="24"/>
        </w:rPr>
        <w:t>between 0.63 to 0.85</w:t>
      </w:r>
      <w:proofErr w:type="gramEnd"/>
      <w:r w:rsidRPr="00E0044C">
        <w:rPr>
          <w:rFonts w:ascii="Times New Roman" w:hAnsi="Times New Roman" w:cs="Times New Roman"/>
          <w:color w:val="000000" w:themeColor="text1"/>
          <w:sz w:val="24"/>
          <w:szCs w:val="24"/>
        </w:rPr>
        <w:t xml:space="preserve">) and seedling dry biomass (r 0.63 to 0.82). It was also evident from the </w:t>
      </w:r>
      <w:proofErr w:type="spellStart"/>
      <w:r w:rsidRPr="00E0044C">
        <w:rPr>
          <w:rFonts w:ascii="Times New Roman" w:hAnsi="Times New Roman" w:cs="Times New Roman"/>
          <w:color w:val="000000" w:themeColor="text1"/>
          <w:sz w:val="24"/>
          <w:szCs w:val="24"/>
        </w:rPr>
        <w:t>correlogram</w:t>
      </w:r>
      <w:proofErr w:type="spellEnd"/>
      <w:r w:rsidRPr="00E0044C">
        <w:rPr>
          <w:rFonts w:ascii="Times New Roman" w:hAnsi="Times New Roman" w:cs="Times New Roman"/>
          <w:color w:val="000000" w:themeColor="text1"/>
          <w:sz w:val="24"/>
          <w:szCs w:val="24"/>
        </w:rPr>
        <w:t xml:space="preserve"> that the seedling growth was strongly related to the seed germination. </w:t>
      </w:r>
    </w:p>
    <w:p w:rsidR="00E145AA" w:rsidRPr="00E0044C" w:rsidRDefault="00E145AA" w:rsidP="00E145AA">
      <w:pPr>
        <w:spacing w:line="240" w:lineRule="auto"/>
        <w:jc w:val="both"/>
        <w:rPr>
          <w:rFonts w:ascii="Times New Roman" w:hAnsi="Times New Roman" w:cs="Times New Roman"/>
          <w:color w:val="000000" w:themeColor="text1"/>
          <w:sz w:val="24"/>
          <w:szCs w:val="24"/>
        </w:rPr>
      </w:pPr>
    </w:p>
    <w:tbl>
      <w:tblPr>
        <w:tblStyle w:val="Header"/>
        <w:tblW w:w="0" w:type="auto"/>
        <w:tblLook w:val="04A0"/>
      </w:tblPr>
      <w:tblGrid>
        <w:gridCol w:w="9242"/>
      </w:tblGrid>
      <w:tr w:rsidR="00E145AA" w:rsidRPr="00E0044C" w:rsidTr="00437A5B">
        <w:tc>
          <w:tcPr>
            <w:tcW w:w="9242" w:type="dxa"/>
          </w:tcPr>
          <w:p w:rsidR="00E145AA" w:rsidRPr="00E0044C" w:rsidRDefault="00E145AA" w:rsidP="00437A5B">
            <w:pPr>
              <w:spacing w:line="480" w:lineRule="auto"/>
              <w:jc w:val="both"/>
              <w:rPr>
                <w:rFonts w:ascii="Times New Roman" w:hAnsi="Times New Roman" w:cs="Times New Roman"/>
                <w:noProof/>
                <w:color w:val="000000" w:themeColor="text1"/>
                <w:sz w:val="24"/>
                <w:szCs w:val="24"/>
                <w:lang w:eastAsia="zh-TW"/>
              </w:rPr>
            </w:pPr>
            <w:r w:rsidRPr="00E0044C">
              <w:rPr>
                <w:rFonts w:ascii="Times New Roman" w:hAnsi="Times New Roman" w:cs="Times New Roman"/>
                <w:noProof/>
                <w:color w:val="000000" w:themeColor="text1"/>
                <w:sz w:val="24"/>
                <w:szCs w:val="24"/>
                <w:lang w:val="en-US" w:eastAsia="en-US"/>
              </w:rPr>
              <w:drawing>
                <wp:inline distT="0" distB="0" distL="0" distR="0">
                  <wp:extent cx="5607050" cy="4011930"/>
                  <wp:effectExtent l="0" t="0" r="0" b="762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5617226" cy="4019211"/>
                          </a:xfrm>
                          <a:prstGeom prst="rect">
                            <a:avLst/>
                          </a:prstGeom>
                          <a:noFill/>
                          <a:ln w="9525">
                            <a:noFill/>
                            <a:miter lim="800000"/>
                            <a:headEnd/>
                            <a:tailEnd/>
                          </a:ln>
                        </pic:spPr>
                      </pic:pic>
                    </a:graphicData>
                  </a:graphic>
                </wp:inline>
              </w:drawing>
            </w:r>
          </w:p>
        </w:tc>
      </w:tr>
      <w:tr w:rsidR="00E145AA" w:rsidRPr="00E0044C" w:rsidTr="00437A5B">
        <w:tc>
          <w:tcPr>
            <w:tcW w:w="9242" w:type="dxa"/>
          </w:tcPr>
          <w:p w:rsidR="00E145AA" w:rsidRPr="00E0044C" w:rsidRDefault="00E145AA" w:rsidP="00437A5B">
            <w:pPr>
              <w:jc w:val="both"/>
              <w:rPr>
                <w:rFonts w:ascii="Times New Roman" w:hAnsi="Times New Roman" w:cs="Times New Roman"/>
                <w:color w:val="000000" w:themeColor="text1"/>
                <w:sz w:val="24"/>
                <w:szCs w:val="24"/>
              </w:rPr>
            </w:pPr>
            <w:r w:rsidRPr="00E0044C">
              <w:rPr>
                <w:rFonts w:ascii="Times New Roman" w:eastAsia="+mn-ea" w:hAnsi="Times New Roman" w:cs="Times New Roman"/>
                <w:b/>
                <w:color w:val="000000" w:themeColor="text1"/>
                <w:kern w:val="24"/>
                <w:sz w:val="24"/>
                <w:szCs w:val="24"/>
              </w:rPr>
              <w:t>Supplementary Figure S4</w:t>
            </w:r>
            <w:r w:rsidRPr="00E0044C">
              <w:rPr>
                <w:color w:val="000000" w:themeColor="text1"/>
              </w:rPr>
              <w:t xml:space="preserve"> </w:t>
            </w:r>
            <w:proofErr w:type="spellStart"/>
            <w:r w:rsidRPr="00E0044C">
              <w:rPr>
                <w:rFonts w:ascii="Times New Roman" w:eastAsia="+mn-ea" w:hAnsi="Times New Roman" w:cs="Times New Roman"/>
                <w:bCs/>
                <w:color w:val="000000" w:themeColor="text1"/>
                <w:kern w:val="24"/>
                <w:sz w:val="24"/>
                <w:szCs w:val="24"/>
              </w:rPr>
              <w:t>Correlogram</w:t>
            </w:r>
            <w:proofErr w:type="spellEnd"/>
            <w:r w:rsidRPr="00E0044C">
              <w:rPr>
                <w:rFonts w:ascii="Times New Roman" w:eastAsia="+mn-ea" w:hAnsi="Times New Roman" w:cs="Times New Roman"/>
                <w:bCs/>
                <w:color w:val="000000" w:themeColor="text1"/>
                <w:kern w:val="24"/>
                <w:sz w:val="24"/>
                <w:szCs w:val="24"/>
              </w:rPr>
              <w:t xml:space="preserve"> between parameters characterizing seed germination (</w:t>
            </w:r>
            <w:r w:rsidRPr="00E0044C">
              <w:rPr>
                <w:rFonts w:ascii="Times New Roman" w:hAnsi="Times New Roman" w:cs="Times New Roman"/>
                <w:color w:val="000000" w:themeColor="text1"/>
                <w:sz w:val="24"/>
                <w:szCs w:val="24"/>
              </w:rPr>
              <w:t>TSE=Time to start of emergence; MET mean emergence time; SVI Seedling vigour index)</w:t>
            </w:r>
            <w:r w:rsidRPr="00E0044C">
              <w:rPr>
                <w:rFonts w:ascii="Times New Roman" w:eastAsia="+mn-ea" w:hAnsi="Times New Roman" w:cs="Times New Roman"/>
                <w:bCs/>
                <w:color w:val="000000" w:themeColor="text1"/>
                <w:kern w:val="24"/>
                <w:sz w:val="24"/>
                <w:szCs w:val="24"/>
              </w:rPr>
              <w:t>, seed biochemistry (</w:t>
            </w:r>
            <w:r w:rsidRPr="00E0044C">
              <w:rPr>
                <w:rFonts w:ascii="Times New Roman" w:hAnsi="Times New Roman" w:cs="Times New Roman"/>
                <w:color w:val="000000" w:themeColor="text1"/>
                <w:sz w:val="24"/>
                <w:szCs w:val="24"/>
              </w:rPr>
              <w:t xml:space="preserve">MDA mean </w:t>
            </w:r>
            <w:proofErr w:type="spellStart"/>
            <w:r w:rsidRPr="00E0044C">
              <w:rPr>
                <w:rFonts w:ascii="Times New Roman" w:hAnsi="Times New Roman" w:cs="Times New Roman"/>
                <w:color w:val="000000" w:themeColor="text1"/>
                <w:sz w:val="24"/>
                <w:szCs w:val="24"/>
              </w:rPr>
              <w:t>malondialdehyde</w:t>
            </w:r>
            <w:proofErr w:type="spellEnd"/>
            <w:r w:rsidRPr="00E0044C">
              <w:rPr>
                <w:rFonts w:ascii="Times New Roman" w:hAnsi="Times New Roman" w:cs="Times New Roman"/>
                <w:color w:val="000000" w:themeColor="text1"/>
                <w:sz w:val="24"/>
                <w:szCs w:val="24"/>
              </w:rPr>
              <w:t>, SOD superoxide dismutase, POX peroxidase, CAT catalase, GPX glutathione peroxidase</w:t>
            </w:r>
            <w:r w:rsidRPr="00E0044C">
              <w:rPr>
                <w:rFonts w:ascii="Times New Roman" w:eastAsia="+mn-ea" w:hAnsi="Times New Roman" w:cs="Times New Roman"/>
                <w:bCs/>
                <w:color w:val="000000" w:themeColor="text1"/>
                <w:kern w:val="24"/>
                <w:sz w:val="24"/>
                <w:szCs w:val="24"/>
              </w:rPr>
              <w:t>) and seedling growth (</w:t>
            </w:r>
            <w:r w:rsidRPr="00E0044C">
              <w:rPr>
                <w:rFonts w:ascii="Times New Roman" w:hAnsi="Times New Roman" w:cs="Times New Roman"/>
                <w:color w:val="000000" w:themeColor="text1"/>
                <w:sz w:val="24"/>
                <w:szCs w:val="24"/>
              </w:rPr>
              <w:t>SL shoot length, RL root length, SDB seedling dry biomass</w:t>
            </w:r>
            <w:r w:rsidRPr="00E0044C">
              <w:rPr>
                <w:rFonts w:ascii="Times New Roman" w:eastAsia="+mn-ea" w:hAnsi="Times New Roman" w:cs="Times New Roman"/>
                <w:bCs/>
                <w:color w:val="000000" w:themeColor="text1"/>
                <w:kern w:val="24"/>
                <w:sz w:val="24"/>
                <w:szCs w:val="24"/>
              </w:rPr>
              <w:t>) following seed priming in DSR</w:t>
            </w:r>
          </w:p>
        </w:tc>
      </w:tr>
    </w:tbl>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p w:rsidR="00E145AA" w:rsidRDefault="00E145AA" w:rsidP="00E145AA">
      <w:pPr>
        <w:spacing w:line="240" w:lineRule="auto"/>
        <w:jc w:val="both"/>
        <w:rPr>
          <w:rFonts w:ascii="Times New Roman" w:eastAsia="Times New Roman" w:hAnsi="Times New Roman" w:cs="Times New Roman"/>
          <w:bCs/>
          <w:color w:val="000000" w:themeColor="text1"/>
          <w:sz w:val="24"/>
          <w:szCs w:val="24"/>
          <w:vertAlign w:val="superscript"/>
          <w:lang w:val="en-US"/>
        </w:rPr>
      </w:pPr>
    </w:p>
    <w:sectPr w:rsidR="00E145AA" w:rsidSect="00437A5B">
      <w:pgSz w:w="11909" w:h="16834"/>
      <w:pgMar w:top="1440" w:right="1440" w:bottom="1440" w:left="1440" w:header="720" w:footer="720" w:gutter="0"/>
      <w:lnNumType w:countBy="1" w:restart="continuous"/>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vTT5235d5a9">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n-ea">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9160EC"/>
    <w:multiLevelType w:val="multilevel"/>
    <w:tmpl w:val="280EF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3C0527E"/>
    <w:multiLevelType w:val="hybridMultilevel"/>
    <w:tmpl w:val="2F7AAED6"/>
    <w:lvl w:ilvl="0" w:tplc="8AB01030">
      <w:start w:val="1"/>
      <w:numFmt w:val="decimal"/>
      <w:lvlText w:val="%1."/>
      <w:lvlJc w:val="left"/>
      <w:pPr>
        <w:ind w:left="780" w:hanging="360"/>
      </w:pPr>
      <w:rPr>
        <w:rFonts w:ascii="AdvTT5235d5a9" w:eastAsia="Times New Roman" w:hAnsi="AdvTT5235d5a9" w:cs="AdvTT5235d5a9"/>
        <w:b w:val="0"/>
        <w:color w:val="000000"/>
        <w:sz w:val="24"/>
        <w:szCs w:val="24"/>
        <w:vertAlign w:val="baseline"/>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proofState w:spelling="clean" w:grammar="clean"/>
  <w:defaultTabStop w:val="720"/>
  <w:drawingGridHorizontalSpacing w:val="110"/>
  <w:displayHorizontalDrawingGridEvery w:val="2"/>
  <w:displayVerticalDrawingGridEvery w:val="2"/>
  <w:characterSpacingControl w:val="doNotCompress"/>
  <w:compat/>
  <w:rsids>
    <w:rsidRoot w:val="00E145AA"/>
    <w:rsid w:val="003F1993"/>
    <w:rsid w:val="00437A5B"/>
    <w:rsid w:val="00652F9A"/>
    <w:rsid w:val="00A73AE1"/>
    <w:rsid w:val="00D042A1"/>
    <w:rsid w:val="00E145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145AA"/>
    <w:pPr>
      <w:spacing w:after="0"/>
    </w:pPr>
    <w:rPr>
      <w:rFonts w:ascii="Arial" w:eastAsia="Arial" w:hAnsi="Arial" w:cs="Arial"/>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45A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5AA"/>
    <w:rPr>
      <w:rFonts w:ascii="Tahoma" w:eastAsia="Arial" w:hAnsi="Tahoma" w:cs="Tahoma"/>
      <w:sz w:val="16"/>
      <w:szCs w:val="16"/>
      <w:lang w:val="en-IN" w:eastAsia="en-IN"/>
    </w:rPr>
  </w:style>
  <w:style w:type="paragraph" w:styleId="CommentText">
    <w:name w:val="annotation text"/>
    <w:basedOn w:val="Normal"/>
    <w:link w:val="CommentTextChar"/>
    <w:uiPriority w:val="99"/>
    <w:unhideWhenUsed/>
    <w:rsid w:val="00E145AA"/>
    <w:pPr>
      <w:spacing w:line="240" w:lineRule="auto"/>
    </w:pPr>
    <w:rPr>
      <w:sz w:val="20"/>
      <w:szCs w:val="20"/>
    </w:rPr>
  </w:style>
  <w:style w:type="character" w:customStyle="1" w:styleId="CommentTextChar">
    <w:name w:val="Comment Text Char"/>
    <w:basedOn w:val="DefaultParagraphFont"/>
    <w:link w:val="CommentText"/>
    <w:uiPriority w:val="99"/>
    <w:rsid w:val="00E145AA"/>
    <w:rPr>
      <w:rFonts w:ascii="Arial" w:eastAsia="Arial" w:hAnsi="Arial" w:cs="Arial"/>
      <w:sz w:val="20"/>
      <w:szCs w:val="20"/>
      <w:lang w:val="en-IN" w:eastAsia="en-IN"/>
    </w:rPr>
  </w:style>
  <w:style w:type="paragraph" w:styleId="CommentSubject">
    <w:name w:val="annotation subject"/>
    <w:basedOn w:val="CommentText"/>
    <w:next w:val="CommentText"/>
    <w:link w:val="CommentSubjectChar"/>
    <w:uiPriority w:val="99"/>
    <w:semiHidden/>
    <w:unhideWhenUsed/>
    <w:rsid w:val="00E145AA"/>
    <w:rPr>
      <w:b/>
      <w:bCs/>
    </w:rPr>
  </w:style>
  <w:style w:type="character" w:customStyle="1" w:styleId="CommentSubjectChar">
    <w:name w:val="Comment Subject Char"/>
    <w:basedOn w:val="CommentTextChar"/>
    <w:link w:val="CommentSubject"/>
    <w:uiPriority w:val="99"/>
    <w:semiHidden/>
    <w:rsid w:val="00E145AA"/>
    <w:rPr>
      <w:b/>
      <w:bCs/>
    </w:rPr>
  </w:style>
  <w:style w:type="character" w:styleId="LineNumber">
    <w:name w:val="line number"/>
    <w:basedOn w:val="DefaultParagraphFont"/>
    <w:uiPriority w:val="99"/>
    <w:semiHidden/>
    <w:unhideWhenUsed/>
    <w:rsid w:val="00E145AA"/>
  </w:style>
  <w:style w:type="paragraph" w:styleId="ListParagraph">
    <w:name w:val="List Paragraph"/>
    <w:basedOn w:val="Normal"/>
    <w:uiPriority w:val="34"/>
    <w:qFormat/>
    <w:rsid w:val="00E145AA"/>
    <w:pPr>
      <w:ind w:left="720"/>
      <w:contextualSpacing/>
    </w:pPr>
  </w:style>
  <w:style w:type="paragraph" w:styleId="Revision">
    <w:name w:val="Revision"/>
    <w:hidden/>
    <w:uiPriority w:val="99"/>
    <w:semiHidden/>
    <w:rsid w:val="00E145AA"/>
    <w:pPr>
      <w:spacing w:after="0" w:line="240" w:lineRule="auto"/>
    </w:pPr>
    <w:rPr>
      <w:rFonts w:ascii="Arial" w:eastAsia="Arial" w:hAnsi="Arial" w:cs="Arial"/>
      <w:lang w:val="en-IN" w:eastAsia="en-IN"/>
    </w:rPr>
  </w:style>
  <w:style w:type="character" w:styleId="Hyperlink">
    <w:name w:val="Hyperlink"/>
    <w:basedOn w:val="DefaultParagraphFont"/>
    <w:uiPriority w:val="99"/>
    <w:unhideWhenUsed/>
    <w:rsid w:val="00E145AA"/>
    <w:rPr>
      <w:color w:val="0000FF" w:themeColor="hyperlink"/>
      <w:u w:val="single"/>
    </w:rPr>
  </w:style>
  <w:style w:type="character" w:customStyle="1" w:styleId="A12">
    <w:name w:val="A12"/>
    <w:uiPriority w:val="99"/>
    <w:rsid w:val="00E145AA"/>
    <w:rPr>
      <w:rFonts w:cs="Cambria"/>
      <w:color w:val="000000"/>
      <w:sz w:val="18"/>
      <w:szCs w:val="18"/>
    </w:rPr>
  </w:style>
  <w:style w:type="paragraph" w:styleId="NoSpacing">
    <w:name w:val="No Spacing"/>
    <w:uiPriority w:val="1"/>
    <w:qFormat/>
    <w:rsid w:val="00E145AA"/>
    <w:pPr>
      <w:spacing w:after="0" w:line="240" w:lineRule="auto"/>
      <w:jc w:val="both"/>
    </w:pPr>
    <w:rPr>
      <w:rFonts w:ascii="Times New Roman" w:eastAsia="Calibri" w:hAnsi="Times New Roman" w:cs="Times New Roman"/>
      <w:sz w:val="28"/>
      <w:szCs w:val="28"/>
    </w:rPr>
  </w:style>
  <w:style w:type="table" w:styleId="TableGrid">
    <w:name w:val="Table Grid"/>
    <w:basedOn w:val="TableNormal"/>
    <w:uiPriority w:val="59"/>
    <w:rsid w:val="00E145A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E145AA"/>
    <w:pPr>
      <w:spacing w:before="100" w:beforeAutospacing="1" w:after="100" w:afterAutospacing="1" w:line="240" w:lineRule="auto"/>
    </w:pPr>
    <w:rPr>
      <w:rFonts w:ascii="Times New Roman" w:eastAsia="Times New Roman" w:hAnsi="Times New Roman" w:cs="Times New Roman"/>
      <w:sz w:val="24"/>
      <w:szCs w:val="24"/>
      <w:lang w:eastAsia="zh-TW"/>
    </w:rPr>
  </w:style>
  <w:style w:type="paragraph" w:styleId="Header">
    <w:name w:val="header"/>
    <w:basedOn w:val="Normal"/>
    <w:link w:val="HeaderChar"/>
    <w:uiPriority w:val="99"/>
    <w:unhideWhenUsed/>
    <w:rsid w:val="00E145AA"/>
    <w:pPr>
      <w:tabs>
        <w:tab w:val="center" w:pos="4513"/>
        <w:tab w:val="right" w:pos="9026"/>
      </w:tabs>
      <w:spacing w:line="240" w:lineRule="auto"/>
    </w:pPr>
  </w:style>
  <w:style w:type="character" w:customStyle="1" w:styleId="HeaderChar">
    <w:name w:val="Header Char"/>
    <w:basedOn w:val="DefaultParagraphFont"/>
    <w:link w:val="Header"/>
    <w:uiPriority w:val="99"/>
    <w:rsid w:val="00E145AA"/>
    <w:rPr>
      <w:rFonts w:ascii="Arial" w:eastAsia="Arial" w:hAnsi="Arial" w:cs="Arial"/>
      <w:lang w:val="en-IN" w:eastAsia="en-IN"/>
    </w:rPr>
  </w:style>
  <w:style w:type="paragraph" w:styleId="Footer">
    <w:name w:val="footer"/>
    <w:basedOn w:val="Normal"/>
    <w:link w:val="FooterChar"/>
    <w:uiPriority w:val="99"/>
    <w:unhideWhenUsed/>
    <w:rsid w:val="00E145AA"/>
    <w:pPr>
      <w:tabs>
        <w:tab w:val="center" w:pos="4513"/>
        <w:tab w:val="right" w:pos="9026"/>
      </w:tabs>
      <w:spacing w:line="240" w:lineRule="auto"/>
    </w:pPr>
  </w:style>
  <w:style w:type="character" w:customStyle="1" w:styleId="FooterChar">
    <w:name w:val="Footer Char"/>
    <w:basedOn w:val="DefaultParagraphFont"/>
    <w:link w:val="Footer"/>
    <w:uiPriority w:val="99"/>
    <w:rsid w:val="00E145AA"/>
    <w:rPr>
      <w:rFonts w:ascii="Arial" w:eastAsia="Arial" w:hAnsi="Arial" w:cs="Arial"/>
      <w:lang w:val="en-IN" w:eastAsia="en-IN"/>
    </w:rPr>
  </w:style>
  <w:style w:type="paragraph" w:customStyle="1" w:styleId="mb15">
    <w:name w:val="mb15"/>
    <w:basedOn w:val="Normal"/>
    <w:rsid w:val="00E145AA"/>
    <w:pPr>
      <w:spacing w:before="100" w:beforeAutospacing="1" w:after="100" w:afterAutospacing="1" w:line="240" w:lineRule="auto"/>
    </w:pPr>
    <w:rPr>
      <w:rFonts w:ascii="Times New Roman" w:eastAsia="Times New Roman" w:hAnsi="Times New Roman" w:cs="Times New Roman"/>
      <w:sz w:val="24"/>
      <w:szCs w:val="24"/>
      <w:lang w:eastAsia="zh-TW"/>
    </w:rPr>
  </w:style>
  <w:style w:type="character" w:styleId="Emphasis">
    <w:name w:val="Emphasis"/>
    <w:basedOn w:val="DefaultParagraphFont"/>
    <w:uiPriority w:val="20"/>
    <w:qFormat/>
    <w:rsid w:val="00E145AA"/>
    <w:rPr>
      <w:i/>
      <w:iCs/>
    </w:rPr>
  </w:style>
  <w:style w:type="paragraph" w:customStyle="1" w:styleId="c-bibliographic-informationcitation">
    <w:name w:val="c-bibliographic-information__citation"/>
    <w:basedOn w:val="Normal"/>
    <w:rsid w:val="00E145AA"/>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E145AA"/>
    <w:pPr>
      <w:spacing w:line="240" w:lineRule="auto"/>
    </w:pPr>
    <w:rPr>
      <w:rFonts w:asciiTheme="minorHAnsi" w:eastAsiaTheme="minorEastAsia" w:hAnsiTheme="minorHAnsi" w:cstheme="minorBidi"/>
      <w:sz w:val="20"/>
      <w:szCs w:val="20"/>
      <w:lang w:eastAsia="zh-TW"/>
    </w:rPr>
  </w:style>
  <w:style w:type="character" w:customStyle="1" w:styleId="FootnoteTextChar">
    <w:name w:val="Footnote Text Char"/>
    <w:basedOn w:val="DefaultParagraphFont"/>
    <w:link w:val="FootnoteText"/>
    <w:uiPriority w:val="99"/>
    <w:semiHidden/>
    <w:rsid w:val="00E145AA"/>
    <w:rPr>
      <w:rFonts w:eastAsiaTheme="minorEastAsia"/>
      <w:sz w:val="20"/>
      <w:szCs w:val="20"/>
      <w:lang w:val="en-IN" w:eastAsia="zh-TW"/>
    </w:rPr>
  </w:style>
  <w:style w:type="character" w:customStyle="1" w:styleId="html-italic">
    <w:name w:val="html-italic"/>
    <w:basedOn w:val="DefaultParagraphFont"/>
    <w:rsid w:val="00E145AA"/>
  </w:style>
  <w:style w:type="character" w:styleId="Strong">
    <w:name w:val="Strong"/>
    <w:basedOn w:val="DefaultParagraphFont"/>
    <w:uiPriority w:val="22"/>
    <w:qFormat/>
    <w:rsid w:val="00E145AA"/>
    <w:rPr>
      <w:b/>
      <w:bCs/>
    </w:rPr>
  </w:style>
  <w:style w:type="paragraph" w:styleId="Title">
    <w:name w:val="Title"/>
    <w:basedOn w:val="Normal"/>
    <w:link w:val="TitleChar"/>
    <w:qFormat/>
    <w:rsid w:val="00E145AA"/>
    <w:pPr>
      <w:spacing w:line="240" w:lineRule="auto"/>
      <w:jc w:val="center"/>
    </w:pPr>
    <w:rPr>
      <w:rFonts w:ascii="Times New Roman" w:eastAsia="Times New Roman" w:hAnsi="Times New Roman" w:cs="Times New Roman"/>
      <w:b/>
      <w:bCs/>
      <w:sz w:val="32"/>
      <w:szCs w:val="24"/>
      <w:lang w:val="en-AU" w:eastAsia="en-US"/>
    </w:rPr>
  </w:style>
  <w:style w:type="character" w:customStyle="1" w:styleId="TitleChar">
    <w:name w:val="Title Char"/>
    <w:basedOn w:val="DefaultParagraphFont"/>
    <w:link w:val="Title"/>
    <w:rsid w:val="00E145AA"/>
    <w:rPr>
      <w:rFonts w:ascii="Times New Roman" w:eastAsia="Times New Roman" w:hAnsi="Times New Roman" w:cs="Times New Roman"/>
      <w:b/>
      <w:bCs/>
      <w:sz w:val="32"/>
      <w:szCs w:val="24"/>
      <w:lang w:val="en-AU"/>
    </w:rPr>
  </w:style>
  <w:style w:type="paragraph" w:customStyle="1" w:styleId="Default">
    <w:name w:val="Default"/>
    <w:rsid w:val="00E145AA"/>
    <w:pPr>
      <w:autoSpaceDE w:val="0"/>
      <w:autoSpaceDN w:val="0"/>
      <w:adjustRightInd w:val="0"/>
      <w:spacing w:after="0" w:line="240" w:lineRule="auto"/>
    </w:pPr>
    <w:rPr>
      <w:rFonts w:ascii="Times New Roman" w:eastAsiaTheme="minorEastAsia" w:hAnsi="Times New Roman" w:cs="Times New Roman"/>
      <w:color w:val="000000"/>
      <w:sz w:val="24"/>
      <w:szCs w:val="24"/>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3966</Words>
  <Characters>22610</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RRBCKV JHARGRAM</Company>
  <LinksUpToDate>false</LinksUpToDate>
  <CharactersWithSpaces>26523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AICRP</dc:creator>
  <cp:lastModifiedBy>AICRP</cp:lastModifiedBy>
  <cp:revision>2</cp:revision>
  <dcterms:created xsi:type="dcterms:W3CDTF">2022-02-02T05:32:00Z</dcterms:created>
  <dcterms:modified xsi:type="dcterms:W3CDTF">2022-02-02T06:13:00Z</dcterms:modified>
</cp:coreProperties>
</file>