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EB7" w:rsidRPr="006266F9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6266F9">
        <w:rPr>
          <w:rFonts w:ascii="Times New Roman" w:hAnsi="Times New Roman" w:cs="Times New Roman"/>
          <w:sz w:val="24"/>
        </w:rPr>
        <w:t>Figure S1 Heatmap of DEGs</w:t>
      </w:r>
      <w:r>
        <w:rPr>
          <w:rFonts w:ascii="Times New Roman" w:hAnsi="Times New Roman" w:cs="Times New Roman" w:hint="eastAsia"/>
          <w:sz w:val="24"/>
        </w:rPr>
        <w:t>.</w:t>
      </w:r>
    </w:p>
    <w:p w:rsidR="00624EB7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S2 Boxplots of DEGs</w:t>
      </w:r>
      <w:r>
        <w:rPr>
          <w:rFonts w:ascii="Times New Roman" w:hAnsi="Times New Roman" w:cs="Times New Roman" w:hint="eastAsia"/>
          <w:sz w:val="24"/>
        </w:rPr>
        <w:t>.</w:t>
      </w:r>
    </w:p>
    <w:p w:rsidR="00624EB7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S3 bubble of KEGG</w:t>
      </w:r>
      <w:r>
        <w:rPr>
          <w:rFonts w:ascii="Times New Roman" w:hAnsi="Times New Roman" w:cs="Times New Roman" w:hint="eastAsia"/>
          <w:sz w:val="24"/>
        </w:rPr>
        <w:t>.</w:t>
      </w:r>
    </w:p>
    <w:p w:rsidR="00624EB7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S4 Heatmap of KEGG</w:t>
      </w:r>
      <w:r>
        <w:rPr>
          <w:rFonts w:ascii="Times New Roman" w:hAnsi="Times New Roman" w:cs="Times New Roman" w:hint="eastAsia"/>
          <w:sz w:val="24"/>
        </w:rPr>
        <w:t>.</w:t>
      </w:r>
    </w:p>
    <w:p w:rsidR="00624EB7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S5 bubble of GO</w:t>
      </w:r>
      <w:r>
        <w:rPr>
          <w:rFonts w:ascii="Times New Roman" w:hAnsi="Times New Roman" w:cs="Times New Roman" w:hint="eastAsia"/>
          <w:sz w:val="24"/>
        </w:rPr>
        <w:t>.</w:t>
      </w:r>
    </w:p>
    <w:p w:rsidR="00624EB7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S6 Heatmap of GO</w:t>
      </w:r>
      <w:r>
        <w:rPr>
          <w:rFonts w:ascii="Times New Roman" w:hAnsi="Times New Roman" w:cs="Times New Roman" w:hint="eastAsia"/>
          <w:sz w:val="24"/>
        </w:rPr>
        <w:t>.</w:t>
      </w:r>
    </w:p>
    <w:p w:rsidR="00624EB7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6266F9">
        <w:rPr>
          <w:rFonts w:ascii="Times New Roman" w:hAnsi="Times New Roman" w:cs="Times New Roman"/>
          <w:sz w:val="24"/>
        </w:rPr>
        <w:t xml:space="preserve">Figure S7 Heatmap of differences in lncRNA expression between high-risk </w:t>
      </w:r>
      <w:r>
        <w:rPr>
          <w:rFonts w:ascii="Times New Roman" w:hAnsi="Times New Roman" w:cs="Times New Roman"/>
          <w:sz w:val="24"/>
        </w:rPr>
        <w:t>and low-risk group</w:t>
      </w:r>
      <w:r>
        <w:rPr>
          <w:rFonts w:ascii="Times New Roman" w:hAnsi="Times New Roman" w:cs="Times New Roman" w:hint="eastAsia"/>
          <w:sz w:val="24"/>
        </w:rPr>
        <w:t>.</w:t>
      </w:r>
    </w:p>
    <w:p w:rsidR="00624EB7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6266F9">
        <w:rPr>
          <w:rFonts w:ascii="Times New Roman" w:hAnsi="Times New Roman" w:cs="Times New Roman"/>
          <w:sz w:val="24"/>
        </w:rPr>
        <w:t>Figure S8 The relationship between genes and immune cell infiltratio</w:t>
      </w:r>
      <w:r>
        <w:rPr>
          <w:rFonts w:ascii="Times New Roman" w:hAnsi="Times New Roman" w:cs="Times New Roman"/>
          <w:sz w:val="24"/>
        </w:rPr>
        <w:t xml:space="preserve">n levels in the TIMER database </w:t>
      </w:r>
      <w:r>
        <w:rPr>
          <w:rFonts w:ascii="Times New Roman" w:hAnsi="Times New Roman" w:cs="Times New Roman" w:hint="eastAsia"/>
          <w:sz w:val="24"/>
        </w:rPr>
        <w:t>.</w:t>
      </w:r>
    </w:p>
    <w:p w:rsidR="00624EB7" w:rsidRPr="006266F9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6266F9">
        <w:rPr>
          <w:rFonts w:ascii="Times New Roman" w:hAnsi="Times New Roman" w:cs="Times New Roman"/>
          <w:sz w:val="24"/>
        </w:rPr>
        <w:t xml:space="preserve">Figure S9 The DFS in the high-risk group was significantly shorter than that in the low-risk group. </w:t>
      </w:r>
    </w:p>
    <w:p w:rsidR="00624EB7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6266F9">
        <w:rPr>
          <w:rFonts w:ascii="Times New Roman" w:hAnsi="Times New Roman" w:cs="Times New Roman"/>
          <w:sz w:val="24"/>
        </w:rPr>
        <w:t>Figure S10 The AUCs for 1-, 3-, and 5-year surviv</w:t>
      </w:r>
      <w:r>
        <w:rPr>
          <w:rFonts w:ascii="Times New Roman" w:hAnsi="Times New Roman" w:cs="Times New Roman"/>
          <w:sz w:val="24"/>
        </w:rPr>
        <w:t>al were 0.594, 0.708, and 0.705</w:t>
      </w:r>
      <w:r>
        <w:rPr>
          <w:rFonts w:ascii="Times New Roman" w:hAnsi="Times New Roman" w:cs="Times New Roman" w:hint="eastAsia"/>
          <w:sz w:val="24"/>
        </w:rPr>
        <w:t>.</w:t>
      </w:r>
    </w:p>
    <w:p w:rsidR="00624EB7" w:rsidRPr="006266F9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6266F9">
        <w:rPr>
          <w:rFonts w:ascii="Times New Roman" w:hAnsi="Times New Roman" w:cs="Times New Roman"/>
          <w:sz w:val="24"/>
        </w:rPr>
        <w:t>Figure S11 The DFS of patients in the high-ris</w:t>
      </w:r>
      <w:r>
        <w:rPr>
          <w:rFonts w:ascii="Times New Roman" w:hAnsi="Times New Roman" w:cs="Times New Roman"/>
          <w:sz w:val="24"/>
        </w:rPr>
        <w:t>k group in the first cohort was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6266F9">
        <w:rPr>
          <w:rFonts w:ascii="Times New Roman" w:hAnsi="Times New Roman" w:cs="Times New Roman"/>
          <w:sz w:val="24"/>
        </w:rPr>
        <w:t xml:space="preserve">significantly lower than that in the low-risk group. </w:t>
      </w:r>
    </w:p>
    <w:p w:rsidR="00624EB7" w:rsidRPr="006266F9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6266F9">
        <w:rPr>
          <w:rFonts w:ascii="Times New Roman" w:hAnsi="Times New Roman" w:cs="Times New Roman"/>
          <w:sz w:val="24"/>
        </w:rPr>
        <w:t>Figure S12 Another cohort also showed the same result.</w:t>
      </w:r>
    </w:p>
    <w:p w:rsidR="00624EB7" w:rsidRPr="006266F9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6266F9">
        <w:rPr>
          <w:rFonts w:ascii="Times New Roman" w:hAnsi="Times New Roman" w:cs="Times New Roman"/>
          <w:sz w:val="24"/>
        </w:rPr>
        <w:t>Figure S13 the AUC</w:t>
      </w:r>
      <w:r>
        <w:rPr>
          <w:rFonts w:ascii="Times New Roman" w:hAnsi="Times New Roman" w:cs="Times New Roman" w:hint="eastAsia"/>
          <w:sz w:val="24"/>
        </w:rPr>
        <w:t>s</w:t>
      </w:r>
      <w:r w:rsidRPr="006266F9">
        <w:rPr>
          <w:rFonts w:ascii="Times New Roman" w:hAnsi="Times New Roman" w:cs="Times New Roman"/>
          <w:sz w:val="24"/>
        </w:rPr>
        <w:t xml:space="preserve"> of the ROC curve of the first cohort at 1, 3, 5 years was 0.52, 0.707, 0.725.</w:t>
      </w:r>
    </w:p>
    <w:p w:rsidR="00624EB7" w:rsidRPr="006266F9" w:rsidRDefault="00624EB7" w:rsidP="00624EB7">
      <w:pPr>
        <w:wordWrap w:val="0"/>
        <w:topLinePunct/>
        <w:autoSpaceDE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6266F9">
        <w:rPr>
          <w:rFonts w:ascii="Times New Roman" w:hAnsi="Times New Roman" w:cs="Times New Roman"/>
          <w:sz w:val="24"/>
        </w:rPr>
        <w:t>Figure S14 The AUC</w:t>
      </w:r>
      <w:r>
        <w:rPr>
          <w:rFonts w:ascii="Times New Roman" w:hAnsi="Times New Roman" w:cs="Times New Roman" w:hint="eastAsia"/>
          <w:sz w:val="24"/>
        </w:rPr>
        <w:t>s</w:t>
      </w:r>
      <w:r w:rsidRPr="006266F9">
        <w:rPr>
          <w:rFonts w:ascii="Times New Roman" w:hAnsi="Times New Roman" w:cs="Times New Roman"/>
          <w:sz w:val="24"/>
        </w:rPr>
        <w:t xml:space="preserve"> of the ROC curve of another cohort was 0.658, 0.721, 0.684 at 1, 3, 5 years.</w:t>
      </w:r>
    </w:p>
    <w:p w:rsidR="00000F57" w:rsidRDefault="00624EB7">
      <w:bookmarkStart w:id="0" w:name="_GoBack"/>
      <w:bookmarkEnd w:id="0"/>
    </w:p>
    <w:sectPr w:rsidR="00000F57" w:rsidSect="0001256C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8990278"/>
    </w:sdtPr>
    <w:sdtEndPr/>
    <w:sdtContent>
      <w:p w:rsidR="000F240A" w:rsidRDefault="00624EB7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24EB7">
          <w:rPr>
            <w:noProof/>
            <w:lang w:val="zh-CN"/>
          </w:rPr>
          <w:t>1</w:t>
        </w:r>
        <w:r>
          <w:fldChar w:fldCharType="end"/>
        </w:r>
      </w:p>
    </w:sdtContent>
  </w:sdt>
  <w:p w:rsidR="000F240A" w:rsidRDefault="00624EB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EB7"/>
    <w:rsid w:val="0007695B"/>
    <w:rsid w:val="005615C6"/>
    <w:rsid w:val="005E078B"/>
    <w:rsid w:val="00624EB7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46755C-0A90-42D5-8283-34E0587EE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4EB7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624E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624EB7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780</Characters>
  <Application>Microsoft Office Word</Application>
  <DocSecurity>0</DocSecurity>
  <Lines>6</Lines>
  <Paragraphs>1</Paragraphs>
  <ScaleCrop>false</ScaleCrop>
  <Company>Springer Nature IT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2022-02-28T09:07:00Z</dcterms:created>
  <dcterms:modified xsi:type="dcterms:W3CDTF">2022-02-28T09:07:00Z</dcterms:modified>
</cp:coreProperties>
</file>