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73A972" w14:textId="77777777" w:rsidR="00AC22E2" w:rsidRDefault="00AC22E2" w:rsidP="00AC22E2">
      <w:pPr>
        <w:widowControl/>
        <w:jc w:val="center"/>
        <w:rPr>
          <w:rFonts w:ascii="Times New Roman" w:hAnsi="Times New Roman" w:cs="Times New Roman"/>
          <w:b/>
          <w:bCs/>
          <w:sz w:val="28"/>
          <w:szCs w:val="28"/>
        </w:rPr>
      </w:pPr>
      <w:r>
        <w:rPr>
          <w:rFonts w:ascii="Times New Roman" w:hAnsi="Times New Roman" w:cs="Times New Roman"/>
          <w:b/>
          <w:bCs/>
          <w:sz w:val="28"/>
          <w:szCs w:val="28"/>
        </w:rPr>
        <w:t>Extended Data Figures</w:t>
      </w:r>
    </w:p>
    <w:p w14:paraId="7D386422" w14:textId="77777777" w:rsidR="00AC22E2" w:rsidRDefault="00AC22E2" w:rsidP="00AC22E2">
      <w:pPr>
        <w:widowControl/>
        <w:jc w:val="left"/>
        <w:rPr>
          <w:rFonts w:ascii="Times New Roman" w:hAnsi="Times New Roman" w:cs="Times New Roman"/>
          <w:sz w:val="24"/>
        </w:rPr>
      </w:pPr>
    </w:p>
    <w:p w14:paraId="776677F1" w14:textId="7DBFFBC7" w:rsidR="00AC22E2" w:rsidRDefault="00AC22E2" w:rsidP="00AC22E2">
      <w:pPr>
        <w:spacing w:line="360" w:lineRule="auto"/>
        <w:jc w:val="center"/>
        <w:rPr>
          <w:rFonts w:ascii="Times New Roman" w:hAnsi="Times New Roman" w:cs="Times New Roman"/>
          <w:iCs/>
          <w:strike/>
          <w:sz w:val="28"/>
          <w:szCs w:val="28"/>
        </w:rPr>
      </w:pPr>
      <w:r>
        <w:rPr>
          <w:noProof/>
        </w:rPr>
        <w:drawing>
          <wp:inline distT="0" distB="0" distL="0" distR="0" wp14:anchorId="13E86418" wp14:editId="679C99AA">
            <wp:extent cx="5876925" cy="2857500"/>
            <wp:effectExtent l="0" t="0" r="9525" b="0"/>
            <wp:docPr id="6" name="Picture 6" descr="Surface 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Surface chart&#10;&#10;Description automatically generated with medium confidenc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876925" cy="2857500"/>
                    </a:xfrm>
                    <a:prstGeom prst="rect">
                      <a:avLst/>
                    </a:prstGeom>
                    <a:noFill/>
                    <a:ln>
                      <a:noFill/>
                    </a:ln>
                  </pic:spPr>
                </pic:pic>
              </a:graphicData>
            </a:graphic>
          </wp:inline>
        </w:drawing>
      </w:r>
    </w:p>
    <w:p w14:paraId="311441AD" w14:textId="77777777" w:rsidR="00AC22E2" w:rsidRDefault="00AC22E2" w:rsidP="00AC22E2">
      <w:pPr>
        <w:adjustRightInd w:val="0"/>
        <w:snapToGrid w:val="0"/>
        <w:spacing w:line="360" w:lineRule="auto"/>
        <w:rPr>
          <w:rFonts w:ascii="Times New Roman" w:hAnsi="Times New Roman" w:cs="Times New Roman"/>
          <w:sz w:val="24"/>
        </w:rPr>
      </w:pPr>
      <w:r>
        <w:rPr>
          <w:rFonts w:ascii="Times New Roman" w:hAnsi="Times New Roman" w:cs="Times New Roman"/>
          <w:b/>
          <w:bCs/>
          <w:sz w:val="24"/>
        </w:rPr>
        <w:t>Extended Data Fig. 1 | Time evolution of the band nodes manifested by 2D full band structures. a-h</w:t>
      </w:r>
      <w:r>
        <w:rPr>
          <w:rFonts w:ascii="Times New Roman" w:hAnsi="Times New Roman" w:cs="Times New Roman"/>
          <w:sz w:val="24"/>
        </w:rPr>
        <w:t xml:space="preserve">, Band structures plotted in the full 2D BZ, which indicate the nontrivial </w:t>
      </w:r>
      <w:r>
        <w:rPr>
          <w:rFonts w:ascii="Times New Roman" w:hAnsi="Times New Roman" w:cs="Times New Roman"/>
          <w:bCs/>
          <w:sz w:val="24"/>
        </w:rPr>
        <w:t>nodal</w:t>
      </w:r>
      <w:r>
        <w:rPr>
          <w:rFonts w:ascii="Times New Roman" w:hAnsi="Times New Roman" w:cs="Times New Roman"/>
          <w:sz w:val="24"/>
        </w:rPr>
        <w:t xml:space="preserve"> braiding in our main text. The </w:t>
      </w:r>
      <w:r>
        <w:rPr>
          <w:rFonts w:ascii="Times New Roman" w:hAnsi="Times New Roman" w:cs="Times New Roman"/>
          <w:bCs/>
          <w:sz w:val="24"/>
        </w:rPr>
        <w:t>whole process</w:t>
      </w:r>
      <w:r>
        <w:rPr>
          <w:rFonts w:ascii="Times New Roman" w:hAnsi="Times New Roman" w:cs="Times New Roman"/>
          <w:sz w:val="24"/>
        </w:rPr>
        <w:t xml:space="preserve"> is very clean, which involves only two pairs of band nodes evolved along the HSLs of the square BZ. All results are calculated by the tight-binding model.</w:t>
      </w:r>
    </w:p>
    <w:p w14:paraId="71285DB1" w14:textId="77777777" w:rsidR="00AC22E2" w:rsidRDefault="00AC22E2" w:rsidP="00AC22E2">
      <w:pPr>
        <w:adjustRightInd w:val="0"/>
        <w:snapToGrid w:val="0"/>
        <w:spacing w:line="360" w:lineRule="auto"/>
        <w:rPr>
          <w:rFonts w:ascii="Times New Roman" w:hAnsi="Times New Roman" w:cs="Times New Roman"/>
          <w:sz w:val="24"/>
        </w:rPr>
      </w:pPr>
    </w:p>
    <w:p w14:paraId="349F32F5" w14:textId="018C3520" w:rsidR="00AC22E2" w:rsidRDefault="00AC22E2" w:rsidP="00AC22E2">
      <w:pPr>
        <w:spacing w:line="360" w:lineRule="auto"/>
        <w:jc w:val="center"/>
        <w:rPr>
          <w:rFonts w:ascii="Times New Roman" w:hAnsi="Times New Roman" w:cs="Times New Roman"/>
        </w:rPr>
      </w:pPr>
      <w:r>
        <w:rPr>
          <w:noProof/>
        </w:rPr>
        <w:drawing>
          <wp:inline distT="0" distB="0" distL="0" distR="0" wp14:anchorId="5554AB48" wp14:editId="54314761">
            <wp:extent cx="5848350" cy="2514600"/>
            <wp:effectExtent l="0" t="0" r="0" b="0"/>
            <wp:docPr id="5" name="Picture 5" descr="Chart, line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line chart, histogram&#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848350" cy="2514600"/>
                    </a:xfrm>
                    <a:prstGeom prst="rect">
                      <a:avLst/>
                    </a:prstGeom>
                    <a:noFill/>
                    <a:ln>
                      <a:noFill/>
                    </a:ln>
                  </pic:spPr>
                </pic:pic>
              </a:graphicData>
            </a:graphic>
          </wp:inline>
        </w:drawing>
      </w:r>
    </w:p>
    <w:p w14:paraId="5A72AAF5" w14:textId="77777777" w:rsidR="00AC22E2" w:rsidRDefault="00AC22E2" w:rsidP="00AC22E2">
      <w:pPr>
        <w:adjustRightInd w:val="0"/>
        <w:snapToGrid w:val="0"/>
        <w:spacing w:line="360" w:lineRule="auto"/>
        <w:rPr>
          <w:rFonts w:ascii="Times New Roman" w:hAnsi="Times New Roman" w:cs="Times New Roman"/>
          <w:sz w:val="24"/>
        </w:rPr>
      </w:pPr>
      <w:r>
        <w:rPr>
          <w:rFonts w:ascii="Times New Roman" w:hAnsi="Times New Roman" w:cs="Times New Roman"/>
          <w:b/>
          <w:bCs/>
          <w:sz w:val="24"/>
        </w:rPr>
        <w:t xml:space="preserve">Extended Data Fig. 2 | Comparing the band structures between our acoustic system and tight-binding model. </w:t>
      </w:r>
      <w:r>
        <w:rPr>
          <w:rFonts w:ascii="Times New Roman" w:hAnsi="Times New Roman" w:cs="Times New Roman"/>
          <w:sz w:val="24"/>
        </w:rPr>
        <w:t xml:space="preserve">To fit the full-wave simulations, the coupling strength </w:t>
      </w:r>
      <m:oMath>
        <m:r>
          <w:rPr>
            <w:rFonts w:ascii="Cambria Math" w:hAnsi="Cambria Math" w:cs="Times New Roman"/>
            <w:sz w:val="24"/>
          </w:rPr>
          <m:t>κ</m:t>
        </m:r>
        <m:r>
          <m:rPr>
            <m:sty m:val="p"/>
          </m:rPr>
          <w:rPr>
            <w:rFonts w:ascii="Cambria Math" w:hAnsi="Cambria Math" w:cs="Times New Roman"/>
            <w:sz w:val="24"/>
          </w:rPr>
          <m:t xml:space="preserve">=93.5 Hz </m:t>
        </m:r>
      </m:oMath>
      <w:r>
        <w:rPr>
          <w:rFonts w:ascii="Times New Roman" w:hAnsi="Times New Roman" w:cs="Times New Roman"/>
          <w:sz w:val="24"/>
        </w:rPr>
        <w:t xml:space="preserve"> and the onsite energy </w:t>
      </w:r>
      <m:oMath>
        <m:sSub>
          <m:sSubPr>
            <m:ctrlPr>
              <w:rPr>
                <w:rFonts w:ascii="Cambria Math" w:hAnsi="Cambria Math"/>
                <w:i/>
                <w:sz w:val="24"/>
              </w:rPr>
            </m:ctrlPr>
          </m:sSubPr>
          <m:e>
            <m:r>
              <w:rPr>
                <w:rFonts w:ascii="Cambria Math" w:hAnsi="Cambria Math" w:cs="Times New Roman"/>
                <w:sz w:val="24"/>
              </w:rPr>
              <m:t>ω</m:t>
            </m:r>
          </m:e>
          <m:sub>
            <m:r>
              <w:rPr>
                <w:rFonts w:ascii="Cambria Math" w:hAnsi="Cambria Math" w:cs="Times New Roman"/>
                <w:sz w:val="24"/>
              </w:rPr>
              <m:t>0</m:t>
            </m:r>
          </m:sub>
        </m:sSub>
        <m:r>
          <w:rPr>
            <w:rFonts w:ascii="Cambria Math" w:hAnsi="Cambria Math" w:cs="Times New Roman"/>
            <w:sz w:val="24"/>
          </w:rPr>
          <m:t xml:space="preserve">=5702.9 </m:t>
        </m:r>
        <m:r>
          <m:rPr>
            <m:sty m:val="p"/>
          </m:rPr>
          <w:rPr>
            <w:rFonts w:ascii="Cambria Math" w:hAnsi="Cambria Math" w:cs="Times New Roman"/>
            <w:sz w:val="24"/>
          </w:rPr>
          <m:t>Hz</m:t>
        </m:r>
      </m:oMath>
      <w:r>
        <w:rPr>
          <w:rFonts w:ascii="Times New Roman" w:hAnsi="Times New Roman" w:cs="Times New Roman"/>
          <w:sz w:val="24"/>
        </w:rPr>
        <w:t xml:space="preserve"> are consistently used in the tight-binding model.</w:t>
      </w:r>
    </w:p>
    <w:p w14:paraId="7C155D8E" w14:textId="77777777" w:rsidR="00AC22E2" w:rsidRDefault="00AC22E2" w:rsidP="00AC22E2">
      <w:pPr>
        <w:adjustRightInd w:val="0"/>
        <w:snapToGrid w:val="0"/>
        <w:spacing w:line="360" w:lineRule="auto"/>
        <w:rPr>
          <w:rFonts w:ascii="Times New Roman" w:hAnsi="Times New Roman" w:cs="Times New Roman"/>
          <w:sz w:val="24"/>
        </w:rPr>
      </w:pPr>
    </w:p>
    <w:p w14:paraId="5AB307A5" w14:textId="3011F60C" w:rsidR="00AC22E2" w:rsidRDefault="00AC22E2" w:rsidP="00AC22E2">
      <w:pPr>
        <w:spacing w:line="360" w:lineRule="auto"/>
        <w:jc w:val="center"/>
        <w:rPr>
          <w:rFonts w:ascii="Times New Roman" w:hAnsi="Times New Roman" w:cs="Times New Roman"/>
          <w:sz w:val="24"/>
        </w:rPr>
      </w:pPr>
      <w:r>
        <w:rPr>
          <w:noProof/>
        </w:rPr>
        <w:drawing>
          <wp:inline distT="0" distB="0" distL="0" distR="0" wp14:anchorId="2C3BDCB2" wp14:editId="26B2AFE0">
            <wp:extent cx="5019675" cy="4143375"/>
            <wp:effectExtent l="0" t="0" r="9525" b="9525"/>
            <wp:docPr id="4" name="Picture 4"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chart&#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19675" cy="4143375"/>
                    </a:xfrm>
                    <a:prstGeom prst="rect">
                      <a:avLst/>
                    </a:prstGeom>
                    <a:noFill/>
                    <a:ln>
                      <a:noFill/>
                    </a:ln>
                  </pic:spPr>
                </pic:pic>
              </a:graphicData>
            </a:graphic>
          </wp:inline>
        </w:drawing>
      </w:r>
    </w:p>
    <w:p w14:paraId="213936E9" w14:textId="77777777" w:rsidR="00AC22E2" w:rsidRDefault="00AC22E2" w:rsidP="00AC22E2">
      <w:pPr>
        <w:adjustRightInd w:val="0"/>
        <w:snapToGrid w:val="0"/>
        <w:spacing w:line="360" w:lineRule="auto"/>
        <w:rPr>
          <w:rFonts w:ascii="Times New Roman" w:hAnsi="Times New Roman" w:cs="Times New Roman"/>
          <w:sz w:val="24"/>
        </w:rPr>
      </w:pPr>
      <w:r>
        <w:rPr>
          <w:rFonts w:ascii="Times New Roman" w:hAnsi="Times New Roman" w:cs="Times New Roman"/>
          <w:b/>
          <w:bCs/>
          <w:sz w:val="24"/>
        </w:rPr>
        <w:t>Extended Data Fig. 3 | Experimental measurements of the bulk and edge spectra (exemplified fo</w:t>
      </w:r>
      <w:r>
        <w:rPr>
          <w:rFonts w:ascii="Times New Roman" w:hAnsi="Times New Roman" w:cs="Times New Roman"/>
          <w:b/>
          <w:sz w:val="24"/>
        </w:rPr>
        <w:t>r</w:t>
      </w:r>
      <w:r>
        <w:rPr>
          <w:rFonts w:ascii="Times New Roman" w:hAnsi="Times New Roman" w:cs="Times New Roman"/>
          <w:bCs/>
          <w:sz w:val="24"/>
        </w:rPr>
        <w:t xml:space="preserve"> </w:t>
      </w:r>
      <m:oMath>
        <m:r>
          <m:rPr>
            <m:sty m:val="bi"/>
          </m:rPr>
          <w:rPr>
            <w:rFonts w:ascii="Cambria Math" w:hAnsi="Cambria Math" w:cs="Times New Roman"/>
            <w:sz w:val="24"/>
          </w:rPr>
          <m:t>t=8</m:t>
        </m:r>
      </m:oMath>
      <w:r>
        <w:rPr>
          <w:rFonts w:ascii="Times New Roman" w:hAnsi="Times New Roman" w:cs="Times New Roman"/>
          <w:sz w:val="24"/>
        </w:rPr>
        <w:t>)</w:t>
      </w:r>
      <w:r>
        <w:rPr>
          <w:rFonts w:ascii="Times New Roman" w:hAnsi="Times New Roman" w:cs="Times New Roman"/>
          <w:b/>
          <w:bCs/>
          <w:sz w:val="24"/>
        </w:rPr>
        <w:t>. a</w:t>
      </w:r>
      <w:r>
        <w:rPr>
          <w:rFonts w:ascii="Times New Roman" w:hAnsi="Times New Roman" w:cs="Times New Roman"/>
          <w:sz w:val="24"/>
        </w:rPr>
        <w:t>,</w:t>
      </w:r>
      <w:r>
        <w:rPr>
          <w:rFonts w:ascii="Times New Roman" w:hAnsi="Times New Roman" w:cs="Times New Roman"/>
          <w:b/>
          <w:bCs/>
          <w:sz w:val="24"/>
        </w:rPr>
        <w:t xml:space="preserve"> </w:t>
      </w:r>
      <w:r>
        <w:rPr>
          <w:rFonts w:ascii="Times New Roman" w:hAnsi="Times New Roman" w:cs="Times New Roman"/>
          <w:sz w:val="24"/>
        </w:rPr>
        <w:t>Experimental setup for our bulk measurements.</w:t>
      </w:r>
      <w:r>
        <w:rPr>
          <w:rFonts w:ascii="Times New Roman" w:hAnsi="Times New Roman" w:cs="Times New Roman"/>
          <w:b/>
          <w:bCs/>
          <w:sz w:val="24"/>
        </w:rPr>
        <w:t xml:space="preserve"> </w:t>
      </w:r>
      <w:r>
        <w:rPr>
          <w:rFonts w:ascii="Times New Roman" w:hAnsi="Times New Roman" w:cs="Times New Roman"/>
          <w:sz w:val="24"/>
        </w:rPr>
        <w:t xml:space="preserve">The sound source is positioned in the middle </w:t>
      </w:r>
      <w:proofErr w:type="spellStart"/>
      <w:r>
        <w:rPr>
          <w:rFonts w:ascii="Times New Roman" w:hAnsi="Times New Roman" w:cs="Times New Roman"/>
          <w:sz w:val="24"/>
        </w:rPr>
        <w:t>unitcell</w:t>
      </w:r>
      <w:proofErr w:type="spellEnd"/>
      <w:r>
        <w:rPr>
          <w:rFonts w:ascii="Times New Roman" w:hAnsi="Times New Roman" w:cs="Times New Roman"/>
          <w:sz w:val="24"/>
        </w:rPr>
        <w:t xml:space="preserve"> of the sample, together with a microphone fixed in the same cavity for the phase reference. The pressure distribution over the sample is scanned by a needle microphone. Small holes are perforated on the desired cavities for inserting the sound source and detector, which are sealed when not in use. </w:t>
      </w:r>
      <w:proofErr w:type="spellStart"/>
      <w:proofErr w:type="gramStart"/>
      <w:r>
        <w:rPr>
          <w:rFonts w:ascii="Times New Roman" w:hAnsi="Times New Roman" w:cs="Times New Roman"/>
          <w:b/>
          <w:bCs/>
          <w:sz w:val="24"/>
        </w:rPr>
        <w:t>b</w:t>
      </w:r>
      <w:r>
        <w:rPr>
          <w:rFonts w:ascii="Times New Roman" w:hAnsi="Times New Roman" w:cs="Times New Roman"/>
          <w:sz w:val="24"/>
        </w:rPr>
        <w:t>,</w:t>
      </w:r>
      <w:r>
        <w:rPr>
          <w:rFonts w:ascii="Times New Roman" w:hAnsi="Times New Roman" w:cs="Times New Roman"/>
          <w:b/>
          <w:bCs/>
          <w:sz w:val="24"/>
        </w:rPr>
        <w:t>c</w:t>
      </w:r>
      <w:proofErr w:type="spellEnd"/>
      <w:proofErr w:type="gramEnd"/>
      <w:r>
        <w:rPr>
          <w:rFonts w:ascii="Times New Roman" w:hAnsi="Times New Roman" w:cs="Times New Roman"/>
          <w:sz w:val="24"/>
        </w:rPr>
        <w:t xml:space="preserve">, Pressure distributions measured independently for the cavities 1 and 2. </w:t>
      </w:r>
      <w:proofErr w:type="spellStart"/>
      <w:r>
        <w:rPr>
          <w:rFonts w:ascii="Times New Roman" w:hAnsi="Times New Roman" w:cs="Times New Roman"/>
          <w:b/>
          <w:bCs/>
          <w:sz w:val="24"/>
        </w:rPr>
        <w:t>d</w:t>
      </w:r>
      <w:r>
        <w:rPr>
          <w:rFonts w:ascii="Times New Roman" w:hAnsi="Times New Roman" w:cs="Times New Roman"/>
          <w:sz w:val="24"/>
        </w:rPr>
        <w:t>,</w:t>
      </w:r>
      <w:r>
        <w:rPr>
          <w:rFonts w:ascii="Times New Roman" w:hAnsi="Times New Roman" w:cs="Times New Roman"/>
          <w:b/>
          <w:bCs/>
          <w:sz w:val="24"/>
        </w:rPr>
        <w:t>e</w:t>
      </w:r>
      <w:proofErr w:type="spellEnd"/>
      <w:r>
        <w:rPr>
          <w:rFonts w:ascii="Times New Roman" w:hAnsi="Times New Roman" w:cs="Times New Roman"/>
          <w:sz w:val="24"/>
        </w:rPr>
        <w:t xml:space="preserve">, The corresponding bulk spectra (color scale) plotted along the HSLs of the square BZ, obtained by performing 2D Fourier transforms to the above real-space measurements. </w:t>
      </w:r>
      <w:r>
        <w:rPr>
          <w:rFonts w:ascii="Times New Roman" w:hAnsi="Times New Roman" w:cs="Times New Roman"/>
          <w:b/>
          <w:bCs/>
          <w:sz w:val="24"/>
        </w:rPr>
        <w:t>f</w:t>
      </w:r>
      <w:r>
        <w:rPr>
          <w:rFonts w:ascii="Times New Roman" w:hAnsi="Times New Roman" w:cs="Times New Roman"/>
          <w:sz w:val="24"/>
        </w:rPr>
        <w:t>,</w:t>
      </w:r>
      <w:r>
        <w:rPr>
          <w:rFonts w:ascii="Times New Roman" w:hAnsi="Times New Roman" w:cs="Times New Roman"/>
          <w:b/>
          <w:bCs/>
          <w:sz w:val="24"/>
        </w:rPr>
        <w:t xml:space="preserve"> </w:t>
      </w:r>
      <w:r>
        <w:rPr>
          <w:rFonts w:ascii="Times New Roman" w:hAnsi="Times New Roman" w:cs="Times New Roman"/>
          <w:sz w:val="24"/>
        </w:rPr>
        <w:t>Combination of the two</w:t>
      </w:r>
      <w:r>
        <w:rPr>
          <w:rFonts w:ascii="Times New Roman" w:hAnsi="Times New Roman" w:cs="Times New Roman"/>
          <w:b/>
          <w:bCs/>
          <w:sz w:val="24"/>
        </w:rPr>
        <w:t xml:space="preserve"> </w:t>
      </w:r>
      <w:r>
        <w:rPr>
          <w:rFonts w:ascii="Times New Roman" w:hAnsi="Times New Roman" w:cs="Times New Roman"/>
          <w:sz w:val="24"/>
        </w:rPr>
        <w:t xml:space="preserve">independent measurements. The bright color </w:t>
      </w:r>
      <w:proofErr w:type="gramStart"/>
      <w:r>
        <w:rPr>
          <w:rFonts w:ascii="Times New Roman" w:hAnsi="Times New Roman" w:cs="Times New Roman"/>
          <w:sz w:val="24"/>
        </w:rPr>
        <w:t>reproduces perfectly</w:t>
      </w:r>
      <w:proofErr w:type="gramEnd"/>
      <w:r>
        <w:rPr>
          <w:rFonts w:ascii="Times New Roman" w:hAnsi="Times New Roman" w:cs="Times New Roman"/>
          <w:sz w:val="24"/>
        </w:rPr>
        <w:t xml:space="preserve"> the numerical dispersion curves (white dashed lines). </w:t>
      </w:r>
      <w:r>
        <w:rPr>
          <w:rFonts w:ascii="Times New Roman" w:hAnsi="Times New Roman" w:cs="Times New Roman"/>
          <w:b/>
          <w:bCs/>
          <w:sz w:val="24"/>
        </w:rPr>
        <w:t>g-</w:t>
      </w:r>
      <w:proofErr w:type="spellStart"/>
      <w:r>
        <w:rPr>
          <w:rFonts w:ascii="Times New Roman" w:hAnsi="Times New Roman" w:cs="Times New Roman"/>
          <w:b/>
          <w:bCs/>
          <w:sz w:val="24"/>
        </w:rPr>
        <w:t>i</w:t>
      </w:r>
      <w:proofErr w:type="spellEnd"/>
      <w:r>
        <w:rPr>
          <w:rFonts w:ascii="Times New Roman" w:hAnsi="Times New Roman" w:cs="Times New Roman"/>
          <w:sz w:val="24"/>
        </w:rPr>
        <w:t>,</w:t>
      </w:r>
      <w:r>
        <w:rPr>
          <w:rFonts w:ascii="Times New Roman" w:hAnsi="Times New Roman" w:cs="Times New Roman"/>
          <w:b/>
          <w:bCs/>
          <w:sz w:val="24"/>
        </w:rPr>
        <w:t xml:space="preserve"> </w:t>
      </w:r>
      <w:proofErr w:type="gramStart"/>
      <w:r>
        <w:rPr>
          <w:rFonts w:ascii="Times New Roman" w:hAnsi="Times New Roman" w:cs="Times New Roman"/>
          <w:sz w:val="24"/>
        </w:rPr>
        <w:t>Similar to</w:t>
      </w:r>
      <w:proofErr w:type="gramEnd"/>
      <w:r>
        <w:rPr>
          <w:rFonts w:ascii="Times New Roman" w:hAnsi="Times New Roman" w:cs="Times New Roman"/>
          <w:sz w:val="24"/>
        </w:rPr>
        <w:t xml:space="preserve"> </w:t>
      </w:r>
      <w:r>
        <w:rPr>
          <w:rFonts w:ascii="Times New Roman" w:hAnsi="Times New Roman" w:cs="Times New Roman"/>
          <w:b/>
          <w:bCs/>
          <w:sz w:val="24"/>
        </w:rPr>
        <w:t>d-f</w:t>
      </w:r>
      <w:r>
        <w:rPr>
          <w:rFonts w:ascii="Times New Roman" w:hAnsi="Times New Roman" w:cs="Times New Roman"/>
          <w:sz w:val="24"/>
        </w:rPr>
        <w:t xml:space="preserve">, but for the edge spectra, where the sound source and the reference microphone are relocated in the middle </w:t>
      </w:r>
      <w:proofErr w:type="spellStart"/>
      <w:r>
        <w:rPr>
          <w:rFonts w:ascii="Times New Roman" w:hAnsi="Times New Roman" w:cs="Times New Roman"/>
          <w:sz w:val="24"/>
        </w:rPr>
        <w:t>unitcell</w:t>
      </w:r>
      <w:proofErr w:type="spellEnd"/>
      <w:r>
        <w:rPr>
          <w:rFonts w:ascii="Times New Roman" w:hAnsi="Times New Roman" w:cs="Times New Roman"/>
          <w:sz w:val="24"/>
        </w:rPr>
        <w:t xml:space="preserve"> of the lower sample edge.</w:t>
      </w:r>
      <w:r>
        <w:rPr>
          <w:rFonts w:ascii="Times New Roman" w:hAnsi="Times New Roman" w:cs="Times New Roman"/>
          <w:sz w:val="24"/>
        </w:rPr>
        <w:br w:type="page"/>
      </w:r>
    </w:p>
    <w:p w14:paraId="2AFC46B0" w14:textId="77777777" w:rsidR="00AC22E2" w:rsidRDefault="00AC22E2" w:rsidP="00AC22E2">
      <w:pPr>
        <w:adjustRightInd w:val="0"/>
        <w:snapToGrid w:val="0"/>
        <w:spacing w:line="360" w:lineRule="auto"/>
        <w:rPr>
          <w:rFonts w:ascii="Times New Roman" w:hAnsi="Times New Roman" w:cs="Times New Roman"/>
          <w:sz w:val="24"/>
        </w:rPr>
      </w:pPr>
    </w:p>
    <w:p w14:paraId="2B3090B3" w14:textId="785363BA" w:rsidR="00AC22E2" w:rsidRDefault="00AC22E2" w:rsidP="00AC22E2">
      <w:pPr>
        <w:spacing w:line="360" w:lineRule="auto"/>
        <w:jc w:val="center"/>
        <w:rPr>
          <w:rFonts w:ascii="Times New Roman" w:hAnsi="Times New Roman" w:cs="Times New Roman"/>
          <w:sz w:val="24"/>
        </w:rPr>
      </w:pPr>
      <w:r>
        <w:rPr>
          <w:noProof/>
        </w:rPr>
        <w:drawing>
          <wp:inline distT="0" distB="0" distL="0" distR="0" wp14:anchorId="0F8E75F4" wp14:editId="04ACE82B">
            <wp:extent cx="4924425" cy="1552575"/>
            <wp:effectExtent l="0" t="0" r="9525" b="9525"/>
            <wp:docPr id="3" name="Picture 3"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graphical user interface&#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924425" cy="1552575"/>
                    </a:xfrm>
                    <a:prstGeom prst="rect">
                      <a:avLst/>
                    </a:prstGeom>
                    <a:noFill/>
                    <a:ln>
                      <a:noFill/>
                    </a:ln>
                  </pic:spPr>
                </pic:pic>
              </a:graphicData>
            </a:graphic>
          </wp:inline>
        </w:drawing>
      </w:r>
    </w:p>
    <w:p w14:paraId="012BF6CD" w14:textId="77777777" w:rsidR="00AC22E2" w:rsidRDefault="00AC22E2" w:rsidP="00AC22E2">
      <w:pPr>
        <w:adjustRightInd w:val="0"/>
        <w:snapToGrid w:val="0"/>
        <w:spacing w:line="360" w:lineRule="auto"/>
        <w:rPr>
          <w:rFonts w:ascii="Times New Roman" w:hAnsi="Times New Roman" w:cs="Times New Roman"/>
          <w:sz w:val="24"/>
        </w:rPr>
      </w:pPr>
      <w:r>
        <w:rPr>
          <w:rFonts w:ascii="Times New Roman" w:hAnsi="Times New Roman" w:cs="Times New Roman"/>
          <w:b/>
          <w:bCs/>
          <w:sz w:val="24"/>
        </w:rPr>
        <w:t xml:space="preserve">Extended Data Fig. 4 | Experimental characterization of the bilinear nodes (exemplified with </w:t>
      </w:r>
      <m:oMath>
        <m:r>
          <m:rPr>
            <m:sty m:val="bi"/>
          </m:rPr>
          <w:rPr>
            <w:rFonts w:ascii="Cambria Math" w:hAnsi="Cambria Math" w:cs="Times New Roman"/>
            <w:sz w:val="24"/>
          </w:rPr>
          <m:t>t=2</m:t>
        </m:r>
      </m:oMath>
      <w:r>
        <w:rPr>
          <w:rFonts w:ascii="Times New Roman" w:hAnsi="Times New Roman" w:cs="Times New Roman"/>
          <w:b/>
          <w:bCs/>
          <w:sz w:val="24"/>
        </w:rPr>
        <w:t xml:space="preserve">). </w:t>
      </w:r>
      <w:proofErr w:type="gramStart"/>
      <w:r>
        <w:rPr>
          <w:rFonts w:ascii="Times New Roman" w:hAnsi="Times New Roman" w:cs="Times New Roman"/>
          <w:b/>
          <w:bCs/>
          <w:sz w:val="24"/>
        </w:rPr>
        <w:t>a</w:t>
      </w:r>
      <w:r>
        <w:rPr>
          <w:rFonts w:ascii="Times New Roman" w:hAnsi="Times New Roman" w:cs="Times New Roman"/>
          <w:sz w:val="24"/>
        </w:rPr>
        <w:t>,</w:t>
      </w:r>
      <w:proofErr w:type="gramEnd"/>
      <w:r>
        <w:rPr>
          <w:rFonts w:ascii="Times New Roman" w:hAnsi="Times New Roman" w:cs="Times New Roman"/>
          <w:sz w:val="24"/>
        </w:rPr>
        <w:t xml:space="preserve"> Momentum paths (green solid lines) selected for plotting the dispersion curves that connect two band nodes at general HSL momenta. </w:t>
      </w:r>
      <w:r>
        <w:rPr>
          <w:rFonts w:ascii="Times New Roman" w:hAnsi="Times New Roman" w:cs="Times New Roman"/>
          <w:b/>
          <w:bCs/>
          <w:sz w:val="24"/>
        </w:rPr>
        <w:t>b</w:t>
      </w:r>
      <w:r>
        <w:rPr>
          <w:rFonts w:ascii="Times New Roman" w:hAnsi="Times New Roman" w:cs="Times New Roman"/>
          <w:sz w:val="24"/>
        </w:rPr>
        <w:t xml:space="preserve">, </w:t>
      </w:r>
      <w:proofErr w:type="gramStart"/>
      <w:r>
        <w:rPr>
          <w:rFonts w:ascii="Times New Roman" w:hAnsi="Times New Roman" w:cs="Times New Roman"/>
          <w:sz w:val="24"/>
        </w:rPr>
        <w:t>Measured</w:t>
      </w:r>
      <w:proofErr w:type="gramEnd"/>
      <w:r>
        <w:rPr>
          <w:rFonts w:ascii="Times New Roman" w:hAnsi="Times New Roman" w:cs="Times New Roman"/>
          <w:sz w:val="24"/>
        </w:rPr>
        <w:t xml:space="preserve"> (bright color) and simulated (white dashed lines) bulk band structures along the momentum paths crossing at the gap-I nodes </w:t>
      </w:r>
      <m:oMath>
        <m:r>
          <m:rPr>
            <m:sty m:val="p"/>
          </m:rPr>
          <w:rPr>
            <w:rFonts w:ascii="Cambria Math" w:hAnsi="Cambria Math" w:cs="Times New Roman"/>
            <w:sz w:val="24"/>
          </w:rPr>
          <m:t>A</m:t>
        </m:r>
      </m:oMath>
      <w:r>
        <w:rPr>
          <w:rFonts w:ascii="Times New Roman" w:hAnsi="Times New Roman" w:cs="Times New Roman"/>
          <w:sz w:val="24"/>
        </w:rPr>
        <w:t xml:space="preserve"> and </w:t>
      </w:r>
      <m:oMath>
        <m:r>
          <m:rPr>
            <m:sty m:val="p"/>
          </m:rPr>
          <w:rPr>
            <w:rFonts w:ascii="Cambria Math" w:hAnsi="Cambria Math" w:cs="Times New Roman"/>
            <w:sz w:val="24"/>
          </w:rPr>
          <m:t>A'</m:t>
        </m:r>
      </m:oMath>
      <w:r>
        <w:rPr>
          <w:rFonts w:ascii="Times New Roman" w:hAnsi="Times New Roman" w:cs="Times New Roman"/>
          <w:sz w:val="24"/>
        </w:rPr>
        <w:t>, which together exhibit clearly bilinear behavior around the two nontrivial nodes.</w:t>
      </w:r>
    </w:p>
    <w:p w14:paraId="0EA7CCCD" w14:textId="77777777" w:rsidR="00AC22E2" w:rsidRDefault="00AC22E2" w:rsidP="00AC22E2">
      <w:pPr>
        <w:adjustRightInd w:val="0"/>
        <w:snapToGrid w:val="0"/>
        <w:spacing w:line="360" w:lineRule="auto"/>
        <w:rPr>
          <w:rFonts w:ascii="Times New Roman" w:hAnsi="Times New Roman" w:cs="Times New Roman"/>
          <w:sz w:val="24"/>
        </w:rPr>
      </w:pPr>
    </w:p>
    <w:p w14:paraId="56687C09" w14:textId="732B2885" w:rsidR="00AC22E2" w:rsidRDefault="00AC22E2" w:rsidP="00AC22E2">
      <w:pPr>
        <w:spacing w:line="360" w:lineRule="auto"/>
        <w:rPr>
          <w:rFonts w:ascii="Times New Roman" w:hAnsi="Times New Roman" w:cs="Times New Roman"/>
          <w:sz w:val="24"/>
        </w:rPr>
      </w:pPr>
      <w:r>
        <w:rPr>
          <w:noProof/>
        </w:rPr>
        <w:lastRenderedPageBreak/>
        <w:drawing>
          <wp:inline distT="0" distB="0" distL="0" distR="0" wp14:anchorId="674FCA96" wp14:editId="44D3247A">
            <wp:extent cx="5924550" cy="5210175"/>
            <wp:effectExtent l="0" t="0" r="0" b="9525"/>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24550" cy="5210175"/>
                    </a:xfrm>
                    <a:prstGeom prst="rect">
                      <a:avLst/>
                    </a:prstGeom>
                    <a:noFill/>
                    <a:ln>
                      <a:noFill/>
                    </a:ln>
                  </pic:spPr>
                </pic:pic>
              </a:graphicData>
            </a:graphic>
          </wp:inline>
        </w:drawing>
      </w:r>
    </w:p>
    <w:p w14:paraId="016B4705" w14:textId="77777777" w:rsidR="00AC22E2" w:rsidRDefault="00AC22E2" w:rsidP="00AC22E2">
      <w:pPr>
        <w:adjustRightInd w:val="0"/>
        <w:snapToGrid w:val="0"/>
        <w:spacing w:line="360" w:lineRule="auto"/>
        <w:rPr>
          <w:rFonts w:ascii="Times New Roman" w:hAnsi="Times New Roman" w:cs="Times New Roman"/>
          <w:sz w:val="24"/>
        </w:rPr>
      </w:pPr>
      <w:r>
        <w:rPr>
          <w:rFonts w:ascii="Times New Roman" w:hAnsi="Times New Roman" w:cs="Times New Roman"/>
          <w:b/>
          <w:bCs/>
          <w:sz w:val="24"/>
        </w:rPr>
        <w:t xml:space="preserve">Extended Data Fig. 5 | Characterizing the HSP wavefunctions and their mirror symmetries. </w:t>
      </w:r>
      <w:r>
        <w:rPr>
          <w:rFonts w:ascii="Times New Roman" w:hAnsi="Times New Roman" w:cs="Times New Roman"/>
          <w:sz w:val="24"/>
        </w:rPr>
        <w:t>The</w:t>
      </w:r>
      <w:r>
        <w:rPr>
          <w:rFonts w:ascii="Times New Roman" w:hAnsi="Times New Roman" w:cs="Times New Roman"/>
          <w:b/>
          <w:bCs/>
          <w:sz w:val="24"/>
        </w:rPr>
        <w:t xml:space="preserve"> </w:t>
      </w:r>
      <w:r>
        <w:rPr>
          <w:rFonts w:ascii="Times New Roman" w:hAnsi="Times New Roman" w:cs="Times New Roman"/>
          <w:sz w:val="24"/>
        </w:rPr>
        <w:t>experimental data in</w:t>
      </w:r>
      <w:r>
        <w:rPr>
          <w:rFonts w:ascii="Times New Roman" w:hAnsi="Times New Roman" w:cs="Times New Roman"/>
          <w:b/>
          <w:bCs/>
          <w:sz w:val="24"/>
        </w:rPr>
        <w:t xml:space="preserve"> a</w:t>
      </w:r>
      <w:r>
        <w:rPr>
          <w:rFonts w:ascii="Times New Roman" w:hAnsi="Times New Roman" w:cs="Times New Roman"/>
          <w:sz w:val="24"/>
        </w:rPr>
        <w:t>-</w:t>
      </w:r>
      <w:r>
        <w:rPr>
          <w:rFonts w:ascii="Times New Roman" w:hAnsi="Times New Roman" w:cs="Times New Roman"/>
          <w:b/>
          <w:bCs/>
          <w:sz w:val="24"/>
        </w:rPr>
        <w:t>c</w:t>
      </w:r>
      <w:r>
        <w:rPr>
          <w:rFonts w:ascii="Times New Roman" w:hAnsi="Times New Roman" w:cs="Times New Roman"/>
          <w:sz w:val="24"/>
        </w:rPr>
        <w:t xml:space="preserve"> correspond to three representative moments. </w:t>
      </w:r>
      <w:r>
        <w:rPr>
          <w:rFonts w:ascii="Times New Roman" w:hAnsi="Times New Roman" w:cs="Times New Roman"/>
          <w:b/>
          <w:bCs/>
          <w:sz w:val="24"/>
        </w:rPr>
        <w:t>a</w:t>
      </w:r>
      <w:r>
        <w:rPr>
          <w:rFonts w:ascii="Times New Roman" w:hAnsi="Times New Roman" w:cs="Times New Roman"/>
          <w:b/>
          <w:bCs/>
          <w:sz w:val="24"/>
          <w:vertAlign w:val="subscript"/>
        </w:rPr>
        <w:t>1</w:t>
      </w:r>
      <w:r>
        <w:rPr>
          <w:rFonts w:ascii="Times New Roman" w:hAnsi="Times New Roman" w:cs="Times New Roman"/>
          <w:sz w:val="24"/>
        </w:rPr>
        <w:t>-</w:t>
      </w:r>
      <w:r>
        <w:rPr>
          <w:rFonts w:ascii="Times New Roman" w:hAnsi="Times New Roman" w:cs="Times New Roman"/>
          <w:b/>
          <w:bCs/>
          <w:sz w:val="24"/>
        </w:rPr>
        <w:t>c</w:t>
      </w:r>
      <w:r>
        <w:rPr>
          <w:rFonts w:ascii="Times New Roman" w:hAnsi="Times New Roman" w:cs="Times New Roman"/>
          <w:b/>
          <w:bCs/>
          <w:sz w:val="24"/>
          <w:vertAlign w:val="subscript"/>
        </w:rPr>
        <w:t>1</w:t>
      </w:r>
      <w:r>
        <w:rPr>
          <w:rFonts w:ascii="Times New Roman" w:hAnsi="Times New Roman" w:cs="Times New Roman"/>
          <w:sz w:val="24"/>
        </w:rPr>
        <w:t>,</w:t>
      </w:r>
      <w:r>
        <w:rPr>
          <w:rFonts w:ascii="Times New Roman" w:hAnsi="Times New Roman" w:cs="Times New Roman"/>
          <w:b/>
          <w:bCs/>
          <w:sz w:val="24"/>
        </w:rPr>
        <w:t xml:space="preserve"> </w:t>
      </w:r>
      <w:r>
        <w:rPr>
          <w:rFonts w:ascii="Times New Roman" w:hAnsi="Times New Roman" w:cs="Times New Roman"/>
          <w:sz w:val="24"/>
        </w:rPr>
        <w:t xml:space="preserve">Fourier intensity spectra extracted for the HSPs </w:t>
      </w:r>
      <m:oMath>
        <m:r>
          <m:rPr>
            <m:sty m:val="p"/>
          </m:rPr>
          <w:rPr>
            <w:rFonts w:ascii="Cambria Math" w:hAnsi="Cambria Math" w:cs="Times New Roman"/>
            <w:sz w:val="24"/>
          </w:rPr>
          <m:t>Γ</m:t>
        </m:r>
      </m:oMath>
      <w:r>
        <w:rPr>
          <w:rFonts w:ascii="Times New Roman" w:hAnsi="Times New Roman" w:cs="Times New Roman"/>
          <w:sz w:val="24"/>
        </w:rPr>
        <w:t xml:space="preserve"> and </w:t>
      </w:r>
      <m:oMath>
        <m:r>
          <m:rPr>
            <m:sty m:val="p"/>
          </m:rPr>
          <w:rPr>
            <w:rFonts w:ascii="Cambria Math" w:hAnsi="Cambria Math" w:cs="Times New Roman"/>
            <w:sz w:val="24"/>
          </w:rPr>
          <m:t>M</m:t>
        </m:r>
      </m:oMath>
      <w:r>
        <w:rPr>
          <w:rFonts w:ascii="Times New Roman" w:hAnsi="Times New Roman" w:cs="Times New Roman"/>
          <w:sz w:val="24"/>
        </w:rPr>
        <w:t xml:space="preserve">, which are peaked precisely at the predicted eigenfrequencies (vertical dashed lines). The intensity peaks of the orbitals 2 and 3 (aligned because of the mirror symmetry </w:t>
      </w:r>
      <m:oMath>
        <m:sSub>
          <m:sSubPr>
            <m:ctrlPr>
              <w:rPr>
                <w:rFonts w:ascii="Cambria Math" w:hAnsi="Cambria Math"/>
                <w:i/>
                <w:sz w:val="24"/>
              </w:rPr>
            </m:ctrlPr>
          </m:sSubPr>
          <m:e>
            <m:r>
              <m:rPr>
                <m:scr m:val="script"/>
              </m:rPr>
              <w:rPr>
                <w:rFonts w:ascii="Cambria Math" w:hAnsi="Cambria Math" w:cs="Times New Roman"/>
                <w:sz w:val="24"/>
              </w:rPr>
              <m:t>M</m:t>
            </m:r>
          </m:e>
          <m:sub>
            <m:r>
              <w:rPr>
                <w:rFonts w:ascii="Cambria Math" w:hAnsi="Cambria Math" w:cs="Times New Roman"/>
                <w:sz w:val="24"/>
              </w:rPr>
              <m:t>11</m:t>
            </m:r>
          </m:sub>
        </m:sSub>
      </m:oMath>
      <w:r>
        <w:rPr>
          <w:rFonts w:ascii="Times New Roman" w:hAnsi="Times New Roman" w:cs="Times New Roman"/>
          <w:sz w:val="24"/>
        </w:rPr>
        <w:t>) are misaligned with th</w:t>
      </w:r>
      <w:proofErr w:type="spellStart"/>
      <w:r>
        <w:rPr>
          <w:rFonts w:ascii="Times New Roman" w:hAnsi="Times New Roman" w:cs="Times New Roman"/>
          <w:sz w:val="24"/>
        </w:rPr>
        <w:t>ose</w:t>
      </w:r>
      <w:proofErr w:type="spellEnd"/>
      <w:r>
        <w:rPr>
          <w:rFonts w:ascii="Times New Roman" w:hAnsi="Times New Roman" w:cs="Times New Roman"/>
          <w:sz w:val="24"/>
        </w:rPr>
        <w:t xml:space="preserve"> of the orbital 1, which unveils the polarization nature of the HSP states. </w:t>
      </w:r>
      <w:r>
        <w:rPr>
          <w:rFonts w:ascii="Times New Roman" w:hAnsi="Times New Roman" w:cs="Times New Roman"/>
          <w:b/>
          <w:bCs/>
          <w:sz w:val="24"/>
        </w:rPr>
        <w:t>a</w:t>
      </w:r>
      <w:r>
        <w:rPr>
          <w:rFonts w:ascii="Times New Roman" w:hAnsi="Times New Roman" w:cs="Times New Roman"/>
          <w:b/>
          <w:bCs/>
          <w:sz w:val="24"/>
          <w:vertAlign w:val="subscript"/>
        </w:rPr>
        <w:t>2</w:t>
      </w:r>
      <w:r>
        <w:rPr>
          <w:rFonts w:ascii="Times New Roman" w:hAnsi="Times New Roman" w:cs="Times New Roman"/>
          <w:sz w:val="24"/>
        </w:rPr>
        <w:t>-</w:t>
      </w:r>
      <w:r>
        <w:rPr>
          <w:rFonts w:ascii="Times New Roman" w:hAnsi="Times New Roman" w:cs="Times New Roman"/>
          <w:b/>
          <w:bCs/>
          <w:sz w:val="24"/>
        </w:rPr>
        <w:t>c</w:t>
      </w:r>
      <w:r>
        <w:rPr>
          <w:rFonts w:ascii="Times New Roman" w:hAnsi="Times New Roman" w:cs="Times New Roman"/>
          <w:b/>
          <w:bCs/>
          <w:sz w:val="24"/>
          <w:vertAlign w:val="subscript"/>
        </w:rPr>
        <w:t>2</w:t>
      </w:r>
      <w:r>
        <w:rPr>
          <w:rFonts w:ascii="Times New Roman" w:hAnsi="Times New Roman" w:cs="Times New Roman"/>
          <w:sz w:val="24"/>
        </w:rPr>
        <w:t xml:space="preserve">, The corresponding phase spectra. </w:t>
      </w:r>
      <w:r>
        <w:rPr>
          <w:rFonts w:ascii="Times New Roman" w:hAnsi="Times New Roman" w:cs="Times New Roman"/>
          <w:b/>
          <w:bCs/>
          <w:sz w:val="24"/>
        </w:rPr>
        <w:t>a</w:t>
      </w:r>
      <w:r>
        <w:rPr>
          <w:rFonts w:ascii="Times New Roman" w:hAnsi="Times New Roman" w:cs="Times New Roman"/>
          <w:b/>
          <w:bCs/>
          <w:sz w:val="24"/>
          <w:vertAlign w:val="subscript"/>
        </w:rPr>
        <w:t>3</w:t>
      </w:r>
      <w:r>
        <w:rPr>
          <w:rFonts w:ascii="Times New Roman" w:hAnsi="Times New Roman" w:cs="Times New Roman"/>
          <w:sz w:val="24"/>
        </w:rPr>
        <w:t>-</w:t>
      </w:r>
      <w:r>
        <w:rPr>
          <w:rFonts w:ascii="Times New Roman" w:hAnsi="Times New Roman" w:cs="Times New Roman"/>
          <w:b/>
          <w:bCs/>
          <w:sz w:val="24"/>
        </w:rPr>
        <w:t>c</w:t>
      </w:r>
      <w:r>
        <w:rPr>
          <w:rFonts w:ascii="Times New Roman" w:hAnsi="Times New Roman" w:cs="Times New Roman"/>
          <w:b/>
          <w:bCs/>
          <w:sz w:val="24"/>
          <w:vertAlign w:val="subscript"/>
        </w:rPr>
        <w:t>3</w:t>
      </w:r>
      <w:r>
        <w:rPr>
          <w:rFonts w:ascii="Times New Roman" w:hAnsi="Times New Roman" w:cs="Times New Roman"/>
          <w:sz w:val="24"/>
        </w:rPr>
        <w:t xml:space="preserve">, Expectation value spectra of the mirror operators </w:t>
      </w:r>
      <m:oMath>
        <m:sSub>
          <m:sSubPr>
            <m:ctrlPr>
              <w:rPr>
                <w:rFonts w:ascii="Cambria Math" w:hAnsi="Cambria Math"/>
                <w:i/>
                <w:sz w:val="24"/>
              </w:rPr>
            </m:ctrlPr>
          </m:sSubPr>
          <m:e>
            <m:r>
              <m:rPr>
                <m:scr m:val="script"/>
              </m:rPr>
              <w:rPr>
                <w:rFonts w:ascii="Cambria Math" w:hAnsi="Cambria Math" w:cs="Times New Roman"/>
                <w:sz w:val="24"/>
              </w:rPr>
              <m:t>M</m:t>
            </m:r>
          </m:e>
          <m:sub>
            <m:r>
              <w:rPr>
                <w:rFonts w:ascii="Cambria Math" w:hAnsi="Cambria Math" w:cs="Times New Roman"/>
                <w:sz w:val="24"/>
              </w:rPr>
              <m:t>1</m:t>
            </m:r>
            <m:acc>
              <m:accPr>
                <m:chr m:val="̅"/>
                <m:ctrlPr>
                  <w:rPr>
                    <w:rFonts w:ascii="Cambria Math" w:hAnsi="Cambria Math"/>
                    <w:i/>
                    <w:sz w:val="24"/>
                  </w:rPr>
                </m:ctrlPr>
              </m:accPr>
              <m:e>
                <m:r>
                  <w:rPr>
                    <w:rFonts w:ascii="Cambria Math" w:hAnsi="Cambria Math" w:cs="Times New Roman"/>
                    <w:sz w:val="24"/>
                  </w:rPr>
                  <m:t>1</m:t>
                </m:r>
              </m:e>
            </m:acc>
          </m:sub>
        </m:sSub>
      </m:oMath>
      <w:r>
        <w:rPr>
          <w:rFonts w:ascii="Times New Roman" w:hAnsi="Times New Roman" w:cs="Times New Roman"/>
          <w:sz w:val="24"/>
        </w:rPr>
        <w:t xml:space="preserve"> and </w:t>
      </w:r>
      <m:oMath>
        <m:sSub>
          <m:sSubPr>
            <m:ctrlPr>
              <w:rPr>
                <w:rFonts w:ascii="Cambria Math" w:hAnsi="Cambria Math"/>
                <w:i/>
                <w:sz w:val="24"/>
              </w:rPr>
            </m:ctrlPr>
          </m:sSubPr>
          <m:e>
            <m:r>
              <m:rPr>
                <m:scr m:val="script"/>
              </m:rPr>
              <w:rPr>
                <w:rFonts w:ascii="Cambria Math" w:hAnsi="Cambria Math" w:cs="Times New Roman"/>
                <w:sz w:val="24"/>
              </w:rPr>
              <m:t>M</m:t>
            </m:r>
          </m:e>
          <m:sub>
            <m:r>
              <w:rPr>
                <w:rFonts w:ascii="Cambria Math" w:hAnsi="Cambria Math" w:cs="Times New Roman"/>
                <w:sz w:val="24"/>
              </w:rPr>
              <m:t>11</m:t>
            </m:r>
          </m:sub>
        </m:sSub>
      </m:oMath>
      <w:r>
        <w:rPr>
          <w:rFonts w:ascii="Times New Roman" w:hAnsi="Times New Roman" w:cs="Times New Roman"/>
          <w:sz w:val="24"/>
        </w:rPr>
        <w:t xml:space="preserve"> measured for the wavefunctions at </w:t>
      </w:r>
      <m:oMath>
        <m:r>
          <m:rPr>
            <m:sty m:val="p"/>
          </m:rPr>
          <w:rPr>
            <w:rFonts w:ascii="Cambria Math" w:hAnsi="Cambria Math" w:cs="Times New Roman"/>
            <w:sz w:val="24"/>
          </w:rPr>
          <m:t>Γ</m:t>
        </m:r>
      </m:oMath>
      <w:r>
        <w:rPr>
          <w:rFonts w:ascii="Times New Roman" w:hAnsi="Times New Roman" w:cs="Times New Roman"/>
          <w:sz w:val="24"/>
        </w:rPr>
        <w:t xml:space="preserve"> and </w:t>
      </w:r>
      <m:oMath>
        <m:r>
          <m:rPr>
            <m:sty m:val="p"/>
          </m:rPr>
          <w:rPr>
            <w:rFonts w:ascii="Cambria Math" w:hAnsi="Cambria Math" w:cs="Times New Roman"/>
            <w:sz w:val="24"/>
          </w:rPr>
          <m:t>M</m:t>
        </m:r>
      </m:oMath>
      <w:r>
        <w:rPr>
          <w:rFonts w:ascii="Times New Roman" w:hAnsi="Times New Roman" w:cs="Times New Roman"/>
          <w:sz w:val="24"/>
        </w:rPr>
        <w:t>. The mirror expectation va</w:t>
      </w:r>
      <w:proofErr w:type="spellStart"/>
      <w:r>
        <w:rPr>
          <w:rFonts w:ascii="Times New Roman" w:hAnsi="Times New Roman" w:cs="Times New Roman"/>
          <w:sz w:val="24"/>
        </w:rPr>
        <w:t>lue</w:t>
      </w:r>
      <w:proofErr w:type="spellEnd"/>
      <w:r>
        <w:rPr>
          <w:rFonts w:ascii="Times New Roman" w:hAnsi="Times New Roman" w:cs="Times New Roman"/>
          <w:sz w:val="24"/>
        </w:rPr>
        <w:t xml:space="preserve"> around each intensity peak approaches </w:t>
      </w:r>
      <m:oMath>
        <m:r>
          <w:rPr>
            <w:rFonts w:ascii="Cambria Math" w:hAnsi="Cambria Math" w:cs="Times New Roman"/>
            <w:sz w:val="24"/>
          </w:rPr>
          <m:t>+1</m:t>
        </m:r>
      </m:oMath>
      <w:r>
        <w:rPr>
          <w:rFonts w:ascii="Times New Roman" w:hAnsi="Times New Roman" w:cs="Times New Roman"/>
          <w:sz w:val="24"/>
        </w:rPr>
        <w:t xml:space="preserve"> or </w:t>
      </w:r>
      <m:oMath>
        <m:r>
          <w:rPr>
            <w:rFonts w:ascii="Cambria Math" w:eastAsia="Microsoft YaHei" w:hAnsi="Cambria Math" w:cs="Times New Roman"/>
            <w:sz w:val="24"/>
          </w:rPr>
          <m:t>-</m:t>
        </m:r>
        <m:r>
          <w:rPr>
            <w:rFonts w:ascii="Cambria Math" w:hAnsi="Cambria Math" w:cs="Times New Roman"/>
            <w:sz w:val="24"/>
          </w:rPr>
          <m:t>1</m:t>
        </m:r>
      </m:oMath>
      <w:r>
        <w:rPr>
          <w:rFonts w:ascii="Times New Roman" w:hAnsi="Times New Roman" w:cs="Times New Roman"/>
          <w:sz w:val="24"/>
        </w:rPr>
        <w:t xml:space="preserve">, which captures the mirror eigenvalue </w:t>
      </w:r>
      <m:oMath>
        <m:r>
          <w:rPr>
            <w:rFonts w:ascii="Cambria Math" w:hAnsi="Cambria Math" w:cs="Times New Roman"/>
            <w:sz w:val="24"/>
          </w:rPr>
          <m:t>+1</m:t>
        </m:r>
      </m:oMath>
      <w:r>
        <w:rPr>
          <w:rFonts w:ascii="Times New Roman" w:hAnsi="Times New Roman" w:cs="Times New Roman"/>
          <w:sz w:val="24"/>
        </w:rPr>
        <w:t xml:space="preserve"> or </w:t>
      </w:r>
      <m:oMath>
        <m:r>
          <w:rPr>
            <w:rFonts w:ascii="Cambria Math" w:eastAsia="Microsoft YaHei" w:hAnsi="Cambria Math" w:cs="Times New Roman"/>
            <w:sz w:val="24"/>
          </w:rPr>
          <m:t>-</m:t>
        </m:r>
        <m:r>
          <w:rPr>
            <w:rFonts w:ascii="Cambria Math" w:hAnsi="Cambria Math" w:cs="Times New Roman"/>
            <w:sz w:val="24"/>
          </w:rPr>
          <m:t>1</m:t>
        </m:r>
      </m:oMath>
      <w:r>
        <w:rPr>
          <w:rFonts w:ascii="Times New Roman" w:hAnsi="Times New Roman" w:cs="Times New Roman"/>
          <w:sz w:val="24"/>
        </w:rPr>
        <w:t xml:space="preserve"> for the symmetric or antisymmetric eigenstates. </w:t>
      </w:r>
      <w:r>
        <w:rPr>
          <w:rFonts w:ascii="Times New Roman" w:hAnsi="Times New Roman" w:cs="Times New Roman"/>
          <w:b/>
          <w:bCs/>
          <w:sz w:val="24"/>
        </w:rPr>
        <w:t>a</w:t>
      </w:r>
      <w:r>
        <w:rPr>
          <w:rFonts w:ascii="Times New Roman" w:hAnsi="Times New Roman" w:cs="Times New Roman"/>
          <w:b/>
          <w:bCs/>
          <w:sz w:val="24"/>
          <w:vertAlign w:val="subscript"/>
        </w:rPr>
        <w:t>4</w:t>
      </w:r>
      <w:r>
        <w:rPr>
          <w:rFonts w:ascii="Times New Roman" w:hAnsi="Times New Roman" w:cs="Times New Roman"/>
          <w:sz w:val="24"/>
        </w:rPr>
        <w:t>-</w:t>
      </w:r>
      <w:r>
        <w:rPr>
          <w:rFonts w:ascii="Times New Roman" w:hAnsi="Times New Roman" w:cs="Times New Roman"/>
          <w:b/>
          <w:bCs/>
          <w:sz w:val="24"/>
        </w:rPr>
        <w:t>c</w:t>
      </w:r>
      <w:r>
        <w:rPr>
          <w:rFonts w:ascii="Times New Roman" w:hAnsi="Times New Roman" w:cs="Times New Roman"/>
          <w:b/>
          <w:bCs/>
          <w:sz w:val="24"/>
          <w:vertAlign w:val="subscript"/>
        </w:rPr>
        <w:t>4</w:t>
      </w:r>
      <w:r>
        <w:rPr>
          <w:rFonts w:ascii="Times New Roman" w:hAnsi="Times New Roman" w:cs="Times New Roman"/>
          <w:sz w:val="24"/>
        </w:rPr>
        <w:t xml:space="preserve">, Field distributions extracted for directly visualizing the mirror symmetry of the HSP states. The sizes and color of the circles characterize the sound energy densities and phases of the detecting points, </w:t>
      </w:r>
      <w:r>
        <w:rPr>
          <w:rFonts w:ascii="Times New Roman" w:hAnsi="Times New Roman" w:cs="Times New Roman"/>
          <w:sz w:val="24"/>
        </w:rPr>
        <w:lastRenderedPageBreak/>
        <w:t xml:space="preserve">respectively. The frequencies used are labeled successively in </w:t>
      </w:r>
      <w:r>
        <w:rPr>
          <w:rFonts w:ascii="Times New Roman" w:hAnsi="Times New Roman" w:cs="Times New Roman"/>
          <w:b/>
          <w:bCs/>
          <w:sz w:val="24"/>
        </w:rPr>
        <w:t>a</w:t>
      </w:r>
      <w:r>
        <w:rPr>
          <w:rFonts w:ascii="Times New Roman" w:hAnsi="Times New Roman" w:cs="Times New Roman"/>
          <w:b/>
          <w:bCs/>
          <w:sz w:val="24"/>
          <w:vertAlign w:val="subscript"/>
        </w:rPr>
        <w:t>1</w:t>
      </w:r>
      <w:r>
        <w:rPr>
          <w:rFonts w:ascii="Times New Roman" w:hAnsi="Times New Roman" w:cs="Times New Roman"/>
          <w:sz w:val="24"/>
        </w:rPr>
        <w:t>-</w:t>
      </w:r>
      <w:r>
        <w:rPr>
          <w:rFonts w:ascii="Times New Roman" w:hAnsi="Times New Roman" w:cs="Times New Roman"/>
          <w:b/>
          <w:bCs/>
          <w:sz w:val="24"/>
        </w:rPr>
        <w:t>c</w:t>
      </w:r>
      <w:r>
        <w:rPr>
          <w:rFonts w:ascii="Times New Roman" w:hAnsi="Times New Roman" w:cs="Times New Roman"/>
          <w:b/>
          <w:bCs/>
          <w:sz w:val="24"/>
          <w:vertAlign w:val="subscript"/>
        </w:rPr>
        <w:t>1</w:t>
      </w:r>
      <w:r>
        <w:rPr>
          <w:rFonts w:ascii="Times New Roman" w:hAnsi="Times New Roman" w:cs="Times New Roman"/>
          <w:b/>
          <w:bCs/>
          <w:sz w:val="24"/>
        </w:rPr>
        <w:t xml:space="preserve"> </w:t>
      </w:r>
      <w:r>
        <w:rPr>
          <w:rFonts w:ascii="Times New Roman" w:hAnsi="Times New Roman" w:cs="Times New Roman"/>
          <w:sz w:val="24"/>
        </w:rPr>
        <w:t>by the three dashed lines.</w:t>
      </w:r>
    </w:p>
    <w:p w14:paraId="0B90293E" w14:textId="77777777" w:rsidR="00AC22E2" w:rsidRDefault="00AC22E2" w:rsidP="00AC22E2">
      <w:pPr>
        <w:adjustRightInd w:val="0"/>
        <w:snapToGrid w:val="0"/>
        <w:spacing w:line="360" w:lineRule="auto"/>
        <w:rPr>
          <w:rFonts w:ascii="Times New Roman" w:hAnsi="Times New Roman" w:cs="Times New Roman"/>
          <w:sz w:val="24"/>
        </w:rPr>
      </w:pPr>
    </w:p>
    <w:p w14:paraId="348AD943" w14:textId="3F40E568" w:rsidR="00AC22E2" w:rsidRDefault="00AC22E2" w:rsidP="00AC22E2">
      <w:pPr>
        <w:widowControl/>
        <w:jc w:val="center"/>
        <w:rPr>
          <w:rFonts w:ascii="Times New Roman" w:hAnsi="Times New Roman" w:cs="Times New Roman"/>
          <w:iCs/>
          <w:strike/>
          <w:sz w:val="24"/>
        </w:rPr>
      </w:pPr>
      <w:r>
        <w:rPr>
          <w:noProof/>
        </w:rPr>
        <w:drawing>
          <wp:inline distT="0" distB="0" distL="0" distR="0" wp14:anchorId="7B1BB820" wp14:editId="374A7A41">
            <wp:extent cx="5448300" cy="2076450"/>
            <wp:effectExtent l="0" t="0" r="0" b="0"/>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48300" cy="2076450"/>
                    </a:xfrm>
                    <a:prstGeom prst="rect">
                      <a:avLst/>
                    </a:prstGeom>
                    <a:noFill/>
                    <a:ln>
                      <a:noFill/>
                    </a:ln>
                  </pic:spPr>
                </pic:pic>
              </a:graphicData>
            </a:graphic>
          </wp:inline>
        </w:drawing>
      </w:r>
    </w:p>
    <w:p w14:paraId="4DBDA4FC" w14:textId="77777777" w:rsidR="00AC22E2" w:rsidRDefault="00AC22E2" w:rsidP="00AC22E2">
      <w:pPr>
        <w:adjustRightInd w:val="0"/>
        <w:snapToGrid w:val="0"/>
        <w:spacing w:line="360" w:lineRule="auto"/>
        <w:rPr>
          <w:rFonts w:ascii="Times New Roman" w:hAnsi="Times New Roman" w:cs="Times New Roman"/>
          <w:sz w:val="24"/>
        </w:rPr>
      </w:pPr>
      <w:r>
        <w:rPr>
          <w:rFonts w:ascii="Times New Roman" w:hAnsi="Times New Roman" w:cs="Times New Roman"/>
          <w:b/>
          <w:bCs/>
          <w:sz w:val="24"/>
        </w:rPr>
        <w:t xml:space="preserve">Extended Data Fig. 6 | Band inversions revealed by the time evolution of HSP states. </w:t>
      </w:r>
      <w:proofErr w:type="gramStart"/>
      <w:r>
        <w:rPr>
          <w:rFonts w:ascii="Times New Roman" w:hAnsi="Times New Roman" w:cs="Times New Roman"/>
          <w:b/>
          <w:bCs/>
          <w:sz w:val="24"/>
        </w:rPr>
        <w:t>a</w:t>
      </w:r>
      <w:r>
        <w:rPr>
          <w:rFonts w:ascii="Times New Roman" w:hAnsi="Times New Roman" w:cs="Times New Roman"/>
          <w:sz w:val="24"/>
        </w:rPr>
        <w:t>,</w:t>
      </w:r>
      <w:proofErr w:type="gramEnd"/>
      <w:r>
        <w:rPr>
          <w:rFonts w:ascii="Times New Roman" w:hAnsi="Times New Roman" w:cs="Times New Roman"/>
          <w:sz w:val="24"/>
        </w:rPr>
        <w:t xml:space="preserve"> Time involution of the </w:t>
      </w:r>
      <m:oMath>
        <m:r>
          <m:rPr>
            <m:sty m:val="p"/>
          </m:rPr>
          <w:rPr>
            <w:rFonts w:ascii="Cambria Math" w:hAnsi="Cambria Math" w:cs="Times New Roman"/>
            <w:sz w:val="24"/>
          </w:rPr>
          <m:t>Γ</m:t>
        </m:r>
      </m:oMath>
      <w:r>
        <w:rPr>
          <w:rFonts w:ascii="Times New Roman" w:hAnsi="Times New Roman" w:cs="Times New Roman"/>
          <w:sz w:val="24"/>
        </w:rPr>
        <w:t xml:space="preserve">-point frequencies extracted from the experimentally measured (solid circles) band structures, together with the numerical (open circles) and theoretical (solid lines) results for comparisons. Mirror expectation values are labeled for the three moments </w:t>
      </w:r>
      <m:oMath>
        <m:r>
          <w:rPr>
            <w:rFonts w:ascii="Cambria Math" w:hAnsi="Cambria Math" w:cs="Times New Roman"/>
            <w:sz w:val="24"/>
          </w:rPr>
          <m:t>t=0</m:t>
        </m:r>
      </m:oMath>
      <w:r>
        <w:rPr>
          <w:rFonts w:ascii="Times New Roman" w:hAnsi="Times New Roman" w:cs="Times New Roman"/>
          <w:sz w:val="24"/>
        </w:rPr>
        <w:t xml:space="preserve">, </w:t>
      </w:r>
      <m:oMath>
        <m:r>
          <w:rPr>
            <w:rFonts w:ascii="Cambria Math" w:hAnsi="Cambria Math" w:cs="Times New Roman"/>
            <w:sz w:val="24"/>
          </w:rPr>
          <m:t>t=6</m:t>
        </m:r>
      </m:oMath>
      <w:r>
        <w:rPr>
          <w:rFonts w:ascii="Times New Roman" w:hAnsi="Times New Roman" w:cs="Times New Roman"/>
          <w:sz w:val="24"/>
        </w:rPr>
        <w:t xml:space="preserve">, and </w:t>
      </w:r>
      <m:oMath>
        <m:r>
          <w:rPr>
            <w:rFonts w:ascii="Cambria Math" w:hAnsi="Cambria Math" w:cs="Times New Roman"/>
            <w:sz w:val="24"/>
          </w:rPr>
          <m:t>t=10</m:t>
        </m:r>
      </m:oMath>
      <w:r>
        <w:rPr>
          <w:rFonts w:ascii="Times New Roman" w:hAnsi="Times New Roman" w:cs="Times New Roman"/>
          <w:sz w:val="24"/>
        </w:rPr>
        <w:t xml:space="preserve">. </w:t>
      </w:r>
      <w:r>
        <w:rPr>
          <w:rFonts w:ascii="Times New Roman" w:hAnsi="Times New Roman" w:cs="Times New Roman"/>
          <w:b/>
          <w:bCs/>
          <w:sz w:val="24"/>
        </w:rPr>
        <w:t>b</w:t>
      </w:r>
      <w:r>
        <w:rPr>
          <w:rFonts w:ascii="Times New Roman" w:hAnsi="Times New Roman" w:cs="Times New Roman"/>
          <w:sz w:val="24"/>
        </w:rPr>
        <w:t xml:space="preserve">, The same as </w:t>
      </w:r>
      <w:r>
        <w:rPr>
          <w:rFonts w:ascii="Times New Roman" w:hAnsi="Times New Roman" w:cs="Times New Roman"/>
          <w:b/>
          <w:bCs/>
          <w:sz w:val="24"/>
        </w:rPr>
        <w:t>a</w:t>
      </w:r>
      <w:r>
        <w:rPr>
          <w:rFonts w:ascii="Times New Roman" w:hAnsi="Times New Roman" w:cs="Times New Roman"/>
          <w:sz w:val="24"/>
        </w:rPr>
        <w:t xml:space="preserve">, but for the </w:t>
      </w:r>
      <m:oMath>
        <m:r>
          <m:rPr>
            <m:sty m:val="p"/>
          </m:rPr>
          <w:rPr>
            <w:rFonts w:ascii="Cambria Math" w:hAnsi="Cambria Math" w:cs="Times New Roman"/>
            <w:sz w:val="24"/>
          </w:rPr>
          <m:t>M</m:t>
        </m:r>
      </m:oMath>
      <w:r>
        <w:rPr>
          <w:rFonts w:ascii="Times New Roman" w:hAnsi="Times New Roman" w:cs="Times New Roman"/>
          <w:sz w:val="24"/>
        </w:rPr>
        <w:t xml:space="preserve"> states. The band inversion, accompanying the evolution of bands with different mirror eigenvalues at the HSPs, is essential for changing the stability of the nodal pair in the same gap.</w:t>
      </w:r>
    </w:p>
    <w:p w14:paraId="6CE48466" w14:textId="77777777" w:rsidR="00AF2E74" w:rsidRDefault="00AF2E74"/>
    <w:sectPr w:rsidR="00AF2E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icrosoft YaHei">
    <w:altName w:val="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2E2"/>
    <w:rsid w:val="00AC22E2"/>
    <w:rsid w:val="00AF2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27ABEF"/>
  <w15:chartTrackingRefBased/>
  <w15:docId w15:val="{45DDDA3C-290A-40A5-BF01-FF01E691BC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22E2"/>
    <w:pPr>
      <w:widowControl w:val="0"/>
      <w:spacing w:after="0" w:line="240" w:lineRule="auto"/>
      <w:jc w:val="both"/>
    </w:pPr>
    <w:rPr>
      <w:rFonts w:eastAsiaTheme="minorEastAsia"/>
      <w:kern w:val="2"/>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3986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591</Words>
  <Characters>3369</Characters>
  <Application>Microsoft Office Word</Application>
  <DocSecurity>0</DocSecurity>
  <Lines>28</Lines>
  <Paragraphs>7</Paragraphs>
  <ScaleCrop>false</ScaleCrop>
  <Company/>
  <LinksUpToDate>false</LinksUpToDate>
  <CharactersWithSpaces>3953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2022-03-28T19:17:00Z</dcterms:created>
  <dcterms:modified xsi:type="dcterms:W3CDTF">2022-03-28T19:17:00Z</dcterms:modified>
</cp:coreProperties>
</file>