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3342C5" w14:textId="77777777" w:rsidR="00523A86" w:rsidRPr="008D1539" w:rsidRDefault="00523A86" w:rsidP="00523A86">
      <w:pPr>
        <w:pStyle w:val="PrformatHTML"/>
        <w:spacing w:line="480" w:lineRule="auto"/>
        <w:jc w:val="center"/>
        <w:rPr>
          <w:rFonts w:asciiTheme="minorHAnsi" w:hAnsiTheme="minorHAnsi" w:cstheme="minorHAnsi"/>
          <w:sz w:val="24"/>
          <w:szCs w:val="24"/>
          <w:lang w:val="en-US"/>
        </w:rPr>
      </w:pPr>
      <w:r w:rsidRPr="008D1539">
        <w:rPr>
          <w:rFonts w:asciiTheme="minorHAnsi" w:hAnsiTheme="minorHAnsi" w:cstheme="minorHAnsi"/>
          <w:b/>
          <w:bCs/>
          <w:sz w:val="24"/>
          <w:szCs w:val="24"/>
          <w:lang w:val="en-US"/>
        </w:rPr>
        <w:t>MATERIAL AND METHODS</w:t>
      </w:r>
    </w:p>
    <w:p w14:paraId="1F954F11" w14:textId="77777777" w:rsidR="00523A86" w:rsidRPr="008D1539" w:rsidRDefault="00523A86" w:rsidP="00523A86">
      <w:pPr>
        <w:autoSpaceDE w:val="0"/>
        <w:autoSpaceDN w:val="0"/>
        <w:adjustRightInd w:val="0"/>
        <w:spacing w:line="480" w:lineRule="auto"/>
        <w:jc w:val="both"/>
        <w:rPr>
          <w:rFonts w:cstheme="minorHAnsi"/>
          <w:b/>
          <w:bCs/>
          <w:lang w:val="en-US"/>
        </w:rPr>
      </w:pPr>
      <w:r w:rsidRPr="008D1539">
        <w:rPr>
          <w:rFonts w:cstheme="minorHAnsi"/>
          <w:b/>
          <w:bCs/>
          <w:lang w:val="en-US"/>
        </w:rPr>
        <w:t xml:space="preserve">MSC </w:t>
      </w:r>
      <w:proofErr w:type="spellStart"/>
      <w:r w:rsidRPr="008D1539">
        <w:rPr>
          <w:rFonts w:cstheme="minorHAnsi"/>
          <w:b/>
          <w:bCs/>
          <w:lang w:val="en-US"/>
        </w:rPr>
        <w:t>secretome</w:t>
      </w:r>
      <w:proofErr w:type="spellEnd"/>
    </w:p>
    <w:p w14:paraId="3E070E4D" w14:textId="34A354B4" w:rsidR="00523A86" w:rsidRPr="008D1539" w:rsidRDefault="00523A86" w:rsidP="00523A86">
      <w:pPr>
        <w:pStyle w:val="PrformatHTML"/>
        <w:spacing w:line="480" w:lineRule="auto"/>
        <w:jc w:val="both"/>
        <w:rPr>
          <w:rFonts w:asciiTheme="minorHAnsi" w:hAnsiTheme="minorHAnsi" w:cstheme="minorHAnsi"/>
          <w:sz w:val="24"/>
          <w:szCs w:val="24"/>
          <w:lang w:val="en-US"/>
        </w:rPr>
      </w:pPr>
      <w:r w:rsidRPr="008D1539">
        <w:rPr>
          <w:rFonts w:asciiTheme="minorHAnsi" w:eastAsiaTheme="minorHAnsi" w:hAnsiTheme="minorHAnsi" w:cstheme="minorHAnsi"/>
          <w:sz w:val="24"/>
          <w:szCs w:val="24"/>
          <w:lang w:val="en-US" w:eastAsia="en-US"/>
        </w:rPr>
        <w:t xml:space="preserve">After 24 hours of priming, MSC’s medium was discarded and cells were washed twice with PBS. The cells were then incubated in MEM alpha for 1 hour at 37 °C. After medium removal, the </w:t>
      </w:r>
      <w:r w:rsidR="00467A91">
        <w:rPr>
          <w:rFonts w:asciiTheme="minorHAnsi" w:eastAsiaTheme="minorHAnsi" w:hAnsiTheme="minorHAnsi" w:cstheme="minorHAnsi"/>
          <w:sz w:val="24"/>
          <w:szCs w:val="24"/>
          <w:lang w:val="en-US" w:eastAsia="en-US"/>
        </w:rPr>
        <w:t>MSC</w:t>
      </w:r>
      <w:r w:rsidRPr="008D1539">
        <w:rPr>
          <w:rFonts w:asciiTheme="minorHAnsi" w:eastAsiaTheme="minorHAnsi" w:hAnsiTheme="minorHAnsi" w:cstheme="minorHAnsi"/>
          <w:sz w:val="24"/>
          <w:szCs w:val="24"/>
          <w:lang w:val="en-US" w:eastAsia="en-US"/>
        </w:rPr>
        <w:t xml:space="preserve"> are again incubated at 37 °C. for 24 hours in a volume of alpha MEM divided by two compared to their usual seeding, to concentrate the </w:t>
      </w:r>
      <w:proofErr w:type="spellStart"/>
      <w:r w:rsidRPr="008D1539">
        <w:rPr>
          <w:rFonts w:asciiTheme="minorHAnsi" w:eastAsiaTheme="minorHAnsi" w:hAnsiTheme="minorHAnsi" w:cstheme="minorHAnsi"/>
          <w:sz w:val="24"/>
          <w:szCs w:val="24"/>
          <w:lang w:val="en-US" w:eastAsia="en-US"/>
        </w:rPr>
        <w:t>secretome</w:t>
      </w:r>
      <w:proofErr w:type="spellEnd"/>
      <w:r w:rsidRPr="008D1539">
        <w:rPr>
          <w:rFonts w:asciiTheme="minorHAnsi" w:eastAsiaTheme="minorHAnsi" w:hAnsiTheme="minorHAnsi" w:cstheme="minorHAnsi"/>
          <w:sz w:val="24"/>
          <w:szCs w:val="24"/>
          <w:lang w:val="en-US" w:eastAsia="en-US"/>
        </w:rPr>
        <w:t>. The medium was recovered, centrifuged at 450 g for 5 minutes and the supernatant was stored at -80 °C</w:t>
      </w:r>
      <w:r w:rsidRPr="008D1539">
        <w:rPr>
          <w:rFonts w:asciiTheme="minorHAnsi" w:hAnsiTheme="minorHAnsi" w:cstheme="minorHAnsi"/>
          <w:sz w:val="24"/>
          <w:szCs w:val="24"/>
          <w:lang w:val="en-US"/>
        </w:rPr>
        <w:t xml:space="preserve">. </w:t>
      </w:r>
      <w:r w:rsidRPr="008D1539">
        <w:rPr>
          <w:rFonts w:asciiTheme="minorHAnsi" w:hAnsiTheme="minorHAnsi" w:cstheme="minorHAnsi"/>
          <w:sz w:val="24"/>
          <w:szCs w:val="24"/>
          <w:lang w:val="en"/>
        </w:rPr>
        <w:t xml:space="preserve">The </w:t>
      </w:r>
      <w:proofErr w:type="spellStart"/>
      <w:r w:rsidRPr="008D1539">
        <w:rPr>
          <w:rFonts w:asciiTheme="minorHAnsi" w:hAnsiTheme="minorHAnsi" w:cstheme="minorHAnsi"/>
          <w:sz w:val="24"/>
          <w:szCs w:val="24"/>
          <w:lang w:val="en"/>
        </w:rPr>
        <w:t>secretome’s</w:t>
      </w:r>
      <w:proofErr w:type="spellEnd"/>
      <w:r w:rsidRPr="008D1539">
        <w:rPr>
          <w:rFonts w:asciiTheme="minorHAnsi" w:hAnsiTheme="minorHAnsi" w:cstheme="minorHAnsi"/>
          <w:sz w:val="24"/>
          <w:szCs w:val="24"/>
          <w:lang w:val="en"/>
        </w:rPr>
        <w:t xml:space="preserve"> concentration in several proteins </w:t>
      </w:r>
      <w:r w:rsidRPr="008D1539">
        <w:rPr>
          <w:rFonts w:asciiTheme="minorHAnsi" w:hAnsiTheme="minorHAnsi" w:cstheme="minorHAnsi"/>
          <w:strike/>
          <w:sz w:val="24"/>
          <w:szCs w:val="24"/>
          <w:lang w:val="en"/>
        </w:rPr>
        <w:t>is</w:t>
      </w:r>
      <w:r w:rsidRPr="008D1539">
        <w:rPr>
          <w:rFonts w:asciiTheme="minorHAnsi" w:hAnsiTheme="minorHAnsi" w:cstheme="minorHAnsi"/>
          <w:sz w:val="24"/>
          <w:szCs w:val="24"/>
          <w:lang w:val="en"/>
        </w:rPr>
        <w:t xml:space="preserve"> was evaluated by immunoassay: IL-6, IL-1β </w:t>
      </w:r>
      <w:r w:rsidRPr="008D1539">
        <w:rPr>
          <w:rFonts w:asciiTheme="minorHAnsi" w:eastAsiaTheme="minorHAnsi" w:hAnsiTheme="minorHAnsi" w:cstheme="minorHAnsi"/>
          <w:sz w:val="24"/>
          <w:szCs w:val="24"/>
          <w:lang w:val="en-US" w:eastAsia="en-US"/>
        </w:rPr>
        <w:t>(</w:t>
      </w:r>
      <w:proofErr w:type="spellStart"/>
      <w:r w:rsidRPr="008D1539">
        <w:rPr>
          <w:rFonts w:asciiTheme="minorHAnsi" w:eastAsiaTheme="minorHAnsi" w:hAnsiTheme="minorHAnsi" w:cstheme="minorHAnsi"/>
          <w:sz w:val="24"/>
          <w:szCs w:val="24"/>
          <w:lang w:val="en-US" w:eastAsia="en-US"/>
        </w:rPr>
        <w:t>R&amp;Dsystems</w:t>
      </w:r>
      <w:proofErr w:type="spellEnd"/>
      <w:r w:rsidRPr="008D1539">
        <w:rPr>
          <w:rFonts w:asciiTheme="minorHAnsi" w:eastAsiaTheme="minorHAnsi" w:hAnsiTheme="minorHAnsi" w:cstheme="minorHAnsi"/>
          <w:sz w:val="24"/>
          <w:szCs w:val="24"/>
          <w:lang w:val="en-US" w:eastAsia="en-US"/>
        </w:rPr>
        <w:t>),</w:t>
      </w:r>
      <w:r w:rsidRPr="008D1539">
        <w:rPr>
          <w:rFonts w:asciiTheme="minorHAnsi" w:hAnsiTheme="minorHAnsi" w:cstheme="minorHAnsi"/>
          <w:sz w:val="24"/>
          <w:szCs w:val="24"/>
          <w:lang w:val="en"/>
        </w:rPr>
        <w:t xml:space="preserve"> PGE2 (Abcam), CCL2 (Abcam).</w:t>
      </w:r>
    </w:p>
    <w:p w14:paraId="2FBC729F" w14:textId="77777777" w:rsidR="00523A86" w:rsidRPr="008D1539" w:rsidRDefault="00523A86" w:rsidP="00523A86">
      <w:pPr>
        <w:autoSpaceDE w:val="0"/>
        <w:autoSpaceDN w:val="0"/>
        <w:adjustRightInd w:val="0"/>
        <w:spacing w:line="480" w:lineRule="auto"/>
        <w:jc w:val="both"/>
        <w:rPr>
          <w:rFonts w:cstheme="minorHAnsi"/>
          <w:b/>
          <w:bCs/>
          <w:lang w:val="en-US"/>
        </w:rPr>
      </w:pPr>
    </w:p>
    <w:p w14:paraId="6B85FEA6" w14:textId="77777777" w:rsidR="00523A86" w:rsidRPr="008D1539" w:rsidRDefault="00523A86" w:rsidP="00523A86">
      <w:pPr>
        <w:autoSpaceDE w:val="0"/>
        <w:autoSpaceDN w:val="0"/>
        <w:adjustRightInd w:val="0"/>
        <w:spacing w:line="480" w:lineRule="auto"/>
        <w:jc w:val="both"/>
        <w:rPr>
          <w:rFonts w:cstheme="minorHAnsi"/>
          <w:b/>
          <w:bCs/>
          <w:lang w:val="en-US"/>
        </w:rPr>
      </w:pPr>
      <w:r w:rsidRPr="008D1539">
        <w:rPr>
          <w:rFonts w:cstheme="minorHAnsi"/>
          <w:b/>
          <w:bCs/>
          <w:lang w:val="en-US"/>
        </w:rPr>
        <w:t xml:space="preserve">MSC transcriptome </w:t>
      </w:r>
    </w:p>
    <w:p w14:paraId="0E870BB0" w14:textId="1FBAAE16" w:rsidR="00523A86" w:rsidRDefault="00523A86" w:rsidP="00523A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cstheme="minorHAnsi"/>
          <w:lang w:val="en-US"/>
        </w:rPr>
      </w:pPr>
      <w:r w:rsidRPr="008D1539">
        <w:rPr>
          <w:rFonts w:cstheme="minorHAnsi"/>
          <w:lang w:val="en"/>
        </w:rPr>
        <w:t xml:space="preserve">After </w:t>
      </w:r>
      <w:proofErr w:type="spellStart"/>
      <w:r w:rsidRPr="008D1539">
        <w:rPr>
          <w:rFonts w:cstheme="minorHAnsi"/>
          <w:lang w:val="en"/>
        </w:rPr>
        <w:t>trypsination</w:t>
      </w:r>
      <w:proofErr w:type="spellEnd"/>
      <w:r w:rsidRPr="008D1539">
        <w:rPr>
          <w:rFonts w:cstheme="minorHAnsi"/>
          <w:lang w:val="en"/>
        </w:rPr>
        <w:t xml:space="preserve"> and centrifugation, cells were incubated in </w:t>
      </w:r>
      <w:proofErr w:type="spellStart"/>
      <w:r w:rsidRPr="008D1539">
        <w:rPr>
          <w:rFonts w:cstheme="minorHAnsi"/>
          <w:lang w:val="en"/>
        </w:rPr>
        <w:t>Qiazol</w:t>
      </w:r>
      <w:proofErr w:type="spellEnd"/>
      <w:r w:rsidRPr="008D1539">
        <w:rPr>
          <w:rFonts w:cstheme="minorHAnsi"/>
          <w:lang w:val="en"/>
        </w:rPr>
        <w:t xml:space="preserve">. The isolation of total RNA began by adding </w:t>
      </w:r>
      <w:proofErr w:type="spellStart"/>
      <w:r w:rsidRPr="008D1539">
        <w:rPr>
          <w:rFonts w:cstheme="minorHAnsi"/>
          <w:lang w:val="en"/>
        </w:rPr>
        <w:t>cholorform</w:t>
      </w:r>
      <w:proofErr w:type="spellEnd"/>
      <w:r w:rsidRPr="008D1539">
        <w:rPr>
          <w:rFonts w:cstheme="minorHAnsi"/>
          <w:lang w:val="en"/>
        </w:rPr>
        <w:t xml:space="preserve"> and centrifugation at 12,000 g, 4°C, 15 min. The supernatants were mixed with ethanol (1.5 volume) and deposited on </w:t>
      </w:r>
      <w:proofErr w:type="spellStart"/>
      <w:r w:rsidRPr="008D1539">
        <w:rPr>
          <w:rFonts w:cstheme="minorHAnsi"/>
          <w:lang w:val="en"/>
        </w:rPr>
        <w:t>miRNeasy</w:t>
      </w:r>
      <w:proofErr w:type="spellEnd"/>
      <w:r w:rsidRPr="008D1539">
        <w:rPr>
          <w:rFonts w:cstheme="minorHAnsi"/>
          <w:lang w:val="en"/>
        </w:rPr>
        <w:t xml:space="preserve"> columns (Qiagen). Then, the isolation was performed according to the manufacturer's protocol (Qiagen). The concentration and purity of the RNA was evaluated by UV spectrophotometry (Nanodrop). Total RNA (100ng) was reverse-transcribed into cDNA using </w:t>
      </w:r>
      <w:r w:rsidRPr="008D1539">
        <w:rPr>
          <w:rFonts w:cstheme="minorHAnsi"/>
          <w:lang w:val="en-US"/>
        </w:rPr>
        <w:t>Reverse Transcriptase Core Kit (</w:t>
      </w:r>
      <w:proofErr w:type="spellStart"/>
      <w:r w:rsidRPr="008D1539">
        <w:rPr>
          <w:rFonts w:cstheme="minorHAnsi"/>
          <w:lang w:val="en-US"/>
        </w:rPr>
        <w:t>Eurogentech</w:t>
      </w:r>
      <w:proofErr w:type="spellEnd"/>
      <w:r w:rsidRPr="008D1539">
        <w:rPr>
          <w:rFonts w:cstheme="minorHAnsi"/>
          <w:lang w:val="en-US"/>
        </w:rPr>
        <w:t>)</w:t>
      </w:r>
      <w:r w:rsidRPr="008D1539">
        <w:rPr>
          <w:rFonts w:cstheme="minorHAnsi"/>
          <w:lang w:val="en"/>
        </w:rPr>
        <w:t xml:space="preserve">. Relative quantification of gene expression by real-time polymerase chain reaction (RT-qPCR) was performed with a </w:t>
      </w:r>
      <w:proofErr w:type="spellStart"/>
      <w:r w:rsidRPr="008D1539">
        <w:rPr>
          <w:rFonts w:cstheme="minorHAnsi"/>
          <w:lang w:val="en"/>
        </w:rPr>
        <w:t>LightCycler</w:t>
      </w:r>
      <w:proofErr w:type="spellEnd"/>
      <w:r w:rsidRPr="008D1539">
        <w:rPr>
          <w:rFonts w:cstheme="minorHAnsi"/>
          <w:lang w:val="en"/>
        </w:rPr>
        <w:t xml:space="preserve"> 480 II (Roche Diagnostics). RT-qPCRs were performed using a </w:t>
      </w:r>
      <w:proofErr w:type="spellStart"/>
      <w:r w:rsidRPr="008D1539">
        <w:rPr>
          <w:rFonts w:cstheme="minorHAnsi"/>
          <w:lang w:val="en"/>
        </w:rPr>
        <w:t>QuantiTect</w:t>
      </w:r>
      <w:proofErr w:type="spellEnd"/>
      <w:r w:rsidRPr="008D1539">
        <w:rPr>
          <w:rFonts w:cstheme="minorHAnsi"/>
          <w:lang w:val="en"/>
        </w:rPr>
        <w:t xml:space="preserve"> SYBR Green PCR Master Mix (Qiagen) and a </w:t>
      </w:r>
      <w:proofErr w:type="spellStart"/>
      <w:r w:rsidRPr="008D1539">
        <w:rPr>
          <w:rFonts w:cstheme="minorHAnsi"/>
          <w:lang w:val="en"/>
        </w:rPr>
        <w:t>QuantiTect</w:t>
      </w:r>
      <w:proofErr w:type="spellEnd"/>
      <w:r w:rsidRPr="008D1539">
        <w:rPr>
          <w:rFonts w:cstheme="minorHAnsi"/>
          <w:lang w:val="en"/>
        </w:rPr>
        <w:t xml:space="preserve"> Primer Assay (Il1b: QT00181657; Il6: QT00374934; Tlr2: QT00417438; Nlr3: QT01568448; Ccl2: QT00183253) (Qiagen). The reactions were carried out using the following thermal profi</w:t>
      </w:r>
      <w:r w:rsidR="00A36B77">
        <w:rPr>
          <w:rFonts w:cstheme="minorHAnsi"/>
          <w:lang w:val="en"/>
        </w:rPr>
        <w:t>le: a cycle of 15 minutes at 95</w:t>
      </w:r>
      <w:r w:rsidRPr="008D1539">
        <w:rPr>
          <w:rFonts w:cstheme="minorHAnsi"/>
          <w:lang w:val="en"/>
        </w:rPr>
        <w:t>°C</w:t>
      </w:r>
      <w:r w:rsidR="00A36B77">
        <w:rPr>
          <w:rFonts w:cstheme="minorHAnsi"/>
          <w:lang w:val="en"/>
        </w:rPr>
        <w:t>, 45 cycles of 15 seconds at 95</w:t>
      </w:r>
      <w:r w:rsidRPr="008D1539">
        <w:rPr>
          <w:rFonts w:cstheme="minorHAnsi"/>
          <w:lang w:val="en"/>
        </w:rPr>
        <w:t>°C, 30 second</w:t>
      </w:r>
      <w:r w:rsidR="00A36B77">
        <w:rPr>
          <w:rFonts w:cstheme="minorHAnsi"/>
          <w:lang w:val="en"/>
        </w:rPr>
        <w:t>s at 55 °C and 30 seconds at 72</w:t>
      </w:r>
      <w:r w:rsidRPr="008D1539">
        <w:rPr>
          <w:rFonts w:cstheme="minorHAnsi"/>
          <w:lang w:val="en"/>
        </w:rPr>
        <w:t xml:space="preserve">°C. </w:t>
      </w:r>
      <w:r w:rsidRPr="008D1539">
        <w:rPr>
          <w:rFonts w:cstheme="minorHAnsi"/>
          <w:lang w:val="en-US"/>
        </w:rPr>
        <w:t xml:space="preserve">Real-time qPCR results were analyzed with the </w:t>
      </w:r>
      <w:proofErr w:type="spellStart"/>
      <w:r w:rsidRPr="008D1539">
        <w:rPr>
          <w:rFonts w:cstheme="minorHAnsi"/>
          <w:lang w:val="en-US"/>
        </w:rPr>
        <w:t>LightCycler</w:t>
      </w:r>
      <w:proofErr w:type="spellEnd"/>
      <w:r w:rsidRPr="008D1539">
        <w:rPr>
          <w:rFonts w:cstheme="minorHAnsi"/>
          <w:lang w:val="en-US"/>
        </w:rPr>
        <w:t xml:space="preserve"> software (Roche Diagnostics). </w:t>
      </w:r>
      <w:proofErr w:type="spellStart"/>
      <w:r w:rsidRPr="008D1539">
        <w:rPr>
          <w:rFonts w:cstheme="minorHAnsi"/>
          <w:lang w:val="en-US"/>
        </w:rPr>
        <w:t>GeNorm</w:t>
      </w:r>
      <w:proofErr w:type="spellEnd"/>
      <w:r w:rsidRPr="008D1539">
        <w:rPr>
          <w:rFonts w:cstheme="minorHAnsi"/>
          <w:lang w:val="en-US"/>
        </w:rPr>
        <w:t xml:space="preserve"> software (</w:t>
      </w:r>
      <w:proofErr w:type="spellStart"/>
      <w:r w:rsidRPr="008D1539">
        <w:rPr>
          <w:rFonts w:cstheme="minorHAnsi"/>
          <w:lang w:val="en-US"/>
        </w:rPr>
        <w:t>PrimerDesign</w:t>
      </w:r>
      <w:proofErr w:type="spellEnd"/>
      <w:r w:rsidRPr="008D1539">
        <w:rPr>
          <w:rFonts w:cstheme="minorHAnsi"/>
          <w:lang w:val="en-US"/>
        </w:rPr>
        <w:t xml:space="preserve"> Ltd.) was used to select the reference genes to normalize target gene </w:t>
      </w:r>
      <w:r w:rsidRPr="008D1539">
        <w:rPr>
          <w:rFonts w:cstheme="minorHAnsi"/>
          <w:lang w:val="en-US"/>
        </w:rPr>
        <w:lastRenderedPageBreak/>
        <w:t>expressions. Four reference genes were used; GAPDH: QT00199633, HO1: QT00175994, TLR4: QT00387184 and MOK: QT00413245. The normalized expression levels of the genes of interest were calculated by using the ∆∆Ct method.</w:t>
      </w:r>
    </w:p>
    <w:p w14:paraId="57B537F0" w14:textId="77777777" w:rsidR="001436C9" w:rsidRPr="008D1539" w:rsidRDefault="001436C9" w:rsidP="00523A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cstheme="minorHAnsi"/>
          <w:lang w:val="en-US"/>
        </w:rPr>
      </w:pPr>
    </w:p>
    <w:p w14:paraId="6DD80945" w14:textId="77777777" w:rsidR="00A57EA9" w:rsidRPr="008D1539" w:rsidRDefault="00A57EA9" w:rsidP="00A57EA9">
      <w:pPr>
        <w:spacing w:line="480" w:lineRule="auto"/>
        <w:jc w:val="both"/>
        <w:rPr>
          <w:rFonts w:cstheme="minorHAnsi"/>
          <w:b/>
          <w:bCs/>
          <w:lang w:val="en-US"/>
        </w:rPr>
      </w:pPr>
      <w:r w:rsidRPr="008D1539">
        <w:rPr>
          <w:rFonts w:cstheme="minorHAnsi"/>
          <w:b/>
          <w:bCs/>
          <w:lang w:val="en-US"/>
        </w:rPr>
        <w:t xml:space="preserve">Animal </w:t>
      </w:r>
      <w:r>
        <w:rPr>
          <w:rFonts w:cstheme="minorHAnsi"/>
          <w:b/>
          <w:bCs/>
          <w:lang w:val="en-US"/>
        </w:rPr>
        <w:t>Model</w:t>
      </w:r>
    </w:p>
    <w:p w14:paraId="5B9ACD70" w14:textId="6CB67FF2" w:rsidR="00A57EA9" w:rsidRDefault="00A57EA9" w:rsidP="001436C9">
      <w:pPr>
        <w:spacing w:line="480" w:lineRule="auto"/>
        <w:jc w:val="both"/>
        <w:rPr>
          <w:rFonts w:cstheme="minorHAnsi"/>
          <w:lang w:val="en-US"/>
        </w:rPr>
      </w:pPr>
      <w:r w:rsidRPr="008D1539">
        <w:rPr>
          <w:rFonts w:cstheme="minorHAnsi"/>
          <w:lang w:val="en-US"/>
        </w:rPr>
        <w:t xml:space="preserve">A total of 64 Sprague-Dawley male rats (Janvier Labs) weighting 392±5g, were included in this protocol. They were acclimated </w:t>
      </w:r>
      <w:r w:rsidRPr="008D1539">
        <w:rPr>
          <w:rFonts w:cstheme="minorHAnsi"/>
          <w:color w:val="131413"/>
          <w:lang w:val="en-US"/>
        </w:rPr>
        <w:t xml:space="preserve">in a room with a 12-h dark/light cycle </w:t>
      </w:r>
      <w:r w:rsidRPr="008D1539">
        <w:rPr>
          <w:rFonts w:cstheme="minorHAnsi"/>
          <w:lang w:val="en-US"/>
        </w:rPr>
        <w:t>for 5 days with free access to water and feeding until they were anesthetized for experiments.</w:t>
      </w:r>
    </w:p>
    <w:p w14:paraId="305749E5" w14:textId="77777777" w:rsidR="001436C9" w:rsidRPr="001436C9" w:rsidRDefault="001436C9" w:rsidP="001436C9">
      <w:pPr>
        <w:spacing w:line="480" w:lineRule="auto"/>
        <w:jc w:val="both"/>
        <w:rPr>
          <w:rFonts w:cstheme="minorHAnsi"/>
          <w:lang w:val="en-US"/>
        </w:rPr>
      </w:pPr>
    </w:p>
    <w:p w14:paraId="5CC82EEE" w14:textId="77777777" w:rsidR="00A57EA9" w:rsidRPr="008D1539" w:rsidRDefault="00A57EA9" w:rsidP="00A57EA9">
      <w:pPr>
        <w:spacing w:line="480" w:lineRule="auto"/>
        <w:jc w:val="both"/>
        <w:rPr>
          <w:rFonts w:cstheme="minorHAnsi"/>
          <w:b/>
          <w:bCs/>
          <w:lang w:val="en-US"/>
        </w:rPr>
      </w:pPr>
      <w:r w:rsidRPr="008D1539">
        <w:rPr>
          <w:rFonts w:cstheme="minorHAnsi"/>
          <w:b/>
          <w:bCs/>
          <w:lang w:val="en-US"/>
        </w:rPr>
        <w:t>Animal preparation and surgical procedure</w:t>
      </w:r>
    </w:p>
    <w:p w14:paraId="06BD5A39" w14:textId="77777777" w:rsidR="00A57EA9" w:rsidRDefault="00A57EA9" w:rsidP="00A57EA9">
      <w:pPr>
        <w:spacing w:line="480" w:lineRule="auto"/>
        <w:jc w:val="both"/>
        <w:rPr>
          <w:rFonts w:cstheme="minorHAnsi"/>
          <w:lang w:val="en-US"/>
        </w:rPr>
      </w:pPr>
      <w:r w:rsidRPr="008D1539">
        <w:rPr>
          <w:rFonts w:cstheme="minorHAnsi"/>
          <w:color w:val="131413"/>
          <w:lang w:val="en-US"/>
        </w:rPr>
        <w:t xml:space="preserve">The anesthesia was carried out by spontaneous mask ventilation with isoflurane </w:t>
      </w:r>
      <w:r w:rsidRPr="008D1539">
        <w:rPr>
          <w:rFonts w:cstheme="minorHAnsi"/>
          <w:lang w:val="en-US"/>
        </w:rPr>
        <w:t>(Iso-Vet, Piramal Healthcare) (</w:t>
      </w:r>
      <w:proofErr w:type="spellStart"/>
      <w:r w:rsidRPr="008D1539">
        <w:rPr>
          <w:rFonts w:cstheme="minorHAnsi"/>
          <w:color w:val="131413"/>
          <w:lang w:val="en-US"/>
        </w:rPr>
        <w:t>Tem</w:t>
      </w:r>
      <w:proofErr w:type="spellEnd"/>
      <w:r w:rsidRPr="008D1539">
        <w:rPr>
          <w:rFonts w:cstheme="minorHAnsi"/>
          <w:color w:val="131413"/>
          <w:lang w:val="en-US"/>
        </w:rPr>
        <w:t xml:space="preserve"> Sega anesthesia system). The levels of isoflurane were 4% for induction, 2% - 2.5% for the surgery and between 1% - </w:t>
      </w:r>
      <w:r>
        <w:rPr>
          <w:rFonts w:cstheme="minorHAnsi"/>
          <w:color w:val="131413"/>
          <w:lang w:val="en-US"/>
        </w:rPr>
        <w:t xml:space="preserve">1.5% </w:t>
      </w:r>
      <w:r w:rsidRPr="008D1539">
        <w:rPr>
          <w:rFonts w:cstheme="minorHAnsi"/>
          <w:color w:val="131413"/>
          <w:lang w:val="en-US"/>
        </w:rPr>
        <w:t>during the experimental procedure. For induction and during surgery the FiO</w:t>
      </w:r>
      <w:r w:rsidRPr="008D1539">
        <w:rPr>
          <w:rFonts w:cstheme="minorHAnsi"/>
          <w:color w:val="131413"/>
          <w:vertAlign w:val="subscript"/>
          <w:lang w:val="en-US"/>
        </w:rPr>
        <w:t>2</w:t>
      </w:r>
      <w:r w:rsidRPr="008D1539">
        <w:rPr>
          <w:rFonts w:cstheme="minorHAnsi"/>
          <w:color w:val="131413"/>
          <w:lang w:val="en-US"/>
        </w:rPr>
        <w:t xml:space="preserve"> in the mask was 33% thereafter it was reduced to 26%. Animals were </w:t>
      </w:r>
      <w:r w:rsidRPr="008D1539">
        <w:rPr>
          <w:rFonts w:cstheme="minorHAnsi"/>
          <w:lang w:val="en-US"/>
        </w:rPr>
        <w:t xml:space="preserve">placed on a heating blanket (temperature 37°C) in supine position. The right carotid artery was catheterized (PE-50) </w:t>
      </w:r>
      <w:r w:rsidRPr="008D1539">
        <w:rPr>
          <w:rFonts w:cstheme="minorHAnsi"/>
          <w:color w:val="131413"/>
          <w:lang w:val="en-US"/>
        </w:rPr>
        <w:t xml:space="preserve">for the continuous monitoring of mean arterial pressure (MAP) </w:t>
      </w:r>
      <w:r w:rsidRPr="008D1539">
        <w:rPr>
          <w:rFonts w:cstheme="minorHAnsi"/>
          <w:lang w:val="en-US"/>
        </w:rPr>
        <w:t>(MP36, BIOPAC systems), blood tests and blood withdrawal. The right jugular vein was catheterized (PE-50) for fluid resuscitation, treatment injection and blood re-transfusion.</w:t>
      </w:r>
      <w:r w:rsidRPr="008D1539">
        <w:rPr>
          <w:rFonts w:cstheme="minorHAnsi"/>
          <w:color w:val="131413"/>
          <w:lang w:val="en-US"/>
        </w:rPr>
        <w:t xml:space="preserve"> </w:t>
      </w:r>
      <w:r w:rsidRPr="008D1539">
        <w:rPr>
          <w:rFonts w:cstheme="minorHAnsi"/>
          <w:lang w:val="en-US"/>
        </w:rPr>
        <w:t xml:space="preserve">After surgery, an injection of 300 µL heparin </w:t>
      </w:r>
      <w:proofErr w:type="spellStart"/>
      <w:r w:rsidRPr="008D1539">
        <w:rPr>
          <w:rFonts w:cstheme="minorHAnsi"/>
          <w:lang w:val="en-US"/>
        </w:rPr>
        <w:t>Choay</w:t>
      </w:r>
      <w:proofErr w:type="spellEnd"/>
      <w:r w:rsidRPr="008D1539">
        <w:rPr>
          <w:rFonts w:cstheme="minorHAnsi"/>
          <w:lang w:val="en-US"/>
        </w:rPr>
        <w:t xml:space="preserve"> was carried out (100 UI/mL, Sanofi) then rats were allowed to stabilize for 20 min.</w:t>
      </w:r>
    </w:p>
    <w:p w14:paraId="293AF68E" w14:textId="1949E74E" w:rsidR="006B0B97" w:rsidRDefault="006B0B97" w:rsidP="006B0B97">
      <w:pPr>
        <w:spacing w:line="480" w:lineRule="auto"/>
        <w:jc w:val="both"/>
        <w:rPr>
          <w:rFonts w:cstheme="minorHAnsi"/>
          <w:lang w:val="en-US"/>
        </w:rPr>
      </w:pPr>
      <w:r w:rsidRPr="008D1539">
        <w:rPr>
          <w:rFonts w:cstheme="minorHAnsi"/>
          <w:b/>
          <w:bCs/>
          <w:lang w:val="en-US"/>
        </w:rPr>
        <w:t>Experimental protocol</w:t>
      </w:r>
      <w:r w:rsidR="000745AF">
        <w:rPr>
          <w:rFonts w:cstheme="minorHAnsi"/>
          <w:b/>
          <w:bCs/>
          <w:lang w:val="en-US"/>
        </w:rPr>
        <w:t xml:space="preserve"> (Fig S1A)</w:t>
      </w:r>
    </w:p>
    <w:p w14:paraId="561161C1" w14:textId="7BAA7FE6" w:rsidR="00A57EA9" w:rsidRDefault="006B0B97" w:rsidP="006B0B97">
      <w:pPr>
        <w:spacing w:line="480" w:lineRule="auto"/>
        <w:jc w:val="both"/>
        <w:rPr>
          <w:rFonts w:cstheme="minorHAnsi"/>
          <w:lang w:val="en-US"/>
        </w:rPr>
      </w:pPr>
      <w:r w:rsidRPr="008D1539">
        <w:rPr>
          <w:rFonts w:cstheme="minorHAnsi"/>
          <w:lang w:val="en-US"/>
        </w:rPr>
        <w:t xml:space="preserve">In hemorrhagic groups (HS, </w:t>
      </w:r>
      <w:proofErr w:type="spellStart"/>
      <w:r w:rsidRPr="008D1539">
        <w:rPr>
          <w:rFonts w:cstheme="minorHAnsi"/>
          <w:lang w:val="en-US"/>
        </w:rPr>
        <w:t>MSCn</w:t>
      </w:r>
      <w:proofErr w:type="spellEnd"/>
      <w:r w:rsidRPr="008D1539">
        <w:rPr>
          <w:rFonts w:cstheme="minorHAnsi"/>
          <w:lang w:val="en-US"/>
        </w:rPr>
        <w:t xml:space="preserve">, </w:t>
      </w:r>
      <w:proofErr w:type="spellStart"/>
      <w:r w:rsidRPr="008D1539">
        <w:rPr>
          <w:rFonts w:cstheme="minorHAnsi"/>
          <w:lang w:val="en-US"/>
        </w:rPr>
        <w:t>MSCp</w:t>
      </w:r>
      <w:proofErr w:type="spellEnd"/>
      <w:r w:rsidRPr="008D1539">
        <w:rPr>
          <w:rFonts w:cstheme="minorHAnsi"/>
          <w:lang w:val="en-US"/>
        </w:rPr>
        <w:t xml:space="preserve">), blood was withdrawn to reach a 35 ± 2 mmHg MAP. MAP stabilization was achieved in 10 ± 5 min and maintained for 90 minutes. The blood collected was stored in heparinized (25 UI) syringes at room temperature until the re-transfusion time. At T0H, fluid resuscitation started with a Ringer Lactate infusion (2 mL/kg/min) equal to twice the volume of spoiled </w:t>
      </w:r>
      <w:r w:rsidRPr="008D1539">
        <w:rPr>
          <w:rFonts w:cstheme="minorHAnsi"/>
          <w:lang w:val="en-US"/>
        </w:rPr>
        <w:lastRenderedPageBreak/>
        <w:t>blood. The treatments (</w:t>
      </w:r>
      <w:proofErr w:type="spellStart"/>
      <w:r w:rsidRPr="008D1539">
        <w:rPr>
          <w:rFonts w:cstheme="minorHAnsi"/>
          <w:lang w:val="en-US"/>
        </w:rPr>
        <w:t>MSCn</w:t>
      </w:r>
      <w:proofErr w:type="spellEnd"/>
      <w:r w:rsidRPr="008D1539">
        <w:rPr>
          <w:rFonts w:cstheme="minorHAnsi"/>
          <w:lang w:val="en-US"/>
        </w:rPr>
        <w:t xml:space="preserve"> or </w:t>
      </w:r>
      <w:proofErr w:type="spellStart"/>
      <w:r w:rsidRPr="008D1539">
        <w:rPr>
          <w:rFonts w:cstheme="minorHAnsi"/>
          <w:lang w:val="en-US"/>
        </w:rPr>
        <w:t>MSCp</w:t>
      </w:r>
      <w:proofErr w:type="spellEnd"/>
      <w:r w:rsidRPr="008D1539">
        <w:rPr>
          <w:rFonts w:cstheme="minorHAnsi"/>
          <w:lang w:val="en-US"/>
        </w:rPr>
        <w:t xml:space="preserve">) were started at the same time as the vascular filling. They were slowly injected </w:t>
      </w:r>
      <w:r w:rsidRPr="008D1539">
        <w:rPr>
          <w:rFonts w:cstheme="minorHAnsi"/>
          <w:color w:val="000000" w:themeColor="text1"/>
          <w:lang w:val="en-US"/>
        </w:rPr>
        <w:t>intravenously</w:t>
      </w:r>
      <w:r w:rsidRPr="008D1539">
        <w:rPr>
          <w:rFonts w:cstheme="minorHAnsi"/>
          <w:color w:val="FF0000"/>
          <w:lang w:val="en-US"/>
        </w:rPr>
        <w:t xml:space="preserve"> </w:t>
      </w:r>
      <w:r w:rsidRPr="008D1539">
        <w:rPr>
          <w:rFonts w:cstheme="minorHAnsi"/>
          <w:lang w:val="en-US"/>
        </w:rPr>
        <w:t>into the flow of Ringer Lactate (10</w:t>
      </w:r>
      <w:r w:rsidRPr="008D1539">
        <w:rPr>
          <w:rFonts w:cstheme="minorHAnsi"/>
          <w:vertAlign w:val="superscript"/>
          <w:lang w:val="en-US"/>
        </w:rPr>
        <w:t xml:space="preserve">6 </w:t>
      </w:r>
      <w:r w:rsidRPr="008D1539">
        <w:rPr>
          <w:rFonts w:cstheme="minorHAnsi"/>
          <w:lang w:val="en-US"/>
        </w:rPr>
        <w:t xml:space="preserve">cells in 500 µl in 3 min). After 1 hour (T1H), blood withdrawal was re-transfused. At T2H, the catheters were removed, the skin sutured and then, isoflurane was stopped. The animals were kept in individual cages with free access to water and food for 4 hours. At the time of sacrifice (T6H), blood and organs (kidney, liver, lung) samples were collected. </w:t>
      </w:r>
      <w:r w:rsidR="007F24CB" w:rsidRPr="000D2A2A">
        <w:rPr>
          <w:rFonts w:cstheme="minorHAnsi"/>
          <w:lang w:val="en-US"/>
        </w:rPr>
        <w:t xml:space="preserve">Fourteen animals died before T5H and </w:t>
      </w:r>
      <w:r w:rsidR="007F24CB" w:rsidRPr="00A91763">
        <w:rPr>
          <w:rFonts w:cstheme="minorHAnsi"/>
          <w:lang w:val="en-US"/>
        </w:rPr>
        <w:t xml:space="preserve">were excluded from biological analyzes (5 HS, 5 </w:t>
      </w:r>
      <w:proofErr w:type="spellStart"/>
      <w:r w:rsidR="007F24CB" w:rsidRPr="00A91763">
        <w:rPr>
          <w:rFonts w:cstheme="minorHAnsi"/>
          <w:lang w:val="en-US"/>
        </w:rPr>
        <w:t>MSCn</w:t>
      </w:r>
      <w:proofErr w:type="spellEnd"/>
      <w:r w:rsidR="007F24CB" w:rsidRPr="00A91763">
        <w:rPr>
          <w:rFonts w:cstheme="minorHAnsi"/>
          <w:lang w:val="en-US"/>
        </w:rPr>
        <w:t xml:space="preserve"> and 4 </w:t>
      </w:r>
      <w:proofErr w:type="spellStart"/>
      <w:r w:rsidR="007F24CB" w:rsidRPr="00A91763">
        <w:rPr>
          <w:rFonts w:cstheme="minorHAnsi"/>
          <w:lang w:val="en-US"/>
        </w:rPr>
        <w:t>MSCp</w:t>
      </w:r>
      <w:proofErr w:type="spellEnd"/>
      <w:r w:rsidR="007F24CB" w:rsidRPr="00A91763">
        <w:rPr>
          <w:rFonts w:cstheme="minorHAnsi"/>
          <w:lang w:val="en-US"/>
        </w:rPr>
        <w:t>). However, t</w:t>
      </w:r>
      <w:r w:rsidR="007F24CB" w:rsidRPr="00265074">
        <w:rPr>
          <w:rFonts w:cstheme="minorHAnsi"/>
          <w:lang w:val="en-US"/>
        </w:rPr>
        <w:t xml:space="preserve">hey were included in the </w:t>
      </w:r>
      <w:r w:rsidR="007F24CB" w:rsidRPr="00265074">
        <w:rPr>
          <w:rFonts w:eastAsia="AdvTT7b515deb" w:cstheme="minorHAnsi"/>
          <w:color w:val="231F20"/>
          <w:lang w:val="en-US"/>
        </w:rPr>
        <w:t>Kaplan Meier</w:t>
      </w:r>
      <w:r w:rsidR="007F24CB" w:rsidRPr="00265074">
        <w:rPr>
          <w:rFonts w:cstheme="minorHAnsi"/>
          <w:lang w:val="en-US"/>
        </w:rPr>
        <w:t xml:space="preserve"> survival analysis.</w:t>
      </w:r>
    </w:p>
    <w:p w14:paraId="73DFFD7B" w14:textId="77777777" w:rsidR="00BB5B80" w:rsidRPr="008D1539" w:rsidRDefault="00BB5B80" w:rsidP="00BB5B80">
      <w:pPr>
        <w:pStyle w:val="PrformatHTML"/>
        <w:spacing w:line="480" w:lineRule="auto"/>
        <w:jc w:val="both"/>
        <w:rPr>
          <w:rFonts w:asciiTheme="minorHAnsi" w:hAnsiTheme="minorHAnsi" w:cstheme="minorHAnsi"/>
          <w:b/>
          <w:sz w:val="24"/>
          <w:szCs w:val="24"/>
          <w:shd w:val="clear" w:color="auto" w:fill="FFFFFF"/>
          <w:lang w:val="en-US"/>
        </w:rPr>
      </w:pPr>
      <w:r w:rsidRPr="008D1539">
        <w:rPr>
          <w:rFonts w:asciiTheme="minorHAnsi" w:hAnsiTheme="minorHAnsi" w:cstheme="minorHAnsi"/>
          <w:b/>
          <w:sz w:val="24"/>
          <w:szCs w:val="24"/>
          <w:shd w:val="clear" w:color="auto" w:fill="FFFFFF"/>
          <w:lang w:val="en-US"/>
        </w:rPr>
        <w:t xml:space="preserve">Tissue oxygen pressure measurement </w:t>
      </w:r>
    </w:p>
    <w:p w14:paraId="730C45C0" w14:textId="77777777" w:rsidR="00BB5B80" w:rsidRPr="008D1539" w:rsidRDefault="00BB5B80" w:rsidP="00BB5B80">
      <w:pPr>
        <w:spacing w:line="480" w:lineRule="auto"/>
        <w:jc w:val="both"/>
        <w:rPr>
          <w:rFonts w:cstheme="minorHAnsi"/>
          <w:lang w:val="en-US"/>
        </w:rPr>
      </w:pPr>
      <w:r w:rsidRPr="008D1539">
        <w:rPr>
          <w:rFonts w:cstheme="minorHAnsi"/>
          <w:shd w:val="clear" w:color="auto" w:fill="FFFFFF"/>
          <w:lang w:val="en-US"/>
        </w:rPr>
        <w:t>Four additional rats were used to measure tissue oxygen pressure (tPO</w:t>
      </w:r>
      <w:r w:rsidRPr="008D1539">
        <w:rPr>
          <w:rFonts w:cstheme="minorHAnsi"/>
          <w:shd w:val="clear" w:color="auto" w:fill="FFFFFF"/>
          <w:vertAlign w:val="subscript"/>
          <w:lang w:val="en-US"/>
        </w:rPr>
        <w:t>2</w:t>
      </w:r>
      <w:r w:rsidRPr="008D1539">
        <w:rPr>
          <w:rFonts w:cstheme="minorHAnsi"/>
          <w:shd w:val="clear" w:color="auto" w:fill="FFFFFF"/>
          <w:lang w:val="en-US"/>
        </w:rPr>
        <w:t>) in the renal cortex (2 Sham and 2 HS) and were sacrificed at T2H without being awakened.</w:t>
      </w:r>
      <w:r w:rsidRPr="008D1539">
        <w:rPr>
          <w:rFonts w:cstheme="minorHAnsi"/>
          <w:lang w:val="en-US"/>
        </w:rPr>
        <w:t xml:space="preserve"> The </w:t>
      </w:r>
      <w:r w:rsidRPr="008D1539">
        <w:rPr>
          <w:rFonts w:cstheme="minorHAnsi"/>
          <w:shd w:val="clear" w:color="auto" w:fill="FFFFFF"/>
          <w:lang w:val="en-US"/>
        </w:rPr>
        <w:t>tPO</w:t>
      </w:r>
      <w:r w:rsidRPr="008D1539">
        <w:rPr>
          <w:rFonts w:cstheme="minorHAnsi"/>
          <w:shd w:val="clear" w:color="auto" w:fill="FFFFFF"/>
          <w:vertAlign w:val="subscript"/>
          <w:lang w:val="en-US"/>
        </w:rPr>
        <w:t>2</w:t>
      </w:r>
      <w:r w:rsidRPr="008D1539">
        <w:rPr>
          <w:rFonts w:cstheme="minorHAnsi"/>
          <w:shd w:val="clear" w:color="auto" w:fill="FFFFFF"/>
          <w:lang w:val="en-US"/>
        </w:rPr>
        <w:t xml:space="preserve"> was measured with an optical fiber oxygen measurement system (</w:t>
      </w:r>
      <w:proofErr w:type="spellStart"/>
      <w:r w:rsidRPr="008D1539">
        <w:rPr>
          <w:rFonts w:cstheme="minorHAnsi"/>
          <w:shd w:val="clear" w:color="auto" w:fill="FFFFFF"/>
          <w:lang w:val="en-US"/>
        </w:rPr>
        <w:t>OxyMicro</w:t>
      </w:r>
      <w:proofErr w:type="spellEnd"/>
      <w:r w:rsidRPr="008D1539">
        <w:rPr>
          <w:rFonts w:cstheme="minorHAnsi"/>
          <w:shd w:val="clear" w:color="auto" w:fill="FFFFFF"/>
          <w:lang w:val="en-US"/>
        </w:rPr>
        <w:t xml:space="preserve">; WPI, </w:t>
      </w:r>
      <w:proofErr w:type="spellStart"/>
      <w:r w:rsidRPr="008D1539">
        <w:rPr>
          <w:rFonts w:cstheme="minorHAnsi"/>
          <w:lang w:val="en-US"/>
        </w:rPr>
        <w:t>Hitchin</w:t>
      </w:r>
      <w:proofErr w:type="spellEnd"/>
      <w:r w:rsidRPr="008D1539">
        <w:rPr>
          <w:rFonts w:cstheme="minorHAnsi"/>
          <w:lang w:val="en-US"/>
        </w:rPr>
        <w:t>, UK</w:t>
      </w:r>
      <w:r w:rsidRPr="008D1539">
        <w:rPr>
          <w:rFonts w:cstheme="minorHAnsi"/>
          <w:shd w:val="clear" w:color="auto" w:fill="FFFFFF"/>
          <w:lang w:val="en-US"/>
        </w:rPr>
        <w:t>). The rats were lying on their side. The left kidney was exposed through a midline incision. A needle containing the microsensor’s optical fiber (</w:t>
      </w:r>
      <w:proofErr w:type="spellStart"/>
      <w:r w:rsidRPr="008D1539">
        <w:rPr>
          <w:rFonts w:cstheme="minorHAnsi"/>
          <w:shd w:val="clear" w:color="auto" w:fill="FFFFFF"/>
          <w:lang w:val="en-US"/>
        </w:rPr>
        <w:t>MicroTip</w:t>
      </w:r>
      <w:proofErr w:type="spellEnd"/>
      <w:r w:rsidRPr="008D1539">
        <w:rPr>
          <w:rFonts w:cstheme="minorHAnsi"/>
          <w:shd w:val="clear" w:color="auto" w:fill="FFFFFF"/>
          <w:lang w:val="en-US"/>
        </w:rPr>
        <w:t xml:space="preserve"> 501656, WPI, </w:t>
      </w:r>
      <w:proofErr w:type="spellStart"/>
      <w:r w:rsidRPr="008D1539">
        <w:rPr>
          <w:rFonts w:cstheme="minorHAnsi"/>
          <w:shd w:val="clear" w:color="auto" w:fill="FFFFFF"/>
          <w:lang w:val="en-US"/>
        </w:rPr>
        <w:t>Hitchin</w:t>
      </w:r>
      <w:proofErr w:type="spellEnd"/>
      <w:r w:rsidRPr="008D1539">
        <w:rPr>
          <w:rFonts w:cstheme="minorHAnsi"/>
          <w:shd w:val="clear" w:color="auto" w:fill="FFFFFF"/>
          <w:lang w:val="en-US"/>
        </w:rPr>
        <w:t xml:space="preserve">, UK) was introduced tangentially under the renal capsule using a micromanipulator. </w:t>
      </w:r>
      <w:r w:rsidRPr="008D1539">
        <w:rPr>
          <w:rStyle w:val="tlid-translation"/>
          <w:rFonts w:cstheme="minorHAnsi"/>
          <w:lang w:val="en-US"/>
        </w:rPr>
        <w:t xml:space="preserve">The microsensor was extended into renal cortex (3mm). </w:t>
      </w:r>
      <w:r w:rsidRPr="008D1539">
        <w:rPr>
          <w:rFonts w:cstheme="minorHAnsi"/>
          <w:shd w:val="clear" w:color="auto" w:fill="FFFFFF"/>
          <w:lang w:val="en-US"/>
        </w:rPr>
        <w:t xml:space="preserve">Kidney was </w:t>
      </w:r>
      <w:r w:rsidRPr="008D1539">
        <w:rPr>
          <w:rFonts w:cstheme="minorHAnsi"/>
          <w:lang w:val="en-US"/>
        </w:rPr>
        <w:t>covered with transparent film to avoid desiccation</w:t>
      </w:r>
      <w:r w:rsidRPr="008D1539">
        <w:rPr>
          <w:rFonts w:cstheme="minorHAnsi"/>
          <w:shd w:val="clear" w:color="auto" w:fill="FFFFFF"/>
          <w:lang w:val="en-US"/>
        </w:rPr>
        <w:t>. The tPO</w:t>
      </w:r>
      <w:r w:rsidRPr="008D1539">
        <w:rPr>
          <w:rFonts w:cstheme="minorHAnsi"/>
          <w:shd w:val="clear" w:color="auto" w:fill="FFFFFF"/>
          <w:vertAlign w:val="subscript"/>
          <w:lang w:val="en-US"/>
        </w:rPr>
        <w:t>2</w:t>
      </w:r>
      <w:r w:rsidRPr="008D1539">
        <w:rPr>
          <w:rFonts w:cstheme="minorHAnsi"/>
          <w:shd w:val="clear" w:color="auto" w:fill="FFFFFF"/>
          <w:lang w:val="en-US"/>
        </w:rPr>
        <w:t xml:space="preserve"> was continuously recorded at 1-second intervals for 210 min. </w:t>
      </w:r>
    </w:p>
    <w:p w14:paraId="38DCD082" w14:textId="77777777" w:rsidR="00BB5B80" w:rsidRPr="008D1539" w:rsidRDefault="00BB5B80" w:rsidP="00BB5B80">
      <w:pPr>
        <w:autoSpaceDE w:val="0"/>
        <w:autoSpaceDN w:val="0"/>
        <w:adjustRightInd w:val="0"/>
        <w:spacing w:line="480" w:lineRule="auto"/>
        <w:jc w:val="both"/>
        <w:rPr>
          <w:rFonts w:cstheme="minorHAnsi"/>
          <w:b/>
          <w:bCs/>
          <w:lang w:val="en-US"/>
        </w:rPr>
      </w:pPr>
    </w:p>
    <w:p w14:paraId="0A37EB83" w14:textId="77777777" w:rsidR="00BB5B80" w:rsidRPr="008D1539" w:rsidRDefault="00BB5B80" w:rsidP="00BB5B80">
      <w:pPr>
        <w:autoSpaceDE w:val="0"/>
        <w:autoSpaceDN w:val="0"/>
        <w:adjustRightInd w:val="0"/>
        <w:spacing w:line="480" w:lineRule="auto"/>
        <w:jc w:val="both"/>
        <w:rPr>
          <w:rFonts w:cstheme="minorHAnsi"/>
          <w:b/>
          <w:bCs/>
          <w:lang w:val="en-US"/>
        </w:rPr>
      </w:pPr>
      <w:r w:rsidRPr="008D1539">
        <w:rPr>
          <w:rFonts w:cstheme="minorHAnsi"/>
          <w:b/>
          <w:bCs/>
          <w:lang w:val="en-US"/>
        </w:rPr>
        <w:t>Blood gas, glycemia and lactatemia</w:t>
      </w:r>
    </w:p>
    <w:p w14:paraId="1E52C3BA" w14:textId="77777777" w:rsidR="00BB5B80" w:rsidRPr="008D1539" w:rsidRDefault="00BB5B80" w:rsidP="00BB5B80">
      <w:pPr>
        <w:autoSpaceDE w:val="0"/>
        <w:autoSpaceDN w:val="0"/>
        <w:adjustRightInd w:val="0"/>
        <w:spacing w:line="480" w:lineRule="auto"/>
        <w:jc w:val="both"/>
        <w:rPr>
          <w:rFonts w:cstheme="minorHAnsi"/>
          <w:color w:val="131413"/>
          <w:lang w:val="en-US"/>
        </w:rPr>
      </w:pPr>
      <w:r w:rsidRPr="008D1539">
        <w:rPr>
          <w:rFonts w:cstheme="minorHAnsi"/>
          <w:color w:val="000000" w:themeColor="text1"/>
          <w:lang w:val="en-US"/>
        </w:rPr>
        <w:t>Blood tests were performed at t</w:t>
      </w:r>
      <w:r w:rsidRPr="008D1539">
        <w:rPr>
          <w:rFonts w:cstheme="minorHAnsi"/>
          <w:lang w:val="en-US"/>
        </w:rPr>
        <w:t xml:space="preserve">hree </w:t>
      </w:r>
      <w:r w:rsidRPr="008D1539">
        <w:rPr>
          <w:rFonts w:cstheme="minorHAnsi"/>
          <w:color w:val="000000" w:themeColor="text1"/>
          <w:lang w:val="en-US"/>
        </w:rPr>
        <w:t>experimental time-points:</w:t>
      </w:r>
      <w:r w:rsidRPr="008D1539">
        <w:rPr>
          <w:rFonts w:cstheme="minorHAnsi"/>
          <w:color w:val="FF0000"/>
          <w:lang w:val="en-US"/>
        </w:rPr>
        <w:t xml:space="preserve"> </w:t>
      </w:r>
      <w:r w:rsidRPr="008D1539">
        <w:rPr>
          <w:rFonts w:cstheme="minorHAnsi"/>
          <w:lang w:val="en-US"/>
        </w:rPr>
        <w:t>before (baseline, BL)</w:t>
      </w:r>
      <w:r w:rsidRPr="008D1539">
        <w:rPr>
          <w:rFonts w:cstheme="minorHAnsi"/>
          <w:color w:val="FF0000"/>
          <w:lang w:val="en-US"/>
        </w:rPr>
        <w:t>,</w:t>
      </w:r>
      <w:r w:rsidRPr="008D1539">
        <w:rPr>
          <w:rFonts w:cstheme="minorHAnsi"/>
          <w:lang w:val="en-US"/>
        </w:rPr>
        <w:t xml:space="preserve"> at the end of the hemorrhage (T0H) and at T6H </w:t>
      </w:r>
      <w:r w:rsidRPr="008D1539">
        <w:rPr>
          <w:rFonts w:cstheme="minorHAnsi"/>
          <w:color w:val="000000" w:themeColor="text1"/>
          <w:lang w:val="en-US"/>
        </w:rPr>
        <w:t>on the 46 animals.</w:t>
      </w:r>
      <w:r w:rsidRPr="008D1539">
        <w:rPr>
          <w:rFonts w:cstheme="minorHAnsi"/>
          <w:color w:val="131413"/>
          <w:lang w:val="en-US"/>
        </w:rPr>
        <w:t xml:space="preserve"> Blood samples were collected from the arterial catheter </w:t>
      </w:r>
      <w:r w:rsidRPr="008D1539">
        <w:rPr>
          <w:rFonts w:cstheme="minorHAnsi"/>
          <w:bCs/>
          <w:lang w:val="en-US"/>
        </w:rPr>
        <w:t>to measure</w:t>
      </w:r>
      <w:r w:rsidRPr="008D1539">
        <w:rPr>
          <w:rFonts w:cstheme="minorHAnsi"/>
          <w:color w:val="131413"/>
          <w:lang w:val="en-US"/>
        </w:rPr>
        <w:t xml:space="preserve"> arterial blood gases (</w:t>
      </w:r>
      <w:proofErr w:type="spellStart"/>
      <w:r w:rsidRPr="008D1539">
        <w:rPr>
          <w:rFonts w:cstheme="minorHAnsi"/>
          <w:color w:val="131413"/>
          <w:lang w:val="en-US"/>
        </w:rPr>
        <w:t>Rapidlab</w:t>
      </w:r>
      <w:proofErr w:type="spellEnd"/>
      <w:r w:rsidRPr="008D1539">
        <w:rPr>
          <w:rFonts w:cstheme="minorHAnsi"/>
          <w:color w:val="131413"/>
          <w:lang w:val="en-US"/>
        </w:rPr>
        <w:t xml:space="preserve"> 348 EX, Siemens HealthCare), glycemia (</w:t>
      </w:r>
      <w:proofErr w:type="spellStart"/>
      <w:r w:rsidRPr="008D1539">
        <w:rPr>
          <w:rFonts w:cstheme="minorHAnsi"/>
          <w:lang w:val="en-US"/>
        </w:rPr>
        <w:t>Verio</w:t>
      </w:r>
      <w:proofErr w:type="spellEnd"/>
      <w:r w:rsidRPr="008D1539">
        <w:rPr>
          <w:rFonts w:cstheme="minorHAnsi"/>
          <w:lang w:val="en-US"/>
        </w:rPr>
        <w:t>, OneTouch</w:t>
      </w:r>
      <w:r w:rsidRPr="008D1539">
        <w:rPr>
          <w:rFonts w:cstheme="minorHAnsi"/>
          <w:color w:val="131413"/>
          <w:lang w:val="en-US"/>
        </w:rPr>
        <w:t>) and lactatemia (</w:t>
      </w:r>
      <w:r w:rsidRPr="008D1539">
        <w:rPr>
          <w:rFonts w:cstheme="minorHAnsi"/>
          <w:lang w:val="en-US"/>
        </w:rPr>
        <w:t xml:space="preserve">THE EDGE, </w:t>
      </w:r>
      <w:proofErr w:type="spellStart"/>
      <w:r w:rsidRPr="008D1539">
        <w:rPr>
          <w:rFonts w:cstheme="minorHAnsi"/>
          <w:lang w:val="en-US"/>
        </w:rPr>
        <w:t>ApexBio</w:t>
      </w:r>
      <w:proofErr w:type="spellEnd"/>
      <w:r w:rsidRPr="008D1539">
        <w:rPr>
          <w:rFonts w:cstheme="minorHAnsi"/>
          <w:color w:val="131413"/>
          <w:lang w:val="en-US"/>
        </w:rPr>
        <w:t>). The PaO</w:t>
      </w:r>
      <w:r w:rsidRPr="008D1539">
        <w:rPr>
          <w:rFonts w:cstheme="minorHAnsi"/>
          <w:color w:val="131413"/>
          <w:vertAlign w:val="subscript"/>
          <w:lang w:val="en-US"/>
        </w:rPr>
        <w:t>2</w:t>
      </w:r>
      <w:r w:rsidRPr="008D1539">
        <w:rPr>
          <w:rFonts w:cstheme="minorHAnsi"/>
          <w:color w:val="131413"/>
          <w:lang w:val="en-US"/>
        </w:rPr>
        <w:t>/FiO</w:t>
      </w:r>
      <w:r w:rsidRPr="008D1539">
        <w:rPr>
          <w:rFonts w:cstheme="minorHAnsi"/>
          <w:color w:val="131413"/>
          <w:vertAlign w:val="subscript"/>
          <w:lang w:val="en-US"/>
        </w:rPr>
        <w:t>2</w:t>
      </w:r>
      <w:r w:rsidRPr="008D1539">
        <w:rPr>
          <w:rFonts w:cstheme="minorHAnsi"/>
          <w:color w:val="131413"/>
          <w:lang w:val="en-US"/>
        </w:rPr>
        <w:t xml:space="preserve"> ratio was the calculated by dividing the </w:t>
      </w:r>
      <w:r w:rsidRPr="008D1539">
        <w:rPr>
          <w:rFonts w:cstheme="minorHAnsi"/>
          <w:lang w:val="en-US"/>
        </w:rPr>
        <w:t xml:space="preserve">arterial oxygen level by the fraction of inspired oxygen measured on the ventilation mask. </w:t>
      </w:r>
      <w:r w:rsidRPr="008D1539">
        <w:rPr>
          <w:rStyle w:val="Accentuation"/>
          <w:rFonts w:cstheme="minorHAnsi"/>
          <w:lang w:val="en-US"/>
        </w:rPr>
        <w:t>Alveolar</w:t>
      </w:r>
      <w:r w:rsidRPr="008D1539">
        <w:rPr>
          <w:rStyle w:val="st"/>
          <w:rFonts w:cstheme="minorHAnsi"/>
          <w:i/>
          <w:lang w:val="en-US"/>
        </w:rPr>
        <w:t>–</w:t>
      </w:r>
      <w:r w:rsidRPr="008D1539">
        <w:rPr>
          <w:rStyle w:val="Accentuation"/>
          <w:rFonts w:cstheme="minorHAnsi"/>
          <w:lang w:val="en-US"/>
        </w:rPr>
        <w:t>arterial gradient</w:t>
      </w:r>
      <w:r w:rsidRPr="008D1539">
        <w:rPr>
          <w:rStyle w:val="st"/>
          <w:rFonts w:cstheme="minorHAnsi"/>
          <w:lang w:val="en-US"/>
        </w:rPr>
        <w:t xml:space="preserve"> is a measure by the difference between the alveolar oxygen concentration (</w:t>
      </w:r>
      <w:r w:rsidRPr="008D1539">
        <w:rPr>
          <w:rFonts w:cstheme="minorHAnsi"/>
          <w:lang w:val="en-US"/>
        </w:rPr>
        <w:t>calculated from the blood gas data)</w:t>
      </w:r>
      <w:r w:rsidRPr="008D1539">
        <w:rPr>
          <w:rStyle w:val="st"/>
          <w:rFonts w:cstheme="minorHAnsi"/>
          <w:lang w:val="en-US"/>
        </w:rPr>
        <w:t xml:space="preserve"> and the arterial oxygen concentration (measured from the blood gases). </w:t>
      </w:r>
    </w:p>
    <w:p w14:paraId="682B86D1" w14:textId="77777777" w:rsidR="003542A9" w:rsidRDefault="003542A9" w:rsidP="003542A9">
      <w:pPr>
        <w:autoSpaceDE w:val="0"/>
        <w:autoSpaceDN w:val="0"/>
        <w:adjustRightInd w:val="0"/>
        <w:spacing w:line="480" w:lineRule="auto"/>
        <w:jc w:val="both"/>
        <w:rPr>
          <w:rFonts w:cstheme="minorHAnsi"/>
          <w:b/>
          <w:bCs/>
          <w:lang w:val="en-US"/>
        </w:rPr>
      </w:pPr>
      <w:r w:rsidRPr="008D1539">
        <w:rPr>
          <w:rFonts w:cstheme="minorHAnsi"/>
          <w:b/>
          <w:bCs/>
          <w:lang w:val="en-US"/>
        </w:rPr>
        <w:lastRenderedPageBreak/>
        <w:t>Histological a</w:t>
      </w:r>
      <w:r>
        <w:rPr>
          <w:rFonts w:cstheme="minorHAnsi"/>
          <w:b/>
          <w:bCs/>
          <w:lang w:val="en-US"/>
        </w:rPr>
        <w:t>nd Immunochemistry</w:t>
      </w:r>
      <w:r w:rsidRPr="008D1539">
        <w:rPr>
          <w:rFonts w:cstheme="minorHAnsi"/>
          <w:b/>
          <w:bCs/>
          <w:lang w:val="en-US"/>
        </w:rPr>
        <w:t xml:space="preserve"> </w:t>
      </w:r>
    </w:p>
    <w:p w14:paraId="68DFEE5E" w14:textId="1ABA9030" w:rsidR="00D6468B" w:rsidRPr="008D1539" w:rsidRDefault="00D6468B" w:rsidP="00D6468B">
      <w:pPr>
        <w:autoSpaceDE w:val="0"/>
        <w:autoSpaceDN w:val="0"/>
        <w:adjustRightInd w:val="0"/>
        <w:spacing w:line="480" w:lineRule="auto"/>
        <w:jc w:val="both"/>
        <w:rPr>
          <w:rFonts w:cstheme="minorHAnsi"/>
          <w:lang w:val="en-US"/>
        </w:rPr>
      </w:pPr>
      <w:r w:rsidRPr="008D1539">
        <w:rPr>
          <w:rFonts w:cstheme="minorHAnsi"/>
          <w:lang w:val="en-US"/>
        </w:rPr>
        <w:t>The preparation of slides and stains was carried out by the histology department of the Cochin Institute (</w:t>
      </w:r>
      <w:proofErr w:type="spellStart"/>
      <w:r w:rsidRPr="008D1539">
        <w:rPr>
          <w:rFonts w:cstheme="minorHAnsi"/>
          <w:lang w:val="en-US"/>
        </w:rPr>
        <w:t>HistIM</w:t>
      </w:r>
      <w:proofErr w:type="spellEnd"/>
      <w:r w:rsidRPr="008D1539">
        <w:rPr>
          <w:rFonts w:cstheme="minorHAnsi"/>
          <w:lang w:val="en-US"/>
        </w:rPr>
        <w:t>; INSERM U1016, CNRS UMR 8104, University of Paris). The organs were excised and fixed</w:t>
      </w:r>
      <w:r w:rsidR="000745AF">
        <w:rPr>
          <w:rFonts w:cstheme="minorHAnsi"/>
          <w:lang w:val="en-US"/>
        </w:rPr>
        <w:t xml:space="preserve"> </w:t>
      </w:r>
      <w:r w:rsidR="000745AF" w:rsidRPr="00D8445A">
        <w:rPr>
          <w:rFonts w:cstheme="minorHAnsi"/>
          <w:lang w:val="en-US"/>
        </w:rPr>
        <w:t>for 48–72 hours</w:t>
      </w:r>
      <w:r w:rsidRPr="008D1539">
        <w:rPr>
          <w:rFonts w:cstheme="minorHAnsi"/>
          <w:lang w:val="en-US"/>
        </w:rPr>
        <w:t xml:space="preserve"> in </w:t>
      </w:r>
      <w:r>
        <w:rPr>
          <w:rFonts w:cstheme="minorHAnsi"/>
          <w:lang w:val="en-US"/>
        </w:rPr>
        <w:t>4</w:t>
      </w:r>
      <w:r w:rsidRPr="008D1539">
        <w:rPr>
          <w:rFonts w:cstheme="minorHAnsi"/>
          <w:lang w:val="en-US"/>
        </w:rPr>
        <w:t>%</w:t>
      </w:r>
      <w:r>
        <w:rPr>
          <w:rFonts w:cstheme="minorHAnsi"/>
          <w:lang w:val="en-US"/>
        </w:rPr>
        <w:t xml:space="preserve"> buffered</w:t>
      </w:r>
      <w:r w:rsidRPr="008D1539">
        <w:rPr>
          <w:rFonts w:cstheme="minorHAnsi"/>
          <w:lang w:val="en-US"/>
        </w:rPr>
        <w:t xml:space="preserve"> formaldehyde,</w:t>
      </w:r>
      <w:r w:rsidRPr="001436C9">
        <w:rPr>
          <w:lang w:val="en-US"/>
        </w:rPr>
        <w:t xml:space="preserve"> transferred to 70% ethanol</w:t>
      </w:r>
      <w:r>
        <w:rPr>
          <w:rFonts w:cstheme="minorHAnsi"/>
          <w:lang w:val="en-US"/>
        </w:rPr>
        <w:t xml:space="preserve"> and </w:t>
      </w:r>
      <w:r w:rsidRPr="008D1539">
        <w:rPr>
          <w:rFonts w:cstheme="minorHAnsi"/>
          <w:lang w:val="en-US"/>
        </w:rPr>
        <w:t>embedded in paraffin</w:t>
      </w:r>
      <w:r>
        <w:rPr>
          <w:rFonts w:cstheme="minorHAnsi"/>
          <w:lang w:val="en-US"/>
        </w:rPr>
        <w:t xml:space="preserve">. </w:t>
      </w:r>
      <w:r w:rsidRPr="008D1539">
        <w:rPr>
          <w:rFonts w:cstheme="minorHAnsi"/>
          <w:lang w:val="en-US"/>
        </w:rPr>
        <w:t xml:space="preserve"> </w:t>
      </w:r>
      <w:r w:rsidRPr="001436C9">
        <w:rPr>
          <w:lang w:val="en-US"/>
        </w:rPr>
        <w:t xml:space="preserve">Sections were then cut into 4 µm slices </w:t>
      </w:r>
      <w:r w:rsidRPr="008D1539">
        <w:rPr>
          <w:rFonts w:cstheme="minorHAnsi"/>
          <w:lang w:val="en-US"/>
        </w:rPr>
        <w:t xml:space="preserve">for Hematoxylin-Eosin-Safran (HES) (lung, and liver) and Periodic acid-Schiff (PAS) (kidney) staining. Slides were scanned with a </w:t>
      </w:r>
      <w:r w:rsidRPr="008D1539">
        <w:rPr>
          <w:rFonts w:cstheme="minorHAnsi"/>
          <w:color w:val="022222"/>
          <w:lang w:val="en-US"/>
        </w:rPr>
        <w:t>Lamina Multilabel Slide Scanner</w:t>
      </w:r>
      <w:r w:rsidRPr="008D1539">
        <w:rPr>
          <w:rFonts w:cstheme="minorHAnsi"/>
          <w:bCs/>
          <w:color w:val="022222"/>
          <w:lang w:val="en-US"/>
        </w:rPr>
        <w:t xml:space="preserve"> </w:t>
      </w:r>
      <w:r w:rsidRPr="008D1539">
        <w:rPr>
          <w:rFonts w:cstheme="minorHAnsi"/>
          <w:lang w:val="en-US"/>
        </w:rPr>
        <w:t xml:space="preserve">(PerkinElmer, Inc) and scored on </w:t>
      </w:r>
      <w:proofErr w:type="spellStart"/>
      <w:r w:rsidRPr="008D1539">
        <w:rPr>
          <w:rFonts w:cstheme="minorHAnsi"/>
          <w:lang w:val="en-US"/>
        </w:rPr>
        <w:t>CaseViewer</w:t>
      </w:r>
      <w:proofErr w:type="spellEnd"/>
      <w:r w:rsidRPr="008D1539">
        <w:rPr>
          <w:rFonts w:cstheme="minorHAnsi"/>
          <w:lang w:val="en-US"/>
        </w:rPr>
        <w:t xml:space="preserve"> </w:t>
      </w:r>
      <w:r>
        <w:rPr>
          <w:rFonts w:cstheme="minorHAnsi"/>
          <w:lang w:val="en-US"/>
        </w:rPr>
        <w:t xml:space="preserve">software </w:t>
      </w:r>
      <w:proofErr w:type="spellStart"/>
      <w:r>
        <w:rPr>
          <w:rFonts w:cstheme="minorHAnsi"/>
          <w:lang w:val="en-US"/>
        </w:rPr>
        <w:t>software</w:t>
      </w:r>
      <w:proofErr w:type="spellEnd"/>
      <w:r>
        <w:rPr>
          <w:rFonts w:cstheme="minorHAnsi"/>
          <w:lang w:val="en-US"/>
        </w:rPr>
        <w:t xml:space="preserve"> by two </w:t>
      </w:r>
      <w:r w:rsidRPr="00A50189">
        <w:rPr>
          <w:rFonts w:cstheme="minorHAnsi"/>
          <w:lang w:val="en-US"/>
        </w:rPr>
        <w:t>investigators blind to the experimental groups</w:t>
      </w:r>
      <w:r w:rsidRPr="008D1539">
        <w:rPr>
          <w:rFonts w:cstheme="minorHAnsi"/>
          <w:lang w:val="en-US"/>
        </w:rPr>
        <w:t xml:space="preserve">. Kidney Tubular injury score included: tubular dilation, tubular </w:t>
      </w:r>
      <w:r w:rsidRPr="008D1539">
        <w:rPr>
          <w:rFonts w:cstheme="minorHAnsi"/>
          <w:shd w:val="clear" w:color="auto" w:fill="FFFFFF"/>
          <w:lang w:val="en-US"/>
        </w:rPr>
        <w:t xml:space="preserve">cast </w:t>
      </w:r>
      <w:r w:rsidRPr="008D1539">
        <w:rPr>
          <w:rFonts w:cstheme="minorHAnsi"/>
          <w:lang w:val="en-US"/>
        </w:rPr>
        <w:t>formation and tubular necrosis, adapted from Khalid and</w:t>
      </w:r>
      <w:r w:rsidRPr="008D1539">
        <w:rPr>
          <w:rFonts w:cstheme="minorHAnsi"/>
          <w:i/>
          <w:lang w:val="en-US"/>
        </w:rPr>
        <w:t xml:space="preserve"> al</w:t>
      </w:r>
      <w:r w:rsidRPr="008D1539">
        <w:rPr>
          <w:rFonts w:cstheme="minorHAnsi"/>
          <w:lang w:val="en-US"/>
        </w:rPr>
        <w:t xml:space="preserve">. </w:t>
      </w:r>
      <w:r w:rsidRPr="008D1539">
        <w:rPr>
          <w:rFonts w:cstheme="minorHAnsi"/>
          <w:lang w:val="en-US"/>
        </w:rPr>
        <w:fldChar w:fldCharType="begin"/>
      </w:r>
      <w:r>
        <w:rPr>
          <w:rFonts w:cstheme="minorHAnsi"/>
          <w:lang w:val="en-US"/>
        </w:rPr>
        <w:instrText xml:space="preserve"> ADDIN ZOTERO_ITEM CSL_CITATION {"citationID":"L9yEevg1","properties":{"formattedCitation":"(16)","plainCitation":"(16)","noteIndex":0},"citationItems":[{"id":534,"uris":["http://zotero.org/users/2833909/items/H5AV5VPZ"],"uri":["http://zotero.org/users/2833909/items/H5AV5VPZ"],"itemData":{"id":534,"type":"article-journal","abstract":"Introduction\nIschaemia reperfusion injury (IRI) is a complex pathological process characterized by initial restriction of blood supply to the organ followed by subsequent restoration of blood flow and oxygenation, and is an inevitable consequence of organ transplantation, causing significant morbidity and mortality. In kidney transplantation, IRI manifests as primary non-function and","container-title":"Journal of Histology &amp; Histopathology","DOI":"2055-091X-3-1","ISSN":"2055-091X","issue":"1","language":"en","page":"1","source":"www.hoajonline.com","title":"Kidney ischaemia reperfusion injury in the rat: the EGTI scoring system as a valid and reliable tool for histological assessment","title-short":"Kidney ischaemia reperfusion injury in the rat","volume":"3","author":[{"family":"Khalid","given":"Usman"},{"family":"Pino-Chavez","given":"Gilda"},{"family":"Nesargikar","given":"Prabhu"},{"family":"Jenkins","given":"Robert H."},{"family":"Bowen","given":"Timothy"},{"family":"Fraser","given":"Donald J."},{"family":"Chavez","given":"Rafael"}],"issued":{"date-parts":[["2016",1,4]]}}}],"schema":"https://github.com/citation-style-language/schema/raw/master/csl-citation.json"} </w:instrText>
      </w:r>
      <w:r w:rsidRPr="008D1539">
        <w:rPr>
          <w:rFonts w:cstheme="minorHAnsi"/>
          <w:lang w:val="en-US"/>
        </w:rPr>
        <w:fldChar w:fldCharType="separate"/>
      </w:r>
      <w:r w:rsidR="00A36B77">
        <w:rPr>
          <w:rFonts w:ascii="Calibri" w:hAnsi="Calibri" w:cs="Calibri"/>
          <w:lang w:val="en-US"/>
        </w:rPr>
        <w:t>(1</w:t>
      </w:r>
      <w:r w:rsidRPr="00066952">
        <w:rPr>
          <w:rFonts w:ascii="Calibri" w:hAnsi="Calibri" w:cs="Calibri"/>
          <w:lang w:val="en-US"/>
        </w:rPr>
        <w:t>)</w:t>
      </w:r>
      <w:r w:rsidRPr="008D1539">
        <w:rPr>
          <w:rFonts w:cstheme="minorHAnsi"/>
          <w:lang w:val="en-US"/>
        </w:rPr>
        <w:fldChar w:fldCharType="end"/>
      </w:r>
      <w:r w:rsidRPr="008D1539">
        <w:rPr>
          <w:rFonts w:cstheme="minorHAnsi"/>
          <w:lang w:val="en-US"/>
        </w:rPr>
        <w:t xml:space="preserve"> </w:t>
      </w:r>
      <w:r w:rsidRPr="008D1539">
        <w:rPr>
          <w:rFonts w:cstheme="minorHAnsi"/>
          <w:shd w:val="clear" w:color="auto" w:fill="FFFFFF"/>
          <w:lang w:val="en-US"/>
        </w:rPr>
        <w:t xml:space="preserve">was </w:t>
      </w:r>
      <w:r w:rsidRPr="008D1539">
        <w:rPr>
          <w:rFonts w:cstheme="minorHAnsi"/>
          <w:lang w:val="en-US"/>
        </w:rPr>
        <w:t>quantified on 10 randomly selected fields in the external medulla</w:t>
      </w:r>
      <w:r w:rsidRPr="008D1539">
        <w:rPr>
          <w:rFonts w:cstheme="minorHAnsi"/>
          <w:shd w:val="clear" w:color="auto" w:fill="FFFFFF"/>
          <w:lang w:val="en-US"/>
        </w:rPr>
        <w:t>.</w:t>
      </w:r>
      <w:r w:rsidRPr="008D1539">
        <w:rPr>
          <w:rFonts w:cstheme="minorHAnsi"/>
          <w:lang w:val="en-US"/>
        </w:rPr>
        <w:t xml:space="preserve"> Liver injury score included: congestion, vacuolization and necrosis of hepatocytes</w:t>
      </w:r>
      <w:r>
        <w:rPr>
          <w:rFonts w:cstheme="minorHAnsi"/>
          <w:lang w:val="en-US"/>
        </w:rPr>
        <w:t xml:space="preserve"> </w:t>
      </w:r>
      <w:r>
        <w:rPr>
          <w:rFonts w:cstheme="minorHAnsi"/>
          <w:lang w:val="en-US"/>
        </w:rPr>
        <w:fldChar w:fldCharType="begin"/>
      </w:r>
      <w:r>
        <w:rPr>
          <w:rFonts w:cstheme="minorHAnsi"/>
          <w:lang w:val="en-US"/>
        </w:rPr>
        <w:instrText xml:space="preserve"> ADDIN ZOTERO_ITEM CSL_CITATION {"citationID":"WnskThil","properties":{"formattedCitation":"(17)","plainCitation":"(17)","noteIndex":0},"citationItems":[{"id":2116,"uris":["http://zotero.org/users/2833909/items/AIJ7VUN9"],"uri":["http://zotero.org/users/2833909/items/AIJ7VUN9"],"itemData":{"id":2116,"type":"article-journal","abstract":"To examine the role of neutrophils, their presence and the degree of infiltration, as important determinants of ischemia and reperfusion injury of the liver, male Sprague-Dawley rats were subjected to 60 and 90 min of total-liver ischemia. The presence of neutrophils, assessed by the measurement of liver tissue myeloperoxidase (MPO), and the degree of neutrophil liver infiltration, determined by the naphthol AS-D chloroacetate esterase technique, correlated well with animal survival and response to FK506 and cyclosporine administration. Lipid peroxidation, measured by the malondialdehyde (MDA) test in liver tissue, was another factor closely linked with liver function and survival. Pretreatment with FK506 (0.3 mg/kg) and CsA (5 mg/kg) was given at 4 hr and 1 hr before ischemia and at the time of reperfusion. Control ischemic animals showed increased neutrophil liver infiltration, high MPO and MDA liver levels, and diminished overall survival. FK506 and CsA-treated animals had better survival and diminished neutrophil liver infiltration, as well as MPO and MDA levels. The mechanism by which FK506 and CsA protected the animals from severe liver ischemic injury is unknown. Our data indicated that the presence and the degree of infiltration of neutrophils were important components of liver ischemia/reperfusion injury in the rat. So it is possible that one of the fundamental effects of the FK506 and CsA might be through the inhibition of the presence and infiltration of neutrophils in liver tissue.","container-title":"Transplantation","DOI":"10.1097/00007890-199306000-00011","ISSN":"0041-1337","issue":"6","journalAbbreviation":"Transplantation","language":"eng","note":"PMID: 7685932","page":"1265-1272","source":"PubMed","title":"Neutrophil infiltration as an important factor in liver ischemia and reperfusion injury. Modulating effects of FK506 and cyclosporine","volume":"55","author":[{"family":"Suzuki","given":"S."},{"family":"Toledo-Pereyra","given":"L. H."},{"family":"Rodriguez","given":"F. J."},{"family":"Cejalvo","given":"D."}],"issued":{"date-parts":[["1993",6]]}}}],"schema":"https://github.com/citation-style-language/schema/raw/master/csl-citation.json"} </w:instrText>
      </w:r>
      <w:r>
        <w:rPr>
          <w:rFonts w:cstheme="minorHAnsi"/>
          <w:lang w:val="en-US"/>
        </w:rPr>
        <w:fldChar w:fldCharType="separate"/>
      </w:r>
      <w:r w:rsidRPr="00066952">
        <w:rPr>
          <w:rFonts w:ascii="Calibri" w:hAnsi="Calibri" w:cs="Calibri"/>
          <w:lang w:val="en-US"/>
        </w:rPr>
        <w:t>(</w:t>
      </w:r>
      <w:r w:rsidR="00A36B77">
        <w:rPr>
          <w:rFonts w:ascii="Calibri" w:hAnsi="Calibri" w:cs="Calibri"/>
          <w:lang w:val="en-US"/>
        </w:rPr>
        <w:t>2</w:t>
      </w:r>
      <w:r w:rsidRPr="00066952">
        <w:rPr>
          <w:rFonts w:ascii="Calibri" w:hAnsi="Calibri" w:cs="Calibri"/>
          <w:lang w:val="en-US"/>
        </w:rPr>
        <w:t>)</w:t>
      </w:r>
      <w:r>
        <w:rPr>
          <w:rFonts w:cstheme="minorHAnsi"/>
          <w:lang w:val="en-US"/>
        </w:rPr>
        <w:fldChar w:fldCharType="end"/>
      </w:r>
      <w:r w:rsidRPr="008D1539">
        <w:rPr>
          <w:rFonts w:cstheme="minorHAnsi"/>
          <w:lang w:val="en-US"/>
        </w:rPr>
        <w:t xml:space="preserve">, </w:t>
      </w:r>
      <w:r w:rsidRPr="008D1539">
        <w:rPr>
          <w:rFonts w:cstheme="minorHAnsi"/>
          <w:shd w:val="clear" w:color="auto" w:fill="FFFFFF"/>
          <w:lang w:val="en-US"/>
        </w:rPr>
        <w:t xml:space="preserve">was </w:t>
      </w:r>
      <w:r w:rsidRPr="008D1539">
        <w:rPr>
          <w:rFonts w:cstheme="minorHAnsi"/>
          <w:lang w:val="en-US"/>
        </w:rPr>
        <w:t xml:space="preserve">quantified on 30 randomly selected fields in each liver sample. Lung injury score included: leukocyte in the interstitial or alveolar space, </w:t>
      </w:r>
      <w:bookmarkStart w:id="0" w:name="OLE_LINK3"/>
      <w:r w:rsidRPr="008D1539">
        <w:rPr>
          <w:rFonts w:cstheme="minorHAnsi"/>
          <w:lang w:val="en-US"/>
        </w:rPr>
        <w:t>proteinaceous debris</w:t>
      </w:r>
      <w:bookmarkEnd w:id="0"/>
      <w:r w:rsidRPr="008D1539">
        <w:rPr>
          <w:rFonts w:cstheme="minorHAnsi"/>
          <w:lang w:val="en-US"/>
        </w:rPr>
        <w:t xml:space="preserve"> filling the airspaces and </w:t>
      </w:r>
      <w:bookmarkStart w:id="1" w:name="OLE_LINK4"/>
      <w:r w:rsidRPr="008D1539">
        <w:rPr>
          <w:rFonts w:cstheme="minorHAnsi"/>
          <w:lang w:val="en-US"/>
        </w:rPr>
        <w:t xml:space="preserve">alveolar septal thickening </w:t>
      </w:r>
      <w:bookmarkEnd w:id="1"/>
      <w:r>
        <w:rPr>
          <w:rFonts w:cstheme="minorHAnsi"/>
          <w:lang w:val="en-US"/>
        </w:rPr>
        <w:fldChar w:fldCharType="begin"/>
      </w:r>
      <w:r>
        <w:rPr>
          <w:rFonts w:cstheme="minorHAnsi"/>
          <w:lang w:val="en-US"/>
        </w:rPr>
        <w:instrText xml:space="preserve"> ADDIN ZOTERO_ITEM CSL_CITATION {"citationID":"qMVIFOrk","properties":{"formattedCitation":"(18)","plainCitation":"(18)","noteIndex":0},"citationItems":[{"id":1472,"uris":["http://zotero.org/users/2833909/items/H2KV7NVW"],"uri":["http://zotero.org/users/2833909/items/H2KV7NVW"],"itemData":{"id":1472,"type":"article-journal","container-title":"American Journal of Respiratory Cell and Molecular Biology","DOI":"10.1165/rcmb.2009-0210ST","ISSN":"1044-1549, 1535-4989","issue":"5","journalAbbreviation":"Am J Respir Cell Mol Biol","language":"en","page":"725-738","source":"DOI.org (Crossref)","title":"An Official American Thoracic Society Workshop Report: Features and Measurements of Experimental Acute Lung Injury in Animals","title-short":"An Official American Thoracic Society Workshop Report","volume":"44","author":[{"family":"Matute-Bello","given":"Gustavo"},{"family":"Downey","given":"Gregory"},{"family":"Moore","given":"Bethany B."},{"family":"Groshong","given":"Steve D."},{"family":"Matthay","given":"Michael A."},{"family":"Slutsky","given":"Arthur S."},{"family":"Kuebler","given":"Wolfgang M."}],"issued":{"date-parts":[["2011",5]]}}}],"schema":"https://github.com/citation-style-language/schema/raw/master/csl-citation.json"} </w:instrText>
      </w:r>
      <w:r>
        <w:rPr>
          <w:rFonts w:cstheme="minorHAnsi"/>
          <w:lang w:val="en-US"/>
        </w:rPr>
        <w:fldChar w:fldCharType="separate"/>
      </w:r>
      <w:r w:rsidRPr="00066952">
        <w:rPr>
          <w:rFonts w:ascii="Calibri" w:hAnsi="Calibri" w:cs="Calibri"/>
          <w:lang w:val="en-US"/>
        </w:rPr>
        <w:t>(</w:t>
      </w:r>
      <w:r w:rsidR="00A36B77">
        <w:rPr>
          <w:rFonts w:ascii="Calibri" w:hAnsi="Calibri" w:cs="Calibri"/>
          <w:lang w:val="en-US"/>
        </w:rPr>
        <w:t>3</w:t>
      </w:r>
      <w:r w:rsidRPr="00066952">
        <w:rPr>
          <w:rFonts w:ascii="Calibri" w:hAnsi="Calibri" w:cs="Calibri"/>
          <w:lang w:val="en-US"/>
        </w:rPr>
        <w:t>)</w:t>
      </w:r>
      <w:r>
        <w:rPr>
          <w:rFonts w:cstheme="minorHAnsi"/>
          <w:lang w:val="en-US"/>
        </w:rPr>
        <w:fldChar w:fldCharType="end"/>
      </w:r>
      <w:r w:rsidRPr="008D1539">
        <w:rPr>
          <w:rFonts w:cstheme="minorHAnsi"/>
          <w:lang w:val="en-US"/>
        </w:rPr>
        <w:t xml:space="preserve">, </w:t>
      </w:r>
      <w:r w:rsidRPr="008D1539">
        <w:rPr>
          <w:rFonts w:cstheme="minorHAnsi"/>
          <w:shd w:val="clear" w:color="auto" w:fill="FFFFFF"/>
          <w:lang w:val="en-US"/>
        </w:rPr>
        <w:t xml:space="preserve">was </w:t>
      </w:r>
      <w:r w:rsidRPr="008D1539">
        <w:rPr>
          <w:rFonts w:cstheme="minorHAnsi"/>
          <w:lang w:val="en-US"/>
        </w:rPr>
        <w:t xml:space="preserve">quantified on total blade scanning. </w:t>
      </w:r>
    </w:p>
    <w:p w14:paraId="71C8824F" w14:textId="77777777" w:rsidR="00D6468B" w:rsidRPr="008D1539" w:rsidRDefault="00D6468B" w:rsidP="00D6468B">
      <w:pPr>
        <w:autoSpaceDE w:val="0"/>
        <w:autoSpaceDN w:val="0"/>
        <w:adjustRightInd w:val="0"/>
        <w:spacing w:line="480" w:lineRule="auto"/>
        <w:jc w:val="both"/>
        <w:rPr>
          <w:rFonts w:cstheme="minorHAnsi"/>
          <w:lang w:val="en-US"/>
        </w:rPr>
      </w:pPr>
    </w:p>
    <w:p w14:paraId="343BFBB3" w14:textId="77777777" w:rsidR="00D6468B" w:rsidRPr="008D1539" w:rsidRDefault="00D6468B" w:rsidP="00D6468B">
      <w:pPr>
        <w:autoSpaceDE w:val="0"/>
        <w:autoSpaceDN w:val="0"/>
        <w:adjustRightInd w:val="0"/>
        <w:spacing w:line="480" w:lineRule="auto"/>
        <w:rPr>
          <w:rFonts w:cstheme="minorHAnsi"/>
          <w:b/>
          <w:lang w:val="en-US"/>
        </w:rPr>
      </w:pPr>
      <w:r w:rsidRPr="008D1539">
        <w:rPr>
          <w:rFonts w:cstheme="minorHAnsi"/>
          <w:b/>
          <w:lang w:val="en-US"/>
        </w:rPr>
        <w:t>Immunohistochemistry KIM-1</w:t>
      </w:r>
    </w:p>
    <w:p w14:paraId="7C33C430" w14:textId="0F6007A6" w:rsidR="003542A9" w:rsidRDefault="00D6468B" w:rsidP="00D6468B">
      <w:pPr>
        <w:autoSpaceDE w:val="0"/>
        <w:autoSpaceDN w:val="0"/>
        <w:adjustRightInd w:val="0"/>
        <w:spacing w:line="480" w:lineRule="auto"/>
        <w:jc w:val="both"/>
        <w:rPr>
          <w:rFonts w:cstheme="minorHAnsi"/>
          <w:color w:val="000000"/>
          <w:lang w:val="en-US"/>
        </w:rPr>
      </w:pPr>
      <w:r w:rsidRPr="008D1539">
        <w:rPr>
          <w:rFonts w:cstheme="minorHAnsi"/>
          <w:color w:val="000000"/>
          <w:lang w:val="en-US"/>
        </w:rPr>
        <w:t>For kidney injury molecule-1 (KIM-1), sections were labeled with goat anti-rat KIM-1 antibody at 1µg/mL concentration (R&amp;D) followed by an anti-Goat HRP DAB secondary antibody</w:t>
      </w:r>
      <w:r w:rsidRPr="008D1539" w:rsidDel="0026708F">
        <w:rPr>
          <w:rFonts w:cstheme="minorHAnsi"/>
          <w:color w:val="000000"/>
          <w:lang w:val="en-US"/>
        </w:rPr>
        <w:t xml:space="preserve"> </w:t>
      </w:r>
      <w:r w:rsidRPr="008D1539">
        <w:rPr>
          <w:rFonts w:cstheme="minorHAnsi"/>
          <w:color w:val="000000"/>
          <w:lang w:val="en-US"/>
        </w:rPr>
        <w:t>(R&amp;D). Goat anti-rat IgG (R&amp;D) was used as a negative control. The immunoreactivity was visualized using the tissue staining kits reagent (</w:t>
      </w:r>
      <w:proofErr w:type="spellStart"/>
      <w:r w:rsidRPr="008D1539">
        <w:rPr>
          <w:rFonts w:cstheme="minorHAnsi"/>
          <w:color w:val="000000"/>
          <w:lang w:val="en-US"/>
        </w:rPr>
        <w:t>Dako</w:t>
      </w:r>
      <w:proofErr w:type="spellEnd"/>
      <w:r w:rsidRPr="008D1539">
        <w:rPr>
          <w:rFonts w:cstheme="minorHAnsi"/>
          <w:color w:val="000000"/>
          <w:lang w:val="en-US"/>
        </w:rPr>
        <w:t xml:space="preserve">). Slides were scanned and image of the kidney external medulla were analysis was carried out with Fiji software. For each kidney sample, 5 fields were digitized on the negative control slides and transferred to the KIM-1 slides. A fixed threshold was applied to all images to estimate the percentage of positive DAB labeling. The difference between this positive DAB labeling (KIM-1 slides minus controlled Ig) represents the </w:t>
      </w:r>
      <w:r w:rsidRPr="008D1539">
        <w:rPr>
          <w:rFonts w:cstheme="minorHAnsi"/>
          <w:color w:val="2E2E2E"/>
          <w:lang w:val="en-US"/>
        </w:rPr>
        <w:t xml:space="preserve">KIM-1 labeling </w:t>
      </w:r>
      <w:r w:rsidRPr="008D1539">
        <w:rPr>
          <w:rFonts w:cstheme="minorHAnsi"/>
          <w:color w:val="000000"/>
          <w:lang w:val="en-US"/>
        </w:rPr>
        <w:t>of the renal tubules expressed as a percentage of area.</w:t>
      </w:r>
    </w:p>
    <w:p w14:paraId="3F1C2ED5" w14:textId="1E6A7143" w:rsidR="00F02A97" w:rsidRPr="008D1539" w:rsidRDefault="00F02A97" w:rsidP="00F02A97">
      <w:pPr>
        <w:spacing w:line="480" w:lineRule="auto"/>
        <w:jc w:val="both"/>
        <w:rPr>
          <w:rFonts w:cstheme="minorHAnsi"/>
          <w:b/>
          <w:bCs/>
          <w:lang w:val="en-US"/>
        </w:rPr>
      </w:pPr>
      <w:r w:rsidRPr="00F02A97">
        <w:rPr>
          <w:rFonts w:cstheme="minorHAnsi"/>
          <w:b/>
          <w:bCs/>
          <w:lang w:val="en-US"/>
        </w:rPr>
        <w:t>Total RNA isolation, cDNA synthesis and RT-qPCR</w:t>
      </w:r>
      <w:r w:rsidRPr="008D1539">
        <w:rPr>
          <w:rFonts w:cstheme="minorHAnsi"/>
          <w:b/>
          <w:bCs/>
          <w:lang w:val="en-US"/>
        </w:rPr>
        <w:t xml:space="preserve"> </w:t>
      </w:r>
    </w:p>
    <w:p w14:paraId="373D81AA" w14:textId="77777777" w:rsidR="00F02A97" w:rsidRPr="008D1539" w:rsidRDefault="00F02A97" w:rsidP="00F02A97">
      <w:pPr>
        <w:spacing w:line="480" w:lineRule="auto"/>
        <w:jc w:val="both"/>
        <w:rPr>
          <w:rFonts w:cstheme="minorHAnsi"/>
          <w:b/>
          <w:bCs/>
          <w:lang w:val="en-US"/>
        </w:rPr>
      </w:pPr>
    </w:p>
    <w:p w14:paraId="4DA419E5" w14:textId="77777777" w:rsidR="00F02A97" w:rsidRPr="008D1539" w:rsidRDefault="00F02A97" w:rsidP="00F02A97">
      <w:pPr>
        <w:autoSpaceDE w:val="0"/>
        <w:autoSpaceDN w:val="0"/>
        <w:adjustRightInd w:val="0"/>
        <w:spacing w:line="480" w:lineRule="auto"/>
        <w:jc w:val="both"/>
        <w:rPr>
          <w:rFonts w:cstheme="minorHAnsi"/>
          <w:lang w:val="en-US"/>
        </w:rPr>
      </w:pPr>
      <w:r w:rsidRPr="008D1539">
        <w:rPr>
          <w:rFonts w:cstheme="minorHAnsi"/>
          <w:lang w:val="en-US"/>
        </w:rPr>
        <w:t xml:space="preserve">A piece of the left kidney tissue was frozen in </w:t>
      </w:r>
      <w:proofErr w:type="spellStart"/>
      <w:r w:rsidRPr="008D1539">
        <w:rPr>
          <w:rFonts w:cstheme="minorHAnsi"/>
          <w:lang w:val="en-US"/>
        </w:rPr>
        <w:t>RNAlater</w:t>
      </w:r>
      <w:proofErr w:type="spellEnd"/>
      <w:r w:rsidRPr="008D1539">
        <w:rPr>
          <w:rFonts w:cstheme="minorHAnsi"/>
          <w:lang w:val="en-US"/>
        </w:rPr>
        <w:t xml:space="preserve"> (Sigma Aldrich). Approximatively 600 mg of kidney were disrupted in 600 </w:t>
      </w:r>
      <w:proofErr w:type="spellStart"/>
      <w:r w:rsidRPr="008D1539">
        <w:rPr>
          <w:rFonts w:cstheme="minorHAnsi"/>
          <w:lang w:val="en-US"/>
        </w:rPr>
        <w:t>μ</w:t>
      </w:r>
      <w:r>
        <w:rPr>
          <w:rFonts w:cstheme="minorHAnsi"/>
          <w:lang w:val="en-US"/>
        </w:rPr>
        <w:t>L</w:t>
      </w:r>
      <w:proofErr w:type="spellEnd"/>
      <w:r w:rsidRPr="008D1539">
        <w:rPr>
          <w:rFonts w:cstheme="minorHAnsi"/>
          <w:lang w:val="en-US"/>
        </w:rPr>
        <w:t xml:space="preserve"> of RLT Lysis Buffer (Qiagen), 1 µ</w:t>
      </w:r>
      <w:r>
        <w:rPr>
          <w:rFonts w:cstheme="minorHAnsi"/>
          <w:lang w:val="en-US"/>
        </w:rPr>
        <w:t>L</w:t>
      </w:r>
      <w:r w:rsidRPr="008D1539">
        <w:rPr>
          <w:rFonts w:cstheme="minorHAnsi"/>
          <w:lang w:val="en-US"/>
        </w:rPr>
        <w:t>/m</w:t>
      </w:r>
      <w:r>
        <w:rPr>
          <w:rFonts w:cstheme="minorHAnsi"/>
          <w:lang w:val="en-US"/>
        </w:rPr>
        <w:t xml:space="preserve">L </w:t>
      </w:r>
      <w:r w:rsidRPr="008D1539">
        <w:rPr>
          <w:rFonts w:cstheme="minorHAnsi"/>
          <w:lang w:val="en-US"/>
        </w:rPr>
        <w:t>of β-</w:t>
      </w:r>
      <w:proofErr w:type="spellStart"/>
      <w:r w:rsidRPr="008D1539">
        <w:rPr>
          <w:rFonts w:cstheme="minorHAnsi"/>
          <w:lang w:val="en-US"/>
        </w:rPr>
        <w:t>mercaptoethanol</w:t>
      </w:r>
      <w:proofErr w:type="spellEnd"/>
      <w:r w:rsidRPr="008D1539">
        <w:rPr>
          <w:rFonts w:cstheme="minorHAnsi"/>
          <w:lang w:val="en-US"/>
        </w:rPr>
        <w:t xml:space="preserve"> (Sigma), with 3 ceramic beads in a Tissue </w:t>
      </w:r>
      <w:proofErr w:type="spellStart"/>
      <w:r w:rsidRPr="008D1539">
        <w:rPr>
          <w:rFonts w:cstheme="minorHAnsi"/>
          <w:lang w:val="en-US"/>
        </w:rPr>
        <w:t>Lyser</w:t>
      </w:r>
      <w:proofErr w:type="spellEnd"/>
      <w:r w:rsidRPr="008D1539">
        <w:rPr>
          <w:rFonts w:cstheme="minorHAnsi"/>
          <w:lang w:val="en-US"/>
        </w:rPr>
        <w:t xml:space="preserve"> II (Qiagen) at 30 Hz for 2 min repeated 3 times. After centrifugation, 180 µ</w:t>
      </w:r>
      <w:r>
        <w:rPr>
          <w:rFonts w:cstheme="minorHAnsi"/>
          <w:lang w:val="en-US"/>
        </w:rPr>
        <w:t xml:space="preserve">L </w:t>
      </w:r>
      <w:r w:rsidRPr="008D1539">
        <w:rPr>
          <w:rFonts w:cstheme="minorHAnsi"/>
          <w:lang w:val="en-US"/>
        </w:rPr>
        <w:t xml:space="preserve">of the supernatant were used for RNA extraction. Total mRNA isolation, cDNA synthesis and RT-qPCR were performed according to the protocol described earlier. The primer used were Kim-1: QT00185983. Four reference genes were selected to normalize target gene expressions: HPRT (QT00199640), RPLP0 (QT00178682), PPIA (QT00177394) and CX3CL1 (QT00195734). </w:t>
      </w:r>
    </w:p>
    <w:p w14:paraId="7212322F" w14:textId="77777777" w:rsidR="00F02A97" w:rsidRDefault="00F02A97" w:rsidP="00D6468B">
      <w:pPr>
        <w:autoSpaceDE w:val="0"/>
        <w:autoSpaceDN w:val="0"/>
        <w:adjustRightInd w:val="0"/>
        <w:spacing w:line="480" w:lineRule="auto"/>
        <w:jc w:val="both"/>
        <w:rPr>
          <w:rFonts w:cstheme="minorHAnsi"/>
          <w:color w:val="000000"/>
          <w:lang w:val="en-US"/>
        </w:rPr>
      </w:pPr>
    </w:p>
    <w:p w14:paraId="68FA4E2F" w14:textId="77777777" w:rsidR="00D6468B" w:rsidRPr="008D1539" w:rsidRDefault="00D6468B" w:rsidP="00D6468B">
      <w:pPr>
        <w:spacing w:line="480" w:lineRule="auto"/>
        <w:jc w:val="both"/>
        <w:rPr>
          <w:rFonts w:cstheme="minorHAnsi"/>
          <w:b/>
          <w:bCs/>
          <w:lang w:val="en-US"/>
        </w:rPr>
      </w:pPr>
      <w:r w:rsidRPr="008D1539">
        <w:rPr>
          <w:rFonts w:cstheme="minorHAnsi"/>
          <w:b/>
          <w:bCs/>
          <w:lang w:val="en-US"/>
        </w:rPr>
        <w:t>Statistical analyses</w:t>
      </w:r>
    </w:p>
    <w:p w14:paraId="65965EE0" w14:textId="77777777" w:rsidR="00D6468B" w:rsidRPr="008D1539" w:rsidRDefault="00D6468B" w:rsidP="00D6468B">
      <w:pPr>
        <w:spacing w:line="480" w:lineRule="auto"/>
        <w:jc w:val="both"/>
        <w:rPr>
          <w:rFonts w:cstheme="minorHAnsi"/>
          <w:lang w:val="en-US"/>
        </w:rPr>
      </w:pPr>
      <w:r w:rsidRPr="008D1539">
        <w:rPr>
          <w:rFonts w:cstheme="minorHAnsi"/>
          <w:lang w:val="en-US"/>
        </w:rPr>
        <w:t>Mean arterial pressures are</w:t>
      </w:r>
      <w:r w:rsidRPr="008D1539">
        <w:rPr>
          <w:rFonts w:eastAsia="AdvTT7b515deb" w:cstheme="minorHAnsi"/>
          <w:lang w:val="en-US"/>
        </w:rPr>
        <w:t xml:space="preserve"> represented as mean </w:t>
      </w:r>
      <w:r w:rsidRPr="008D1539">
        <w:rPr>
          <w:rFonts w:cstheme="minorHAnsi"/>
          <w:lang w:val="en-US"/>
        </w:rPr>
        <w:t>± SD</w:t>
      </w:r>
      <w:r w:rsidRPr="008D1539">
        <w:rPr>
          <w:rFonts w:eastAsia="AdvTT7b515deb" w:cstheme="minorHAnsi"/>
          <w:lang w:val="en-US"/>
        </w:rPr>
        <w:t>. During the three phases (hemorrhage, fluid resuscitation and re-transfusion)</w:t>
      </w:r>
      <w:r w:rsidRPr="008D1539">
        <w:rPr>
          <w:rFonts w:cstheme="minorHAnsi"/>
          <w:lang w:val="en-US"/>
        </w:rPr>
        <w:t>, the changes in mean arterial pressure between groups over time were analyzed</w:t>
      </w:r>
      <w:r w:rsidRPr="008D1539">
        <w:rPr>
          <w:rFonts w:eastAsia="AdvTT7b515deb" w:cstheme="minorHAnsi"/>
          <w:lang w:val="en-US"/>
        </w:rPr>
        <w:t xml:space="preserve"> by</w:t>
      </w:r>
      <w:r w:rsidRPr="008D1539">
        <w:rPr>
          <w:rFonts w:cstheme="minorHAnsi"/>
          <w:lang w:val="en-US"/>
        </w:rPr>
        <w:t xml:space="preserve"> </w:t>
      </w:r>
      <w:r w:rsidRPr="008D1539">
        <w:rPr>
          <w:rFonts w:eastAsia="AdvTT7b515deb" w:cstheme="minorHAnsi"/>
          <w:lang w:val="en-US"/>
        </w:rPr>
        <w:t xml:space="preserve">Non Parametric </w:t>
      </w:r>
      <w:r w:rsidRPr="008D1539">
        <w:rPr>
          <w:rFonts w:cstheme="minorHAnsi"/>
          <w:lang w:val="en-US"/>
        </w:rPr>
        <w:t>Longitudinal data in Factorial Experiments</w:t>
      </w:r>
      <w:r w:rsidRPr="008D1539">
        <w:rPr>
          <w:rFonts w:eastAsia="AdvTT7b515deb" w:cstheme="minorHAnsi"/>
          <w:lang w:val="en-US"/>
        </w:rPr>
        <w:t xml:space="preserve"> (F1-LD-F1) </w:t>
      </w:r>
      <w:r w:rsidRPr="008D1539">
        <w:rPr>
          <w:rFonts w:cstheme="minorHAnsi"/>
          <w:lang w:val="en-US"/>
        </w:rPr>
        <w:t>in R software (R 3.3.2,</w:t>
      </w:r>
      <w:r w:rsidRPr="008D1539">
        <w:rPr>
          <w:lang w:val="en-US"/>
        </w:rPr>
        <w:t xml:space="preserve"> </w:t>
      </w:r>
      <w:r w:rsidRPr="008D1539">
        <w:rPr>
          <w:rFonts w:cstheme="minorHAnsi"/>
          <w:lang w:val="en-US"/>
        </w:rPr>
        <w:t xml:space="preserve">http://www.r-project.org) </w:t>
      </w:r>
      <w:r w:rsidRPr="008D1539">
        <w:rPr>
          <w:rFonts w:cstheme="minorHAnsi"/>
          <w:bCs/>
          <w:lang w:val="en-US"/>
        </w:rPr>
        <w:t xml:space="preserve">follow by a </w:t>
      </w:r>
      <w:proofErr w:type="spellStart"/>
      <w:proofErr w:type="gramStart"/>
      <w:r w:rsidRPr="008D1539">
        <w:rPr>
          <w:rFonts w:cstheme="minorHAnsi"/>
          <w:bCs/>
          <w:lang w:val="en-US"/>
        </w:rPr>
        <w:t>pair.comparison</w:t>
      </w:r>
      <w:proofErr w:type="spellEnd"/>
      <w:proofErr w:type="gramEnd"/>
      <w:r w:rsidRPr="008D1539">
        <w:rPr>
          <w:rFonts w:cstheme="minorHAnsi"/>
          <w:bCs/>
          <w:lang w:val="en-US"/>
        </w:rPr>
        <w:t xml:space="preserve"> test</w:t>
      </w:r>
      <w:r w:rsidRPr="008D1539">
        <w:rPr>
          <w:rFonts w:eastAsia="AdvTT7b515deb" w:cstheme="minorHAnsi"/>
          <w:lang w:val="en-US"/>
        </w:rPr>
        <w:t>.</w:t>
      </w:r>
      <w:r w:rsidRPr="008D1539">
        <w:rPr>
          <w:rFonts w:cstheme="minorHAnsi"/>
          <w:lang w:val="en-US"/>
        </w:rPr>
        <w:t xml:space="preserve"> Survival analysis represented in a </w:t>
      </w:r>
      <w:bookmarkStart w:id="2" w:name="OLE_LINK2"/>
      <w:r w:rsidRPr="008D1539">
        <w:rPr>
          <w:rFonts w:eastAsia="AdvTT7b515deb" w:cstheme="minorHAnsi"/>
          <w:color w:val="231F20"/>
          <w:lang w:val="en-US"/>
        </w:rPr>
        <w:t xml:space="preserve">Kaplan Meier survival curve was </w:t>
      </w:r>
      <w:bookmarkEnd w:id="2"/>
      <w:r w:rsidRPr="008D1539">
        <w:rPr>
          <w:rFonts w:eastAsia="AdvTT7b515deb" w:cstheme="minorHAnsi"/>
          <w:color w:val="231F20"/>
          <w:lang w:val="en-US"/>
        </w:rPr>
        <w:t xml:space="preserve">analyzed with a stat Log-rank test (Mantel-Cox) </w:t>
      </w:r>
      <w:r w:rsidRPr="008D1539">
        <w:rPr>
          <w:rFonts w:cstheme="minorHAnsi"/>
          <w:lang w:val="en-US"/>
        </w:rPr>
        <w:t xml:space="preserve">in R software to determine statistical significance. All other data are presented as median ± interquartile range and statistical analyses were performed on the Prism 7 </w:t>
      </w:r>
      <w:proofErr w:type="spellStart"/>
      <w:r w:rsidRPr="008D1539">
        <w:rPr>
          <w:rFonts w:cstheme="minorHAnsi"/>
          <w:lang w:val="en-US"/>
        </w:rPr>
        <w:t>Graphpad</w:t>
      </w:r>
      <w:proofErr w:type="spellEnd"/>
      <w:r w:rsidRPr="008D1539">
        <w:rPr>
          <w:rFonts w:cstheme="minorHAnsi"/>
          <w:lang w:val="en-US"/>
        </w:rPr>
        <w:t xml:space="preserve"> software. Mann-Whitney statistical analysis was used to test the effect of our hemorrhaging model versus Sham. Dunn’s test (adjust for multiplicity) were used to compare the effects of the treatments (</w:t>
      </w:r>
      <w:proofErr w:type="spellStart"/>
      <w:r w:rsidRPr="008D1539">
        <w:rPr>
          <w:rFonts w:cstheme="minorHAnsi"/>
          <w:lang w:val="en-US"/>
        </w:rPr>
        <w:t>MSCn</w:t>
      </w:r>
      <w:proofErr w:type="spellEnd"/>
      <w:r w:rsidRPr="008D1539">
        <w:rPr>
          <w:rFonts w:cstheme="minorHAnsi"/>
          <w:lang w:val="en-US"/>
        </w:rPr>
        <w:t xml:space="preserve"> and </w:t>
      </w:r>
      <w:proofErr w:type="spellStart"/>
      <w:r w:rsidRPr="008D1539">
        <w:rPr>
          <w:rFonts w:cstheme="minorHAnsi"/>
          <w:lang w:val="en-US"/>
        </w:rPr>
        <w:t>MSCp</w:t>
      </w:r>
      <w:proofErr w:type="spellEnd"/>
      <w:r w:rsidRPr="008D1539">
        <w:rPr>
          <w:rFonts w:cstheme="minorHAnsi"/>
          <w:lang w:val="en-US"/>
        </w:rPr>
        <w:t>) to the HS group. The significance level was defined as a p value &lt;0.05.</w:t>
      </w:r>
    </w:p>
    <w:p w14:paraId="54C2B69A" w14:textId="5B811C21" w:rsidR="00D6468B" w:rsidRPr="008D1539" w:rsidRDefault="00A36B77" w:rsidP="00D6468B">
      <w:pPr>
        <w:autoSpaceDE w:val="0"/>
        <w:autoSpaceDN w:val="0"/>
        <w:adjustRightInd w:val="0"/>
        <w:spacing w:line="480" w:lineRule="auto"/>
        <w:jc w:val="both"/>
        <w:rPr>
          <w:rFonts w:cstheme="minorHAnsi"/>
          <w:b/>
          <w:bCs/>
          <w:lang w:val="en-US"/>
        </w:rPr>
      </w:pPr>
      <w:r>
        <w:rPr>
          <w:rFonts w:cstheme="minorHAnsi"/>
          <w:b/>
          <w:bCs/>
          <w:lang w:val="en-US"/>
        </w:rPr>
        <w:t xml:space="preserve">REFERENCES </w:t>
      </w:r>
    </w:p>
    <w:p w14:paraId="1A196718" w14:textId="5B94B16C" w:rsidR="00F67ACF" w:rsidRDefault="00F67ACF" w:rsidP="00F67ACF">
      <w:pPr>
        <w:pStyle w:val="Bibliographie"/>
        <w:numPr>
          <w:ilvl w:val="0"/>
          <w:numId w:val="1"/>
        </w:numPr>
        <w:spacing w:line="480" w:lineRule="auto"/>
        <w:ind w:left="709"/>
        <w:jc w:val="both"/>
        <w:rPr>
          <w:rFonts w:cstheme="minorHAnsi"/>
          <w:sz w:val="24"/>
          <w:szCs w:val="24"/>
          <w:lang w:val="en-US"/>
        </w:rPr>
      </w:pPr>
      <w:r w:rsidRPr="008D1539">
        <w:rPr>
          <w:rFonts w:cstheme="minorHAnsi"/>
          <w:sz w:val="24"/>
          <w:szCs w:val="24"/>
          <w:lang w:val="en-US"/>
        </w:rPr>
        <w:t xml:space="preserve">Khalid U, Pino-Chavez G, </w:t>
      </w:r>
      <w:proofErr w:type="spellStart"/>
      <w:r w:rsidRPr="008D1539">
        <w:rPr>
          <w:rFonts w:cstheme="minorHAnsi"/>
          <w:sz w:val="24"/>
          <w:szCs w:val="24"/>
          <w:lang w:val="en-US"/>
        </w:rPr>
        <w:t>Nesargikar</w:t>
      </w:r>
      <w:proofErr w:type="spellEnd"/>
      <w:r w:rsidRPr="008D1539">
        <w:rPr>
          <w:rFonts w:cstheme="minorHAnsi"/>
          <w:sz w:val="24"/>
          <w:szCs w:val="24"/>
          <w:lang w:val="en-US"/>
        </w:rPr>
        <w:t xml:space="preserve"> P, Jenkins RH, Bowen T, Fraser DJ, Chavez R: Kidney </w:t>
      </w:r>
      <w:proofErr w:type="spellStart"/>
      <w:r w:rsidRPr="008D1539">
        <w:rPr>
          <w:rFonts w:cstheme="minorHAnsi"/>
          <w:sz w:val="24"/>
          <w:szCs w:val="24"/>
          <w:lang w:val="en-US"/>
        </w:rPr>
        <w:t>ischaemia</w:t>
      </w:r>
      <w:proofErr w:type="spellEnd"/>
      <w:r w:rsidRPr="008D1539">
        <w:rPr>
          <w:rFonts w:cstheme="minorHAnsi"/>
          <w:sz w:val="24"/>
          <w:szCs w:val="24"/>
          <w:lang w:val="en-US"/>
        </w:rPr>
        <w:t xml:space="preserve"> reperfusion injury in the rat: the EGTI scoring system as a valid and reliable tool for histological assessment. </w:t>
      </w:r>
      <w:r w:rsidRPr="008D1539">
        <w:rPr>
          <w:rFonts w:cstheme="minorHAnsi"/>
          <w:i/>
          <w:iCs/>
          <w:sz w:val="24"/>
          <w:szCs w:val="24"/>
          <w:lang w:val="en-US"/>
        </w:rPr>
        <w:t>Journal of Histology &amp; Histopathology</w:t>
      </w:r>
      <w:r w:rsidRPr="008D1539">
        <w:rPr>
          <w:rFonts w:cstheme="minorHAnsi"/>
          <w:sz w:val="24"/>
          <w:szCs w:val="24"/>
          <w:lang w:val="en-US"/>
        </w:rPr>
        <w:t xml:space="preserve"> 3(1):1, 2016.</w:t>
      </w:r>
    </w:p>
    <w:p w14:paraId="4801A999" w14:textId="4BFD00CF" w:rsidR="00A36B77" w:rsidRDefault="00A36B77" w:rsidP="00F67ACF">
      <w:pPr>
        <w:pStyle w:val="Bibliographie"/>
        <w:numPr>
          <w:ilvl w:val="0"/>
          <w:numId w:val="1"/>
        </w:numPr>
        <w:spacing w:line="480" w:lineRule="auto"/>
        <w:ind w:left="709"/>
        <w:jc w:val="both"/>
        <w:rPr>
          <w:rFonts w:cstheme="minorHAnsi"/>
          <w:sz w:val="24"/>
          <w:szCs w:val="24"/>
          <w:lang w:val="en-US"/>
        </w:rPr>
      </w:pPr>
      <w:r w:rsidRPr="008D1539">
        <w:rPr>
          <w:rFonts w:cstheme="minorHAnsi"/>
          <w:sz w:val="24"/>
          <w:szCs w:val="24"/>
          <w:lang w:val="en-US"/>
        </w:rPr>
        <w:lastRenderedPageBreak/>
        <w:t>Fan H, Zhao G, Liu L, Liu F, Gong W, Liu X, Yang L, Wang J, Hou Y: Pre-treatment with IL-1</w:t>
      </w:r>
      <w:r w:rsidRPr="008D1539">
        <w:rPr>
          <w:rFonts w:cstheme="minorHAnsi"/>
          <w:sz w:val="24"/>
          <w:szCs w:val="24"/>
        </w:rPr>
        <w:t>β</w:t>
      </w:r>
      <w:r w:rsidRPr="008D1539">
        <w:rPr>
          <w:rFonts w:cstheme="minorHAnsi"/>
          <w:sz w:val="24"/>
          <w:szCs w:val="24"/>
          <w:lang w:val="en-US"/>
        </w:rPr>
        <w:t xml:space="preserve"> enhances the efficacy of MSC transplantation in DSS-induced colitis. </w:t>
      </w:r>
      <w:r w:rsidRPr="008D1539">
        <w:rPr>
          <w:rFonts w:cstheme="minorHAnsi"/>
          <w:i/>
          <w:iCs/>
          <w:sz w:val="24"/>
          <w:szCs w:val="24"/>
          <w:lang w:val="en-US"/>
        </w:rPr>
        <w:t>Cell Mol Immunol</w:t>
      </w:r>
      <w:r w:rsidRPr="008D1539">
        <w:rPr>
          <w:rFonts w:cstheme="minorHAnsi"/>
          <w:sz w:val="24"/>
          <w:szCs w:val="24"/>
          <w:lang w:val="en-US"/>
        </w:rPr>
        <w:t xml:space="preserve"> 9(6):473–481, 2012.</w:t>
      </w:r>
    </w:p>
    <w:p w14:paraId="1EFB70F4" w14:textId="3F1D0F7C" w:rsidR="00A36B77" w:rsidRPr="00F67ACF" w:rsidRDefault="00A36B77" w:rsidP="00F67ACF">
      <w:pPr>
        <w:pStyle w:val="Paragraphedeliste"/>
        <w:numPr>
          <w:ilvl w:val="0"/>
          <w:numId w:val="1"/>
        </w:numPr>
        <w:spacing w:line="480" w:lineRule="auto"/>
        <w:ind w:left="709"/>
        <w:jc w:val="both"/>
        <w:rPr>
          <w:lang w:val="en-US"/>
        </w:rPr>
      </w:pPr>
      <w:proofErr w:type="spellStart"/>
      <w:r w:rsidRPr="00F67ACF">
        <w:rPr>
          <w:rFonts w:cstheme="minorHAnsi"/>
          <w:sz w:val="24"/>
          <w:szCs w:val="24"/>
          <w:lang w:val="en-US"/>
        </w:rPr>
        <w:t>Carrero</w:t>
      </w:r>
      <w:proofErr w:type="spellEnd"/>
      <w:r w:rsidRPr="00F67ACF">
        <w:rPr>
          <w:rFonts w:cstheme="minorHAnsi"/>
          <w:sz w:val="24"/>
          <w:szCs w:val="24"/>
          <w:lang w:val="en-US"/>
        </w:rPr>
        <w:t xml:space="preserve"> R, </w:t>
      </w:r>
      <w:proofErr w:type="spellStart"/>
      <w:r w:rsidRPr="00F67ACF">
        <w:rPr>
          <w:rFonts w:cstheme="minorHAnsi"/>
          <w:sz w:val="24"/>
          <w:szCs w:val="24"/>
          <w:lang w:val="en-US"/>
        </w:rPr>
        <w:t>Cerrada</w:t>
      </w:r>
      <w:proofErr w:type="spellEnd"/>
      <w:r w:rsidRPr="00F67ACF">
        <w:rPr>
          <w:rFonts w:cstheme="minorHAnsi"/>
          <w:sz w:val="24"/>
          <w:szCs w:val="24"/>
          <w:lang w:val="en-US"/>
        </w:rPr>
        <w:t xml:space="preserve"> I, </w:t>
      </w:r>
      <w:proofErr w:type="spellStart"/>
      <w:r w:rsidRPr="00F67ACF">
        <w:rPr>
          <w:rFonts w:cstheme="minorHAnsi"/>
          <w:sz w:val="24"/>
          <w:szCs w:val="24"/>
          <w:lang w:val="en-US"/>
        </w:rPr>
        <w:t>Lledó</w:t>
      </w:r>
      <w:proofErr w:type="spellEnd"/>
      <w:r w:rsidRPr="00F67ACF">
        <w:rPr>
          <w:rFonts w:cstheme="minorHAnsi"/>
          <w:sz w:val="24"/>
          <w:szCs w:val="24"/>
          <w:lang w:val="en-US"/>
        </w:rPr>
        <w:t xml:space="preserve"> E, </w:t>
      </w:r>
      <w:proofErr w:type="spellStart"/>
      <w:r w:rsidRPr="00F67ACF">
        <w:rPr>
          <w:rFonts w:cstheme="minorHAnsi"/>
          <w:sz w:val="24"/>
          <w:szCs w:val="24"/>
          <w:lang w:val="en-US"/>
        </w:rPr>
        <w:t>Dopazo</w:t>
      </w:r>
      <w:proofErr w:type="spellEnd"/>
      <w:r w:rsidRPr="00F67ACF">
        <w:rPr>
          <w:rFonts w:cstheme="minorHAnsi"/>
          <w:sz w:val="24"/>
          <w:szCs w:val="24"/>
          <w:lang w:val="en-US"/>
        </w:rPr>
        <w:t xml:space="preserve"> J, García-García F, Rubio M-P, </w:t>
      </w:r>
      <w:proofErr w:type="spellStart"/>
      <w:r w:rsidRPr="00F67ACF">
        <w:rPr>
          <w:rFonts w:cstheme="minorHAnsi"/>
          <w:sz w:val="24"/>
          <w:szCs w:val="24"/>
          <w:lang w:val="en-US"/>
        </w:rPr>
        <w:t>Trigueros</w:t>
      </w:r>
      <w:proofErr w:type="spellEnd"/>
      <w:r w:rsidRPr="00F67ACF">
        <w:rPr>
          <w:rFonts w:cstheme="minorHAnsi"/>
          <w:sz w:val="24"/>
          <w:szCs w:val="24"/>
          <w:lang w:val="en-US"/>
        </w:rPr>
        <w:t xml:space="preserve"> C, </w:t>
      </w:r>
      <w:proofErr w:type="spellStart"/>
      <w:r w:rsidRPr="00F67ACF">
        <w:rPr>
          <w:rFonts w:cstheme="minorHAnsi"/>
          <w:sz w:val="24"/>
          <w:szCs w:val="24"/>
          <w:lang w:val="en-US"/>
        </w:rPr>
        <w:t>Dorronsoro</w:t>
      </w:r>
      <w:proofErr w:type="spellEnd"/>
      <w:r w:rsidRPr="00F67ACF">
        <w:rPr>
          <w:rFonts w:cstheme="minorHAnsi"/>
          <w:sz w:val="24"/>
          <w:szCs w:val="24"/>
          <w:lang w:val="en-US"/>
        </w:rPr>
        <w:t xml:space="preserve"> A, Ruiz-</w:t>
      </w:r>
      <w:proofErr w:type="spellStart"/>
      <w:r w:rsidRPr="00F67ACF">
        <w:rPr>
          <w:rFonts w:cstheme="minorHAnsi"/>
          <w:sz w:val="24"/>
          <w:szCs w:val="24"/>
          <w:lang w:val="en-US"/>
        </w:rPr>
        <w:t>Sauri</w:t>
      </w:r>
      <w:proofErr w:type="spellEnd"/>
      <w:r w:rsidRPr="00F67ACF">
        <w:rPr>
          <w:rFonts w:cstheme="minorHAnsi"/>
          <w:sz w:val="24"/>
          <w:szCs w:val="24"/>
          <w:lang w:val="en-US"/>
        </w:rPr>
        <w:t xml:space="preserve"> A, Montero JA, </w:t>
      </w:r>
      <w:proofErr w:type="spellStart"/>
      <w:r w:rsidRPr="00F67ACF">
        <w:rPr>
          <w:rFonts w:cstheme="minorHAnsi"/>
          <w:sz w:val="24"/>
          <w:szCs w:val="24"/>
          <w:lang w:val="en-US"/>
        </w:rPr>
        <w:t>Sepúlveda</w:t>
      </w:r>
      <w:proofErr w:type="spellEnd"/>
      <w:r w:rsidRPr="00F67ACF">
        <w:rPr>
          <w:rFonts w:cstheme="minorHAnsi"/>
          <w:sz w:val="24"/>
          <w:szCs w:val="24"/>
          <w:lang w:val="en-US"/>
        </w:rPr>
        <w:t xml:space="preserve"> P: IL1</w:t>
      </w:r>
      <w:r w:rsidRPr="00F67ACF">
        <w:rPr>
          <w:rFonts w:cstheme="minorHAnsi"/>
          <w:sz w:val="24"/>
          <w:szCs w:val="24"/>
        </w:rPr>
        <w:t>β</w:t>
      </w:r>
      <w:r w:rsidRPr="00F67ACF">
        <w:rPr>
          <w:rFonts w:cstheme="minorHAnsi"/>
          <w:sz w:val="24"/>
          <w:szCs w:val="24"/>
          <w:lang w:val="en-US"/>
        </w:rPr>
        <w:t xml:space="preserve"> Induces Mesenchymal Stem Cells Migration and Leucocyte Chemotaxis Through NF-</w:t>
      </w:r>
      <w:r w:rsidRPr="00F67ACF">
        <w:rPr>
          <w:rFonts w:cstheme="minorHAnsi"/>
          <w:sz w:val="24"/>
          <w:szCs w:val="24"/>
        </w:rPr>
        <w:t>κ</w:t>
      </w:r>
      <w:r w:rsidRPr="00F67ACF">
        <w:rPr>
          <w:rFonts w:cstheme="minorHAnsi"/>
          <w:sz w:val="24"/>
          <w:szCs w:val="24"/>
          <w:lang w:val="en-US"/>
        </w:rPr>
        <w:t xml:space="preserve">B. </w:t>
      </w:r>
      <w:r w:rsidRPr="00F67ACF">
        <w:rPr>
          <w:rFonts w:cstheme="minorHAnsi"/>
          <w:i/>
          <w:iCs/>
          <w:sz w:val="24"/>
          <w:szCs w:val="24"/>
          <w:lang w:val="en-US"/>
        </w:rPr>
        <w:t>Stem Cell Rev</w:t>
      </w:r>
      <w:r w:rsidRPr="00F67ACF">
        <w:rPr>
          <w:rFonts w:cstheme="minorHAnsi"/>
          <w:sz w:val="24"/>
          <w:szCs w:val="24"/>
          <w:lang w:val="en-US"/>
        </w:rPr>
        <w:t xml:space="preserve"> 8(3):905–916, 2012.</w:t>
      </w:r>
    </w:p>
    <w:p w14:paraId="4CE41C1E" w14:textId="77777777" w:rsidR="00BB5B80" w:rsidRDefault="00BB5B80" w:rsidP="006B0B97">
      <w:pPr>
        <w:spacing w:line="480" w:lineRule="auto"/>
        <w:jc w:val="both"/>
      </w:pPr>
    </w:p>
    <w:sectPr w:rsidR="00BB5B8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dvTT7b515deb">
    <w:altName w:val="MS Gothic"/>
    <w:panose1 w:val="020B0604020202020204"/>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26605F8"/>
    <w:multiLevelType w:val="hybridMultilevel"/>
    <w:tmpl w:val="E34EECBE"/>
    <w:lvl w:ilvl="0" w:tplc="9796E3D8">
      <w:start w:val="1"/>
      <w:numFmt w:val="decimal"/>
      <w:lvlText w:val="%1."/>
      <w:lvlJc w:val="left"/>
      <w:pPr>
        <w:ind w:left="1070" w:hanging="71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proofState w:spelling="clean" w:grammar="clean"/>
  <w:stylePaneFormatFilter w:val="1628" w:allStyles="0" w:customStyles="0" w:latentStyles="0" w:stylesInUse="1" w:headingStyles="1" w:numberingStyles="0" w:tableStyles="0" w:directFormattingOnRuns="0" w:directFormattingOnParagraphs="1" w:directFormattingOnNumbering="1" w:directFormattingOnTables="0" w:clearFormatting="1" w:top3HeadingStyles="0"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4F7F"/>
    <w:rsid w:val="000745AF"/>
    <w:rsid w:val="001436C9"/>
    <w:rsid w:val="003542A9"/>
    <w:rsid w:val="00367A04"/>
    <w:rsid w:val="00467A91"/>
    <w:rsid w:val="0049027F"/>
    <w:rsid w:val="00523A86"/>
    <w:rsid w:val="006B0B97"/>
    <w:rsid w:val="007F24CB"/>
    <w:rsid w:val="00897D0E"/>
    <w:rsid w:val="009E4DF7"/>
    <w:rsid w:val="00A36B77"/>
    <w:rsid w:val="00A57EA9"/>
    <w:rsid w:val="00BB5B80"/>
    <w:rsid w:val="00CE48A6"/>
    <w:rsid w:val="00CE4F7F"/>
    <w:rsid w:val="00D6468B"/>
    <w:rsid w:val="00F02A97"/>
    <w:rsid w:val="00F67AC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94FC0"/>
  <w15:chartTrackingRefBased/>
  <w15:docId w15:val="{8294C5F1-BD30-404C-9447-3F7C25992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027F"/>
  </w:style>
  <w:style w:type="paragraph" w:styleId="Titre1">
    <w:name w:val="heading 1"/>
    <w:basedOn w:val="Normal"/>
    <w:next w:val="Normal"/>
    <w:link w:val="Titre1Car"/>
    <w:uiPriority w:val="9"/>
    <w:qFormat/>
    <w:rsid w:val="0049027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49027F"/>
    <w:pPr>
      <w:keepNext/>
      <w:keepLines/>
      <w:spacing w:before="40" w:after="0"/>
      <w:ind w:left="708"/>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unhideWhenUsed/>
    <w:qFormat/>
    <w:rsid w:val="0049027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49027F"/>
    <w:pPr>
      <w:keepNext/>
      <w:keepLines/>
      <w:spacing w:before="40" w:after="0"/>
      <w:ind w:left="864" w:hanging="864"/>
      <w:outlineLvl w:val="3"/>
    </w:pPr>
    <w:rPr>
      <w:rFonts w:asciiTheme="majorHAnsi" w:eastAsiaTheme="majorEastAsia" w:hAnsiTheme="majorHAnsi" w:cstheme="majorBidi"/>
      <w:i/>
      <w:iCs/>
      <w:color w:val="2E74B5" w:themeColor="accent1" w:themeShade="BF"/>
    </w:rPr>
  </w:style>
  <w:style w:type="paragraph" w:styleId="Titre5">
    <w:name w:val="heading 5"/>
    <w:basedOn w:val="Normal"/>
    <w:next w:val="Normal"/>
    <w:link w:val="Titre5Car"/>
    <w:uiPriority w:val="9"/>
    <w:semiHidden/>
    <w:unhideWhenUsed/>
    <w:qFormat/>
    <w:rsid w:val="0049027F"/>
    <w:pPr>
      <w:keepNext/>
      <w:keepLines/>
      <w:spacing w:before="40" w:after="0"/>
      <w:ind w:left="1008" w:hanging="1008"/>
      <w:outlineLvl w:val="4"/>
    </w:pPr>
    <w:rPr>
      <w:rFonts w:asciiTheme="majorHAnsi" w:eastAsiaTheme="majorEastAsia" w:hAnsiTheme="majorHAnsi" w:cstheme="majorBidi"/>
      <w:color w:val="2E74B5" w:themeColor="accent1" w:themeShade="BF"/>
    </w:rPr>
  </w:style>
  <w:style w:type="paragraph" w:styleId="Titre6">
    <w:name w:val="heading 6"/>
    <w:basedOn w:val="Normal"/>
    <w:next w:val="Normal"/>
    <w:link w:val="Titre6Car"/>
    <w:uiPriority w:val="9"/>
    <w:semiHidden/>
    <w:unhideWhenUsed/>
    <w:qFormat/>
    <w:rsid w:val="0049027F"/>
    <w:pPr>
      <w:keepNext/>
      <w:keepLines/>
      <w:spacing w:before="40" w:after="0"/>
      <w:ind w:left="1152" w:hanging="1152"/>
      <w:outlineLvl w:val="5"/>
    </w:pPr>
    <w:rPr>
      <w:rFonts w:asciiTheme="majorHAnsi" w:eastAsiaTheme="majorEastAsia" w:hAnsiTheme="majorHAnsi" w:cstheme="majorBidi"/>
      <w:color w:val="1F4D78" w:themeColor="accent1" w:themeShade="7F"/>
    </w:rPr>
  </w:style>
  <w:style w:type="paragraph" w:styleId="Titre7">
    <w:name w:val="heading 7"/>
    <w:basedOn w:val="Normal"/>
    <w:next w:val="Normal"/>
    <w:link w:val="Titre7Car"/>
    <w:uiPriority w:val="9"/>
    <w:semiHidden/>
    <w:unhideWhenUsed/>
    <w:qFormat/>
    <w:rsid w:val="0049027F"/>
    <w:pPr>
      <w:keepNext/>
      <w:keepLines/>
      <w:spacing w:before="40" w:after="0"/>
      <w:ind w:left="1296" w:hanging="1296"/>
      <w:outlineLvl w:val="6"/>
    </w:pPr>
    <w:rPr>
      <w:rFonts w:asciiTheme="majorHAnsi" w:eastAsiaTheme="majorEastAsia" w:hAnsiTheme="majorHAnsi" w:cstheme="majorBidi"/>
      <w:i/>
      <w:iCs/>
      <w:color w:val="1F4D78" w:themeColor="accent1" w:themeShade="7F"/>
    </w:rPr>
  </w:style>
  <w:style w:type="paragraph" w:styleId="Titre8">
    <w:name w:val="heading 8"/>
    <w:basedOn w:val="Normal"/>
    <w:next w:val="Normal"/>
    <w:link w:val="Titre8Car"/>
    <w:uiPriority w:val="9"/>
    <w:semiHidden/>
    <w:unhideWhenUsed/>
    <w:qFormat/>
    <w:rsid w:val="0049027F"/>
    <w:pPr>
      <w:keepNext/>
      <w:keepLines/>
      <w:spacing w:before="40" w:after="0"/>
      <w:ind w:left="1440" w:hanging="14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49027F"/>
    <w:pPr>
      <w:keepNext/>
      <w:keepLines/>
      <w:spacing w:before="40" w:after="0"/>
      <w:ind w:left="1584" w:hanging="1584"/>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st">
    <w:name w:val="st"/>
    <w:basedOn w:val="Policepardfaut"/>
    <w:rsid w:val="0049027F"/>
  </w:style>
  <w:style w:type="character" w:customStyle="1" w:styleId="title-text">
    <w:name w:val="title-text"/>
    <w:basedOn w:val="Policepardfaut"/>
    <w:rsid w:val="0049027F"/>
  </w:style>
  <w:style w:type="character" w:customStyle="1" w:styleId="Titre1Car">
    <w:name w:val="Titre 1 Car"/>
    <w:basedOn w:val="Policepardfaut"/>
    <w:link w:val="Titre1"/>
    <w:uiPriority w:val="9"/>
    <w:rsid w:val="0049027F"/>
    <w:rPr>
      <w:rFonts w:asciiTheme="majorHAnsi" w:eastAsiaTheme="majorEastAsia" w:hAnsiTheme="majorHAnsi" w:cstheme="majorBidi"/>
      <w:color w:val="2E74B5" w:themeColor="accent1" w:themeShade="BF"/>
      <w:sz w:val="32"/>
      <w:szCs w:val="32"/>
    </w:rPr>
  </w:style>
  <w:style w:type="character" w:customStyle="1" w:styleId="Titre2Car">
    <w:name w:val="Titre 2 Car"/>
    <w:basedOn w:val="Policepardfaut"/>
    <w:link w:val="Titre2"/>
    <w:uiPriority w:val="9"/>
    <w:rsid w:val="0049027F"/>
    <w:rPr>
      <w:rFonts w:asciiTheme="majorHAnsi" w:eastAsiaTheme="majorEastAsia" w:hAnsiTheme="majorHAnsi" w:cstheme="majorBidi"/>
      <w:color w:val="2E74B5" w:themeColor="accent1" w:themeShade="BF"/>
      <w:sz w:val="26"/>
      <w:szCs w:val="26"/>
    </w:rPr>
  </w:style>
  <w:style w:type="character" w:customStyle="1" w:styleId="Titre3Car">
    <w:name w:val="Titre 3 Car"/>
    <w:basedOn w:val="Policepardfaut"/>
    <w:link w:val="Titre3"/>
    <w:uiPriority w:val="9"/>
    <w:rsid w:val="0049027F"/>
    <w:rPr>
      <w:rFonts w:asciiTheme="majorHAnsi" w:eastAsiaTheme="majorEastAsia" w:hAnsiTheme="majorHAnsi" w:cstheme="majorBidi"/>
      <w:color w:val="1F4D78" w:themeColor="accent1" w:themeShade="7F"/>
      <w:sz w:val="24"/>
      <w:szCs w:val="24"/>
    </w:rPr>
  </w:style>
  <w:style w:type="character" w:customStyle="1" w:styleId="Titre4Car">
    <w:name w:val="Titre 4 Car"/>
    <w:basedOn w:val="Policepardfaut"/>
    <w:link w:val="Titre4"/>
    <w:uiPriority w:val="9"/>
    <w:semiHidden/>
    <w:rsid w:val="0049027F"/>
    <w:rPr>
      <w:rFonts w:asciiTheme="majorHAnsi" w:eastAsiaTheme="majorEastAsia" w:hAnsiTheme="majorHAnsi" w:cstheme="majorBidi"/>
      <w:i/>
      <w:iCs/>
      <w:color w:val="2E74B5" w:themeColor="accent1" w:themeShade="BF"/>
    </w:rPr>
  </w:style>
  <w:style w:type="character" w:customStyle="1" w:styleId="Titre5Car">
    <w:name w:val="Titre 5 Car"/>
    <w:basedOn w:val="Policepardfaut"/>
    <w:link w:val="Titre5"/>
    <w:uiPriority w:val="9"/>
    <w:semiHidden/>
    <w:rsid w:val="0049027F"/>
    <w:rPr>
      <w:rFonts w:asciiTheme="majorHAnsi" w:eastAsiaTheme="majorEastAsia" w:hAnsiTheme="majorHAnsi" w:cstheme="majorBidi"/>
      <w:color w:val="2E74B5" w:themeColor="accent1" w:themeShade="BF"/>
    </w:rPr>
  </w:style>
  <w:style w:type="character" w:customStyle="1" w:styleId="Titre6Car">
    <w:name w:val="Titre 6 Car"/>
    <w:basedOn w:val="Policepardfaut"/>
    <w:link w:val="Titre6"/>
    <w:uiPriority w:val="9"/>
    <w:semiHidden/>
    <w:rsid w:val="0049027F"/>
    <w:rPr>
      <w:rFonts w:asciiTheme="majorHAnsi" w:eastAsiaTheme="majorEastAsia" w:hAnsiTheme="majorHAnsi" w:cstheme="majorBidi"/>
      <w:color w:val="1F4D78" w:themeColor="accent1" w:themeShade="7F"/>
    </w:rPr>
  </w:style>
  <w:style w:type="character" w:customStyle="1" w:styleId="Titre7Car">
    <w:name w:val="Titre 7 Car"/>
    <w:basedOn w:val="Policepardfaut"/>
    <w:link w:val="Titre7"/>
    <w:uiPriority w:val="9"/>
    <w:semiHidden/>
    <w:rsid w:val="0049027F"/>
    <w:rPr>
      <w:rFonts w:asciiTheme="majorHAnsi" w:eastAsiaTheme="majorEastAsia" w:hAnsiTheme="majorHAnsi" w:cstheme="majorBidi"/>
      <w:i/>
      <w:iCs/>
      <w:color w:val="1F4D78" w:themeColor="accent1" w:themeShade="7F"/>
    </w:rPr>
  </w:style>
  <w:style w:type="character" w:customStyle="1" w:styleId="Titre8Car">
    <w:name w:val="Titre 8 Car"/>
    <w:basedOn w:val="Policepardfaut"/>
    <w:link w:val="Titre8"/>
    <w:uiPriority w:val="9"/>
    <w:semiHidden/>
    <w:rsid w:val="0049027F"/>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49027F"/>
    <w:rPr>
      <w:rFonts w:asciiTheme="majorHAnsi" w:eastAsiaTheme="majorEastAsia" w:hAnsiTheme="majorHAnsi" w:cstheme="majorBidi"/>
      <w:i/>
      <w:iCs/>
      <w:color w:val="272727" w:themeColor="text1" w:themeTint="D8"/>
      <w:sz w:val="21"/>
      <w:szCs w:val="21"/>
    </w:rPr>
  </w:style>
  <w:style w:type="paragraph" w:styleId="Commentaire">
    <w:name w:val="annotation text"/>
    <w:basedOn w:val="Normal"/>
    <w:link w:val="CommentaireCar"/>
    <w:uiPriority w:val="99"/>
    <w:unhideWhenUsed/>
    <w:rsid w:val="0049027F"/>
    <w:pPr>
      <w:spacing w:line="240" w:lineRule="auto"/>
    </w:pPr>
    <w:rPr>
      <w:sz w:val="20"/>
      <w:szCs w:val="20"/>
    </w:rPr>
  </w:style>
  <w:style w:type="character" w:customStyle="1" w:styleId="CommentaireCar">
    <w:name w:val="Commentaire Car"/>
    <w:basedOn w:val="Policepardfaut"/>
    <w:link w:val="Commentaire"/>
    <w:uiPriority w:val="99"/>
    <w:rsid w:val="0049027F"/>
    <w:rPr>
      <w:sz w:val="20"/>
      <w:szCs w:val="20"/>
    </w:rPr>
  </w:style>
  <w:style w:type="paragraph" w:styleId="En-tte">
    <w:name w:val="header"/>
    <w:basedOn w:val="Normal"/>
    <w:link w:val="En-tteCar"/>
    <w:uiPriority w:val="99"/>
    <w:unhideWhenUsed/>
    <w:rsid w:val="0049027F"/>
    <w:pPr>
      <w:tabs>
        <w:tab w:val="center" w:pos="4536"/>
        <w:tab w:val="right" w:pos="9072"/>
      </w:tabs>
      <w:spacing w:after="0" w:line="240" w:lineRule="auto"/>
    </w:pPr>
  </w:style>
  <w:style w:type="character" w:customStyle="1" w:styleId="En-tteCar">
    <w:name w:val="En-tête Car"/>
    <w:basedOn w:val="Policepardfaut"/>
    <w:link w:val="En-tte"/>
    <w:uiPriority w:val="99"/>
    <w:rsid w:val="0049027F"/>
  </w:style>
  <w:style w:type="paragraph" w:styleId="Pieddepage">
    <w:name w:val="footer"/>
    <w:basedOn w:val="Normal"/>
    <w:link w:val="PieddepageCar"/>
    <w:uiPriority w:val="99"/>
    <w:unhideWhenUsed/>
    <w:rsid w:val="0049027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9027F"/>
  </w:style>
  <w:style w:type="paragraph" w:styleId="Lgende">
    <w:name w:val="caption"/>
    <w:basedOn w:val="Normal"/>
    <w:next w:val="Normal"/>
    <w:uiPriority w:val="35"/>
    <w:unhideWhenUsed/>
    <w:qFormat/>
    <w:rsid w:val="0049027F"/>
    <w:pPr>
      <w:spacing w:after="200" w:line="240" w:lineRule="auto"/>
    </w:pPr>
    <w:rPr>
      <w:i/>
      <w:iCs/>
      <w:color w:val="44546A" w:themeColor="text2"/>
      <w:sz w:val="18"/>
      <w:szCs w:val="18"/>
    </w:rPr>
  </w:style>
  <w:style w:type="character" w:styleId="Marquedecommentaire">
    <w:name w:val="annotation reference"/>
    <w:basedOn w:val="Policepardfaut"/>
    <w:uiPriority w:val="99"/>
    <w:semiHidden/>
    <w:unhideWhenUsed/>
    <w:rsid w:val="0049027F"/>
    <w:rPr>
      <w:sz w:val="16"/>
      <w:szCs w:val="16"/>
    </w:rPr>
  </w:style>
  <w:style w:type="character" w:styleId="Lienhypertexte">
    <w:name w:val="Hyperlink"/>
    <w:basedOn w:val="Policepardfaut"/>
    <w:uiPriority w:val="99"/>
    <w:unhideWhenUsed/>
    <w:rsid w:val="0049027F"/>
    <w:rPr>
      <w:color w:val="0000FF"/>
      <w:u w:val="single"/>
    </w:rPr>
  </w:style>
  <w:style w:type="character" w:styleId="lev">
    <w:name w:val="Strong"/>
    <w:basedOn w:val="Policepardfaut"/>
    <w:uiPriority w:val="22"/>
    <w:qFormat/>
    <w:rsid w:val="0049027F"/>
    <w:rPr>
      <w:b/>
      <w:bCs/>
    </w:rPr>
  </w:style>
  <w:style w:type="paragraph" w:styleId="NormalWeb">
    <w:name w:val="Normal (Web)"/>
    <w:basedOn w:val="Normal"/>
    <w:uiPriority w:val="99"/>
    <w:semiHidden/>
    <w:unhideWhenUsed/>
    <w:rsid w:val="0049027F"/>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PrformatHTML">
    <w:name w:val="HTML Preformatted"/>
    <w:basedOn w:val="Normal"/>
    <w:link w:val="PrformatHTMLCar"/>
    <w:uiPriority w:val="99"/>
    <w:unhideWhenUsed/>
    <w:rsid w:val="004902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49027F"/>
    <w:rPr>
      <w:rFonts w:ascii="Courier New" w:eastAsia="Times New Roman" w:hAnsi="Courier New" w:cs="Courier New"/>
      <w:sz w:val="20"/>
      <w:szCs w:val="20"/>
      <w:lang w:eastAsia="fr-FR"/>
    </w:rPr>
  </w:style>
  <w:style w:type="paragraph" w:styleId="Objetducommentaire">
    <w:name w:val="annotation subject"/>
    <w:basedOn w:val="Commentaire"/>
    <w:next w:val="Commentaire"/>
    <w:link w:val="ObjetducommentaireCar"/>
    <w:uiPriority w:val="99"/>
    <w:semiHidden/>
    <w:unhideWhenUsed/>
    <w:rsid w:val="0049027F"/>
    <w:rPr>
      <w:b/>
      <w:bCs/>
    </w:rPr>
  </w:style>
  <w:style w:type="character" w:customStyle="1" w:styleId="ObjetducommentaireCar">
    <w:name w:val="Objet du commentaire Car"/>
    <w:basedOn w:val="CommentaireCar"/>
    <w:link w:val="Objetducommentaire"/>
    <w:uiPriority w:val="99"/>
    <w:semiHidden/>
    <w:rsid w:val="0049027F"/>
    <w:rPr>
      <w:b/>
      <w:bCs/>
      <w:sz w:val="20"/>
      <w:szCs w:val="20"/>
    </w:rPr>
  </w:style>
  <w:style w:type="paragraph" w:styleId="Textedebulles">
    <w:name w:val="Balloon Text"/>
    <w:basedOn w:val="Normal"/>
    <w:link w:val="TextedebullesCar"/>
    <w:uiPriority w:val="99"/>
    <w:semiHidden/>
    <w:unhideWhenUsed/>
    <w:rsid w:val="0049027F"/>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49027F"/>
    <w:rPr>
      <w:rFonts w:ascii="Times New Roman" w:hAnsi="Times New Roman" w:cs="Times New Roman"/>
      <w:sz w:val="18"/>
      <w:szCs w:val="18"/>
    </w:rPr>
  </w:style>
  <w:style w:type="character" w:styleId="Textedelespacerserv">
    <w:name w:val="Placeholder Text"/>
    <w:basedOn w:val="Policepardfaut"/>
    <w:uiPriority w:val="99"/>
    <w:semiHidden/>
    <w:rsid w:val="0049027F"/>
    <w:rPr>
      <w:color w:val="808080"/>
    </w:rPr>
  </w:style>
  <w:style w:type="paragraph" w:styleId="Paragraphedeliste">
    <w:name w:val="List Paragraph"/>
    <w:basedOn w:val="Normal"/>
    <w:uiPriority w:val="34"/>
    <w:qFormat/>
    <w:rsid w:val="0049027F"/>
    <w:pPr>
      <w:ind w:left="720"/>
      <w:contextualSpacing/>
    </w:pPr>
  </w:style>
  <w:style w:type="character" w:customStyle="1" w:styleId="tlid-translation">
    <w:name w:val="tlid-translation"/>
    <w:basedOn w:val="Policepardfaut"/>
    <w:rsid w:val="00BB5B80"/>
  </w:style>
  <w:style w:type="character" w:styleId="Accentuation">
    <w:name w:val="Emphasis"/>
    <w:basedOn w:val="Policepardfaut"/>
    <w:uiPriority w:val="20"/>
    <w:qFormat/>
    <w:rsid w:val="00BB5B80"/>
    <w:rPr>
      <w:i/>
      <w:iCs/>
    </w:rPr>
  </w:style>
  <w:style w:type="paragraph" w:styleId="Bibliographie">
    <w:name w:val="Bibliography"/>
    <w:basedOn w:val="Normal"/>
    <w:next w:val="Normal"/>
    <w:uiPriority w:val="37"/>
    <w:semiHidden/>
    <w:unhideWhenUsed/>
    <w:rsid w:val="00A36B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6</Pages>
  <Words>2412</Words>
  <Characters>13270</Characters>
  <Application>Microsoft Office Word</Application>
  <DocSecurity>0</DocSecurity>
  <Lines>110</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 -Labo</dc:creator>
  <cp:keywords/>
  <dc:description/>
  <cp:lastModifiedBy>Juliette</cp:lastModifiedBy>
  <cp:revision>16</cp:revision>
  <dcterms:created xsi:type="dcterms:W3CDTF">2020-10-14T08:57:00Z</dcterms:created>
  <dcterms:modified xsi:type="dcterms:W3CDTF">2020-11-04T15:45:00Z</dcterms:modified>
</cp:coreProperties>
</file>