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B7" w:rsidRDefault="007E69B7" w:rsidP="007E69B7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Ref430962331"/>
      <w:bookmarkStart w:id="1" w:name="_Toc431247861"/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7E69B7" w:rsidRDefault="007E69B7" w:rsidP="007E69B7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7E69B7" w:rsidRDefault="007E69B7" w:rsidP="007E69B7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7E69B7" w:rsidRDefault="007E69B7" w:rsidP="007E69B7">
      <w:pPr>
        <w:spacing w:before="0" w:after="160" w:line="256" w:lineRule="auto"/>
        <w:jc w:val="left"/>
        <w:rPr>
          <w:rFonts w:asciiTheme="minorHAnsi" w:eastAsiaTheme="majorEastAsia" w:hAnsiTheme="minorHAnsi" w:cstheme="majorBidi"/>
          <w:b/>
          <w:iCs/>
          <w:szCs w:val="24"/>
          <w:lang w:eastAsia="en-US"/>
        </w:rPr>
      </w:pPr>
      <w:r>
        <w:br w:type="page"/>
      </w:r>
    </w:p>
    <w:p w:rsidR="00AA5306" w:rsidRPr="0090795A" w:rsidRDefault="00AA5306" w:rsidP="00AA5306">
      <w:pPr>
        <w:pStyle w:val="Subtitle"/>
      </w:pPr>
      <w:bookmarkStart w:id="2" w:name="_GoBack"/>
      <w:bookmarkEnd w:id="2"/>
      <w:r w:rsidRPr="0090795A">
        <w:lastRenderedPageBreak/>
        <w:t xml:space="preserve">Supplementary Table </w:t>
      </w:r>
      <w:bookmarkEnd w:id="0"/>
      <w:r>
        <w:t>4:</w:t>
      </w:r>
      <w:r w:rsidRPr="0090795A">
        <w:t xml:space="preserve"> Demographic data of participants in nested case cohort study 2</w:t>
      </w:r>
      <w:bookmarkEnd w:id="1"/>
      <w:r>
        <w:t xml:space="preserve"> (NCC2)</w:t>
      </w:r>
    </w:p>
    <w:tbl>
      <w:tblPr>
        <w:tblStyle w:val="TableGrid"/>
        <w:tblW w:w="4583" w:type="pct"/>
        <w:tblLook w:val="0420" w:firstRow="1" w:lastRow="0" w:firstColumn="0" w:lastColumn="0" w:noHBand="0" w:noVBand="1"/>
      </w:tblPr>
      <w:tblGrid>
        <w:gridCol w:w="2317"/>
        <w:gridCol w:w="2215"/>
        <w:gridCol w:w="2074"/>
        <w:gridCol w:w="1658"/>
      </w:tblGrid>
      <w:tr w:rsidR="00AA5306" w:rsidRPr="00C109CD" w:rsidTr="00401B31">
        <w:trPr>
          <w:trHeight w:val="584"/>
        </w:trPr>
        <w:tc>
          <w:tcPr>
            <w:tcW w:w="1402" w:type="pct"/>
            <w:shd w:val="clear" w:color="auto" w:fill="BFBFBF" w:themeFill="background1" w:themeFillShade="BF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rPr>
                <w:b/>
                <w:bCs/>
                <w:color w:val="FFFFFF"/>
                <w:sz w:val="20"/>
              </w:rPr>
            </w:pPr>
            <w:r w:rsidRPr="00C109CD">
              <w:rPr>
                <w:b/>
                <w:bCs/>
                <w:sz w:val="20"/>
              </w:rPr>
              <w:t>Demographic</w:t>
            </w:r>
          </w:p>
        </w:tc>
        <w:tc>
          <w:tcPr>
            <w:tcW w:w="1340" w:type="pct"/>
            <w:shd w:val="clear" w:color="auto" w:fill="BFBFBF" w:themeFill="background1" w:themeFillShade="BF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NPO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(n=43)</w:t>
            </w:r>
          </w:p>
        </w:tc>
        <w:tc>
          <w:tcPr>
            <w:tcW w:w="1255" w:type="pct"/>
            <w:shd w:val="clear" w:color="auto" w:fill="BFBFBF" w:themeFill="background1" w:themeFillShade="BF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APO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(n=43)</w:t>
            </w:r>
          </w:p>
        </w:tc>
        <w:tc>
          <w:tcPr>
            <w:tcW w:w="1003" w:type="pct"/>
            <w:shd w:val="clear" w:color="auto" w:fill="BFBFBF" w:themeFill="background1" w:themeFillShade="BF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</w:tc>
      </w:tr>
      <w:tr w:rsidR="00AA5306" w:rsidRPr="00C109CD" w:rsidTr="00401B31">
        <w:trPr>
          <w:trHeight w:val="284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Maternal Age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 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Cs/>
                <w:sz w:val="20"/>
              </w:rPr>
              <w:t>(years)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39</w:t>
            </w:r>
            <w:r w:rsidRPr="00C109CD">
              <w:rPr>
                <w:sz w:val="20"/>
              </w:rPr>
              <w:t xml:space="preserve"> (35-47)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39</w:t>
            </w:r>
            <w:r w:rsidRPr="00C109CD">
              <w:rPr>
                <w:sz w:val="20"/>
              </w:rPr>
              <w:t xml:space="preserve"> (35-46)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0.902</w:t>
            </w:r>
          </w:p>
        </w:tc>
      </w:tr>
      <w:tr w:rsidR="00AA5306" w:rsidRPr="00C109CD" w:rsidTr="00401B31">
        <w:trPr>
          <w:trHeight w:val="337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Paternal Age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Cs/>
                <w:sz w:val="20"/>
              </w:rPr>
              <w:t>(years)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39 </w:t>
            </w:r>
            <w:r w:rsidRPr="00C109CD">
              <w:rPr>
                <w:sz w:val="20"/>
              </w:rPr>
              <w:t>(27-56)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40</w:t>
            </w:r>
            <w:r w:rsidRPr="00C109CD">
              <w:rPr>
                <w:sz w:val="20"/>
              </w:rPr>
              <w:t xml:space="preserve"> (25-60)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0.99</w:t>
            </w:r>
          </w:p>
        </w:tc>
      </w:tr>
      <w:tr w:rsidR="00AA5306" w:rsidRPr="00C109CD" w:rsidTr="00401B31">
        <w:trPr>
          <w:trHeight w:val="584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Ethnicity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European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Other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(38)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(5)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(39)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(4)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0.74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</w:tc>
      </w:tr>
      <w:tr w:rsidR="00AA5306" w:rsidRPr="00C109CD" w:rsidTr="00401B31">
        <w:trPr>
          <w:trHeight w:val="293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BMI</w:t>
            </w:r>
            <w:r w:rsidRPr="00C109CD">
              <w:rPr>
                <w:sz w:val="20"/>
              </w:rPr>
              <w:t xml:space="preserve"> (kg/m</w:t>
            </w:r>
            <w:r w:rsidRPr="00C109CD">
              <w:rPr>
                <w:sz w:val="20"/>
                <w:vertAlign w:val="superscript"/>
              </w:rPr>
              <w:t>2</w:t>
            </w:r>
            <w:r w:rsidRPr="00C109CD">
              <w:rPr>
                <w:sz w:val="20"/>
              </w:rPr>
              <w:t xml:space="preserve">) </w:t>
            </w:r>
            <w:r w:rsidRPr="00C109CD">
              <w:rPr>
                <w:b/>
                <w:bCs/>
                <w:sz w:val="20"/>
                <w:vertAlign w:val="superscript"/>
              </w:rPr>
              <w:t>a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29.0</w:t>
            </w:r>
            <w:r w:rsidRPr="00C109CD">
              <w:rPr>
                <w:sz w:val="20"/>
              </w:rPr>
              <w:t xml:space="preserve"> (18.5-24.3)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25.0</w:t>
            </w:r>
            <w:r w:rsidRPr="00C109CD">
              <w:rPr>
                <w:sz w:val="20"/>
              </w:rPr>
              <w:t xml:space="preserve"> (20-29.1)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0.52</w:t>
            </w:r>
          </w:p>
        </w:tc>
      </w:tr>
      <w:tr w:rsidR="00AA5306" w:rsidRPr="00C109CD" w:rsidTr="00401B31">
        <w:trPr>
          <w:trHeight w:val="584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Marital Status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Married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Partner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Single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61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(26)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(16)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(17)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(25)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0.057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</w:tc>
      </w:tr>
      <w:tr w:rsidR="00AA5306" w:rsidRPr="00C109CD" w:rsidTr="00401B31">
        <w:trPr>
          <w:trHeight w:val="395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Employment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Employed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74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(32)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84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(36)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0.43</w:t>
            </w:r>
          </w:p>
        </w:tc>
      </w:tr>
      <w:tr w:rsidR="00AA5306" w:rsidRPr="00C109CD" w:rsidTr="00401B31">
        <w:trPr>
          <w:trHeight w:val="584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Smoking Status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Smoker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Ex-smoker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Non-smoker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(5)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(7)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(31)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(8)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(13)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(22)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0.051</w:t>
            </w:r>
          </w:p>
        </w:tc>
      </w:tr>
      <w:tr w:rsidR="00AA5306" w:rsidRPr="00C109CD" w:rsidTr="00401B31">
        <w:trPr>
          <w:trHeight w:val="421"/>
        </w:trPr>
        <w:tc>
          <w:tcPr>
            <w:tcW w:w="1402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Housing Status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Owns</w:t>
            </w:r>
          </w:p>
        </w:tc>
        <w:tc>
          <w:tcPr>
            <w:tcW w:w="1340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(33)</w:t>
            </w:r>
          </w:p>
        </w:tc>
        <w:tc>
          <w:tcPr>
            <w:tcW w:w="1255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67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(29)</w:t>
            </w:r>
          </w:p>
        </w:tc>
        <w:tc>
          <w:tcPr>
            <w:tcW w:w="1003" w:type="pct"/>
            <w:hideMark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0.35</w:t>
            </w:r>
          </w:p>
        </w:tc>
      </w:tr>
      <w:tr w:rsidR="00AA5306" w:rsidRPr="00C109CD" w:rsidTr="00401B31">
        <w:trPr>
          <w:trHeight w:val="421"/>
        </w:trPr>
        <w:tc>
          <w:tcPr>
            <w:tcW w:w="1402" w:type="pct"/>
          </w:tcPr>
          <w:p w:rsidR="00AA5306" w:rsidRDefault="00AA5306" w:rsidP="00401B31">
            <w:pPr>
              <w:spacing w:before="0" w:after="0"/>
              <w:contextualSpacing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IMD</w:t>
            </w:r>
          </w:p>
          <w:p w:rsidR="00AA5306" w:rsidRPr="00EB3CAC" w:rsidRDefault="00AA5306" w:rsidP="00401B31">
            <w:pPr>
              <w:spacing w:before="0" w:after="0"/>
              <w:contextualSpacing w:val="0"/>
              <w:jc w:val="left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Score</w:t>
            </w:r>
          </w:p>
        </w:tc>
        <w:tc>
          <w:tcPr>
            <w:tcW w:w="1340" w:type="pct"/>
          </w:tcPr>
          <w:p w:rsidR="00AA5306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143521">
              <w:rPr>
                <w:b/>
                <w:bCs/>
                <w:sz w:val="20"/>
              </w:rPr>
              <w:t>20.13</w:t>
            </w:r>
          </w:p>
          <w:p w:rsidR="00AA5306" w:rsidRPr="00143521" w:rsidRDefault="00AA5306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(3.32-66.1)</w:t>
            </w:r>
          </w:p>
        </w:tc>
        <w:tc>
          <w:tcPr>
            <w:tcW w:w="1255" w:type="pct"/>
          </w:tcPr>
          <w:p w:rsidR="00AA5306" w:rsidRDefault="00AA5306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13.5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(2.16-53.4)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</w:tr>
      <w:tr w:rsidR="00AA5306" w:rsidRPr="00C109CD" w:rsidTr="00401B31">
        <w:trPr>
          <w:trHeight w:val="584"/>
        </w:trPr>
        <w:tc>
          <w:tcPr>
            <w:tcW w:w="1402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Parity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proofErr w:type="spellStart"/>
            <w:r w:rsidRPr="00C109CD">
              <w:rPr>
                <w:i/>
                <w:iCs/>
                <w:sz w:val="20"/>
              </w:rPr>
              <w:t>Primips</w:t>
            </w:r>
            <w:proofErr w:type="spellEnd"/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Parous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proofErr w:type="spellStart"/>
            <w:r w:rsidRPr="00C109CD">
              <w:rPr>
                <w:i/>
                <w:iCs/>
                <w:sz w:val="20"/>
              </w:rPr>
              <w:lastRenderedPageBreak/>
              <w:t>Grand</w:t>
            </w:r>
            <w:r>
              <w:rPr>
                <w:i/>
                <w:iCs/>
                <w:sz w:val="20"/>
              </w:rPr>
              <w:t>multi</w:t>
            </w:r>
            <w:r w:rsidRPr="00C109CD">
              <w:rPr>
                <w:i/>
                <w:iCs/>
                <w:sz w:val="20"/>
              </w:rPr>
              <w:t>parous</w:t>
            </w:r>
            <w:proofErr w:type="spellEnd"/>
          </w:p>
        </w:tc>
        <w:tc>
          <w:tcPr>
            <w:tcW w:w="1340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(12)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(31)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1255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(19)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56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(23)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0.081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0.20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lastRenderedPageBreak/>
              <w:t>0.37</w:t>
            </w:r>
          </w:p>
        </w:tc>
      </w:tr>
      <w:tr w:rsidR="00AA5306" w:rsidRPr="00C109CD" w:rsidTr="00401B31">
        <w:trPr>
          <w:trHeight w:val="371"/>
        </w:trPr>
        <w:tc>
          <w:tcPr>
            <w:tcW w:w="1402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lastRenderedPageBreak/>
              <w:t>Previous Miscarriage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340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(18)</w:t>
            </w:r>
          </w:p>
        </w:tc>
        <w:tc>
          <w:tcPr>
            <w:tcW w:w="1255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(19)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</w:t>
            </w:r>
          </w:p>
        </w:tc>
      </w:tr>
      <w:tr w:rsidR="00AA5306" w:rsidRPr="00C109CD" w:rsidTr="00401B31">
        <w:trPr>
          <w:trHeight w:val="584"/>
        </w:trPr>
        <w:tc>
          <w:tcPr>
            <w:tcW w:w="1402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Previous APO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(of parous women)</w:t>
            </w:r>
          </w:p>
        </w:tc>
        <w:tc>
          <w:tcPr>
            <w:tcW w:w="1340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29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(9)</w:t>
            </w:r>
          </w:p>
        </w:tc>
        <w:tc>
          <w:tcPr>
            <w:tcW w:w="1255" w:type="pct"/>
          </w:tcPr>
          <w:p w:rsidR="00AA5306" w:rsidRPr="00C109CD" w:rsidRDefault="00AA5306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46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(11)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Cs/>
                <w:sz w:val="20"/>
              </w:rPr>
              <w:t>0.25</w:t>
            </w:r>
          </w:p>
        </w:tc>
      </w:tr>
      <w:tr w:rsidR="00AA5306" w:rsidRPr="00C109CD" w:rsidTr="00401B31">
        <w:trPr>
          <w:trHeight w:val="489"/>
        </w:trPr>
        <w:tc>
          <w:tcPr>
            <w:tcW w:w="1402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Previous Fertility Treatment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340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1255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0.37</w:t>
            </w:r>
          </w:p>
        </w:tc>
      </w:tr>
      <w:tr w:rsidR="00AA5306" w:rsidRPr="00C109CD" w:rsidTr="00401B31">
        <w:trPr>
          <w:trHeight w:val="469"/>
        </w:trPr>
        <w:tc>
          <w:tcPr>
            <w:tcW w:w="1402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Current Fertility Treatment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340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1255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1003" w:type="pct"/>
          </w:tcPr>
          <w:p w:rsidR="00AA5306" w:rsidRPr="00C109CD" w:rsidRDefault="00AA5306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1.0</w:t>
            </w:r>
          </w:p>
        </w:tc>
      </w:tr>
    </w:tbl>
    <w:p w:rsidR="00AA5306" w:rsidRDefault="00AA5306" w:rsidP="00AA5306">
      <w:pPr>
        <w:pStyle w:val="BodyText"/>
        <w:spacing w:before="120" w:after="0" w:line="360" w:lineRule="auto"/>
        <w:jc w:val="both"/>
        <w:rPr>
          <w:i/>
        </w:rPr>
      </w:pPr>
    </w:p>
    <w:p w:rsidR="00F67FFB" w:rsidRPr="00AA5306" w:rsidRDefault="00AA5306" w:rsidP="00AA5306">
      <w:pPr>
        <w:pStyle w:val="BodyText"/>
        <w:spacing w:before="120" w:after="0" w:line="360" w:lineRule="auto"/>
        <w:jc w:val="both"/>
        <w:rPr>
          <w:i/>
        </w:rPr>
      </w:pPr>
      <w:r w:rsidRPr="00FB7794">
        <w:rPr>
          <w:i/>
        </w:rPr>
        <w:t>NCC2 (</w:t>
      </w:r>
      <w:bookmarkStart w:id="3" w:name="OLE_LINK1"/>
      <w:bookmarkStart w:id="4" w:name="OLE_LINK2"/>
      <w:r w:rsidRPr="00FB7794">
        <w:rPr>
          <w:i/>
        </w:rPr>
        <w:t>AMA normal pregnancy outcome (NPO) vs adverse pregnancy outcome (APO)</w:t>
      </w:r>
      <w:bookmarkEnd w:id="3"/>
      <w:bookmarkEnd w:id="4"/>
      <w:r w:rsidRPr="00FB7794">
        <w:rPr>
          <w:i/>
        </w:rPr>
        <w:t>)</w:t>
      </w:r>
      <w:proofErr w:type="gramStart"/>
      <w:r w:rsidRPr="00FB7794">
        <w:rPr>
          <w:i/>
        </w:rPr>
        <w:t>;</w:t>
      </w:r>
      <w:proofErr w:type="gramEnd"/>
      <w:r w:rsidRPr="00FB7794">
        <w:rPr>
          <w:i/>
        </w:rPr>
        <w:t xml:space="preserve"> n=43/group. Data are mean (range) or percentage (number). BMI = body mass index, APO = adverse pregnancy outcome. </w:t>
      </w:r>
      <w:proofErr w:type="spellStart"/>
      <w:proofErr w:type="gramStart"/>
      <w:r w:rsidRPr="00FB7794">
        <w:rPr>
          <w:i/>
          <w:vertAlign w:val="superscript"/>
        </w:rPr>
        <w:t>a</w:t>
      </w:r>
      <w:r>
        <w:rPr>
          <w:i/>
        </w:rPr>
        <w:t>Mann</w:t>
      </w:r>
      <w:proofErr w:type="spellEnd"/>
      <w:r>
        <w:rPr>
          <w:i/>
        </w:rPr>
        <w:t>-Whitney</w:t>
      </w:r>
      <w:proofErr w:type="gramEnd"/>
      <w:r>
        <w:rPr>
          <w:i/>
        </w:rPr>
        <w:t xml:space="preserve"> U Test  or </w:t>
      </w:r>
      <w:r w:rsidRPr="00FB7794">
        <w:rPr>
          <w:i/>
        </w:rPr>
        <w:t xml:space="preserve"> </w:t>
      </w:r>
      <w:proofErr w:type="spellStart"/>
      <w:r w:rsidRPr="00FB7794">
        <w:rPr>
          <w:i/>
          <w:vertAlign w:val="superscript"/>
        </w:rPr>
        <w:t>b</w:t>
      </w:r>
      <w:r w:rsidRPr="00FB7794">
        <w:rPr>
          <w:i/>
        </w:rPr>
        <w:t>Fisher’s</w:t>
      </w:r>
      <w:proofErr w:type="spellEnd"/>
      <w:r w:rsidRPr="00FB7794">
        <w:rPr>
          <w:i/>
        </w:rPr>
        <w:t xml:space="preserve"> exact test</w:t>
      </w:r>
      <w:r>
        <w:rPr>
          <w:i/>
        </w:rPr>
        <w:t xml:space="preserve">. </w:t>
      </w:r>
      <w:r>
        <w:t xml:space="preserve">Significant differences are highlighted with </w:t>
      </w:r>
      <w:r>
        <w:rPr>
          <w:b/>
        </w:rPr>
        <w:t>bold</w:t>
      </w:r>
      <w:r>
        <w:t xml:space="preserve"> p values.</w:t>
      </w:r>
    </w:p>
    <w:sectPr w:rsidR="00F67FFB" w:rsidRPr="00AA5306" w:rsidSect="00AA530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06"/>
    <w:rsid w:val="00317CFA"/>
    <w:rsid w:val="007E69B7"/>
    <w:rsid w:val="009D6FA4"/>
    <w:rsid w:val="00A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3AD73-A769-4CB2-B32D-7700385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AA5306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7E69B7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able legend,Figure Legend,Table Legend"/>
    <w:basedOn w:val="Normal"/>
    <w:next w:val="Normal"/>
    <w:link w:val="SubtitleChar"/>
    <w:autoRedefine/>
    <w:uiPriority w:val="11"/>
    <w:qFormat/>
    <w:rsid w:val="00AA5306"/>
    <w:pPr>
      <w:numPr>
        <w:ilvl w:val="1"/>
      </w:numPr>
      <w:spacing w:after="0" w:line="360" w:lineRule="auto"/>
      <w:contextualSpacing w:val="0"/>
      <w:jc w:val="left"/>
    </w:pPr>
    <w:rPr>
      <w:rFonts w:asciiTheme="minorHAnsi" w:eastAsiaTheme="majorEastAsia" w:hAnsiTheme="minorHAnsi" w:cstheme="majorBidi"/>
      <w:b/>
      <w:iCs/>
      <w:szCs w:val="24"/>
      <w:lang w:eastAsia="en-US"/>
    </w:rPr>
  </w:style>
  <w:style w:type="character" w:customStyle="1" w:styleId="SubtitleChar">
    <w:name w:val="Subtitle Char"/>
    <w:aliases w:val="Table legend Char,Figure Legend Char,Table Legend Char"/>
    <w:basedOn w:val="DefaultParagraphFont"/>
    <w:link w:val="Subtitle"/>
    <w:uiPriority w:val="11"/>
    <w:rsid w:val="00AA5306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A5306"/>
    <w:pPr>
      <w:spacing w:before="0" w:after="120" w:line="276" w:lineRule="auto"/>
      <w:contextualSpacing w:val="0"/>
      <w:jc w:val="left"/>
    </w:pPr>
    <w:rPr>
      <w:rFonts w:eastAsia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A530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A5306"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7E69B7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2020-12-16T16:13:00Z</dcterms:created>
  <dcterms:modified xsi:type="dcterms:W3CDTF">2020-12-18T09:18:00Z</dcterms:modified>
</cp:coreProperties>
</file>