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5F" w:rsidRDefault="00DD4A5F" w:rsidP="00DD4A5F">
      <w:pPr>
        <w:pStyle w:val="Heading1"/>
        <w:keepNext w:val="0"/>
        <w:keepLines w:val="0"/>
        <w:spacing w:before="0" w:after="120"/>
        <w:jc w:val="left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A Prospective Cohort Study providing Insights for Markers of Adverse Pregnancy Outcome in Women of Advanced Maternal Age</w:t>
      </w:r>
    </w:p>
    <w:p w:rsidR="00DD4A5F" w:rsidRDefault="00DD4A5F" w:rsidP="00DD4A5F">
      <w:pPr>
        <w:spacing w:before="0" w:after="120"/>
        <w:jc w:val="left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DD4A5F" w:rsidRDefault="00DD4A5F" w:rsidP="00DD4A5F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Samantha C. LEAN, Maternal and Fetal Health Research Centre, Division of Developmental Biology and Medicine, Faculty of Biology, Medicine and Health, University of Manchester, UK. sl961@cam.ac.uk</w:t>
      </w:r>
    </w:p>
    <w:p w:rsidR="00DD4A5F" w:rsidRDefault="00DD4A5F" w:rsidP="00DD4A5F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DD4A5F" w:rsidRDefault="00DD4A5F" w:rsidP="00DD4A5F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Rebecca L. JONES, Maternal and Fetal Health Research Centre, Division of Developmental Biology and Medicine, Faculty of Biology, Medicine and Health, University of Manchester, UK. rebecca.lee.jones@manchester.ac.uk</w:t>
      </w:r>
    </w:p>
    <w:p w:rsidR="00DD4A5F" w:rsidRDefault="00DD4A5F" w:rsidP="00DD4A5F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DD4A5F" w:rsidRDefault="00DD4A5F" w:rsidP="00DD4A5F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Stephen A. ROBERTS, Centre for Biostatistics, Faculty of Biology, Medicine and Health, University of Manchester, UK. steve.roberts@manchester.ac.uk</w:t>
      </w:r>
    </w:p>
    <w:p w:rsidR="00DD4A5F" w:rsidRDefault="00DD4A5F" w:rsidP="00DD4A5F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DD4A5F" w:rsidRDefault="00DD4A5F" w:rsidP="00DD4A5F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  <w:vertAlign w:val="superscript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Alexander E.P. HEAZELL, Maternal and Fetal Health Research Centre, Division of Developmental Biology and Medicine, Faculty of Biology, Medicine and Health, University of Manchester, UK</w:t>
      </w:r>
    </w:p>
    <w:p w:rsidR="00DD4A5F" w:rsidRDefault="00DD4A5F" w:rsidP="00DD4A5F">
      <w:pPr>
        <w:spacing w:before="0" w:after="160" w:line="256" w:lineRule="auto"/>
        <w:jc w:val="left"/>
        <w:rPr>
          <w:rFonts w:asciiTheme="minorHAnsi" w:eastAsiaTheme="majorEastAsia" w:hAnsiTheme="minorHAnsi" w:cstheme="majorBidi"/>
          <w:b/>
          <w:iCs/>
          <w:szCs w:val="24"/>
          <w:lang w:eastAsia="en-US"/>
        </w:rPr>
      </w:pPr>
      <w:r>
        <w:br w:type="page"/>
      </w:r>
    </w:p>
    <w:p w:rsidR="00D850B7" w:rsidRPr="0090795A" w:rsidRDefault="00D850B7" w:rsidP="00D850B7">
      <w:pPr>
        <w:pStyle w:val="Subtitle"/>
      </w:pPr>
      <w:bookmarkStart w:id="0" w:name="_GoBack"/>
      <w:bookmarkEnd w:id="0"/>
      <w:r>
        <w:lastRenderedPageBreak/>
        <w:t>S</w:t>
      </w:r>
      <w:r w:rsidRPr="0090795A">
        <w:t xml:space="preserve">upplementary Table </w:t>
      </w:r>
      <w:r>
        <w:t>3</w:t>
      </w:r>
      <w:r w:rsidRPr="0090795A">
        <w:t>: Obstetric outcomes of participants in nested case cohort study</w:t>
      </w:r>
      <w:r>
        <w:t xml:space="preserve"> 1 (NCC1)</w:t>
      </w:r>
      <w:r w:rsidRPr="0090795A">
        <w:t xml:space="preserve"> </w:t>
      </w:r>
    </w:p>
    <w:tbl>
      <w:tblPr>
        <w:tblStyle w:val="TableGrid"/>
        <w:tblW w:w="5000" w:type="pct"/>
        <w:tblLayout w:type="fixed"/>
        <w:tblLook w:val="0420" w:firstRow="1" w:lastRow="0" w:firstColumn="0" w:lastColumn="0" w:noHBand="0" w:noVBand="1"/>
      </w:tblPr>
      <w:tblGrid>
        <w:gridCol w:w="2042"/>
        <w:gridCol w:w="1383"/>
        <w:gridCol w:w="1383"/>
        <w:gridCol w:w="1392"/>
        <w:gridCol w:w="829"/>
        <w:gridCol w:w="1987"/>
      </w:tblGrid>
      <w:tr w:rsidR="00D850B7" w:rsidRPr="00C109CD" w:rsidTr="00401B31">
        <w:trPr>
          <w:trHeight w:val="473"/>
        </w:trPr>
        <w:tc>
          <w:tcPr>
            <w:tcW w:w="1132" w:type="pct"/>
            <w:shd w:val="clear" w:color="auto" w:fill="A6A6A6" w:themeFill="background1" w:themeFillShade="A6"/>
          </w:tcPr>
          <w:p w:rsidR="00D850B7" w:rsidRPr="00C109CD" w:rsidRDefault="00D850B7" w:rsidP="00401B31">
            <w:pPr>
              <w:spacing w:before="0" w:after="0"/>
              <w:contextualSpacing w:val="0"/>
              <w:rPr>
                <w:b/>
                <w:bCs/>
                <w:color w:val="FFFFFF"/>
                <w:sz w:val="20"/>
              </w:rPr>
            </w:pPr>
            <w:r w:rsidRPr="00C109CD">
              <w:rPr>
                <w:b/>
                <w:bCs/>
                <w:sz w:val="20"/>
              </w:rPr>
              <w:t>Demographic</w:t>
            </w:r>
          </w:p>
        </w:tc>
        <w:tc>
          <w:tcPr>
            <w:tcW w:w="767" w:type="pct"/>
            <w:shd w:val="clear" w:color="auto" w:fill="A6A6A6" w:themeFill="background1" w:themeFillShade="A6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20-30 Years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(n=40)</w:t>
            </w:r>
          </w:p>
        </w:tc>
        <w:tc>
          <w:tcPr>
            <w:tcW w:w="767" w:type="pct"/>
            <w:shd w:val="clear" w:color="auto" w:fill="A6A6A6" w:themeFill="background1" w:themeFillShade="A6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35-39 Years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(n=40)</w:t>
            </w:r>
          </w:p>
        </w:tc>
        <w:tc>
          <w:tcPr>
            <w:tcW w:w="772" w:type="pct"/>
            <w:shd w:val="clear" w:color="auto" w:fill="A6A6A6" w:themeFill="background1" w:themeFillShade="A6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≥40 Years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(n=40)</w:t>
            </w:r>
          </w:p>
        </w:tc>
        <w:tc>
          <w:tcPr>
            <w:tcW w:w="460" w:type="pct"/>
            <w:shd w:val="clear" w:color="auto" w:fill="A6A6A6" w:themeFill="background1" w:themeFillShade="A6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i/>
                <w:sz w:val="20"/>
              </w:rPr>
              <w:t>p</w:t>
            </w:r>
            <w:r w:rsidRPr="00C109CD">
              <w:rPr>
                <w:b/>
                <w:bCs/>
                <w:sz w:val="20"/>
              </w:rPr>
              <w:t xml:space="preserve"> value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Overall</w:t>
            </w:r>
          </w:p>
        </w:tc>
        <w:tc>
          <w:tcPr>
            <w:tcW w:w="1102" w:type="pct"/>
            <w:shd w:val="clear" w:color="auto" w:fill="A6A6A6" w:themeFill="background1" w:themeFillShade="A6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i/>
                <w:sz w:val="20"/>
              </w:rPr>
              <w:t>p</w:t>
            </w:r>
            <w:r w:rsidRPr="00C109CD">
              <w:rPr>
                <w:b/>
                <w:bCs/>
                <w:sz w:val="20"/>
              </w:rPr>
              <w:t xml:space="preserve"> value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i/>
                <w:sz w:val="20"/>
              </w:rPr>
            </w:pPr>
            <w:r w:rsidRPr="00C109CD">
              <w:rPr>
                <w:b/>
                <w:bCs/>
                <w:sz w:val="20"/>
              </w:rPr>
              <w:t>Multiple Comparisons</w:t>
            </w:r>
          </w:p>
        </w:tc>
      </w:tr>
      <w:tr w:rsidR="00D850B7" w:rsidRPr="00C109CD" w:rsidTr="00401B31">
        <w:trPr>
          <w:trHeight w:val="584"/>
        </w:trPr>
        <w:tc>
          <w:tcPr>
            <w:tcW w:w="113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left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Gestation at Delivery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left"/>
              <w:rPr>
                <w:sz w:val="20"/>
              </w:rPr>
            </w:pPr>
            <w:r w:rsidRPr="00C109CD">
              <w:rPr>
                <w:bCs/>
                <w:sz w:val="20"/>
              </w:rPr>
              <w:t>(weeks + days)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40+2 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(37+6 – 42+2)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39+5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(37+4- 42+1)</w:t>
            </w:r>
          </w:p>
        </w:tc>
        <w:tc>
          <w:tcPr>
            <w:tcW w:w="77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39+2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(37+1 – 42+4)</w:t>
            </w:r>
          </w:p>
        </w:tc>
        <w:tc>
          <w:tcPr>
            <w:tcW w:w="460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sz w:val="20"/>
              </w:rPr>
            </w:pPr>
            <w:r w:rsidRPr="00C109CD">
              <w:rPr>
                <w:b/>
                <w:sz w:val="20"/>
              </w:rPr>
              <w:t>0.0007</w:t>
            </w:r>
          </w:p>
        </w:tc>
        <w:tc>
          <w:tcPr>
            <w:tcW w:w="110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sz w:val="20"/>
                <w:vertAlign w:val="superscript"/>
              </w:rPr>
              <w:t>†</w:t>
            </w:r>
            <w:r w:rsidRPr="00C109CD">
              <w:rPr>
                <w:sz w:val="20"/>
              </w:rPr>
              <w:t>0.39</w:t>
            </w:r>
            <w:r w:rsidRPr="00C109CD">
              <w:rPr>
                <w:b/>
                <w:sz w:val="20"/>
              </w:rPr>
              <w:t xml:space="preserve">, </w:t>
            </w:r>
            <w:r w:rsidRPr="00C109CD">
              <w:rPr>
                <w:sz w:val="20"/>
                <w:vertAlign w:val="superscript"/>
              </w:rPr>
              <w:t>¶</w:t>
            </w:r>
            <w:r w:rsidRPr="00C109CD">
              <w:rPr>
                <w:b/>
                <w:sz w:val="20"/>
              </w:rPr>
              <w:t>0.0005,</w:t>
            </w:r>
            <w:r w:rsidRPr="00C109CD">
              <w:rPr>
                <w:sz w:val="20"/>
              </w:rPr>
              <w:t xml:space="preserve"> </w:t>
            </w:r>
            <w:r w:rsidRPr="00C109CD">
              <w:rPr>
                <w:sz w:val="20"/>
                <w:vertAlign w:val="superscript"/>
              </w:rPr>
              <w:t>Δ</w:t>
            </w:r>
            <w:r w:rsidRPr="00C109CD">
              <w:rPr>
                <w:sz w:val="20"/>
              </w:rPr>
              <w:t>0.60</w:t>
            </w:r>
          </w:p>
        </w:tc>
      </w:tr>
      <w:tr w:rsidR="00D850B7" w:rsidRPr="00C109CD" w:rsidTr="00401B31">
        <w:trPr>
          <w:trHeight w:val="584"/>
        </w:trPr>
        <w:tc>
          <w:tcPr>
            <w:tcW w:w="1132" w:type="pct"/>
          </w:tcPr>
          <w:p w:rsidR="00D850B7" w:rsidRPr="00C109CD" w:rsidRDefault="00D850B7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Birthweight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sz w:val="20"/>
              </w:rPr>
              <w:t>(g)</w:t>
            </w:r>
          </w:p>
        </w:tc>
        <w:tc>
          <w:tcPr>
            <w:tcW w:w="767" w:type="pct"/>
          </w:tcPr>
          <w:p w:rsidR="00D850B7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3545</w:t>
            </w:r>
            <w:r w:rsidRPr="00C109CD">
              <w:rPr>
                <w:sz w:val="20"/>
              </w:rPr>
              <w:t xml:space="preserve"> 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(2965-4300)</w:t>
            </w:r>
          </w:p>
        </w:tc>
        <w:tc>
          <w:tcPr>
            <w:tcW w:w="767" w:type="pct"/>
          </w:tcPr>
          <w:p w:rsidR="00D850B7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3375 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(2640 – 3920)</w:t>
            </w:r>
          </w:p>
        </w:tc>
        <w:tc>
          <w:tcPr>
            <w:tcW w:w="772" w:type="pct"/>
          </w:tcPr>
          <w:p w:rsidR="00D850B7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3401</w:t>
            </w:r>
            <w:r w:rsidRPr="00C109CD">
              <w:rPr>
                <w:sz w:val="20"/>
              </w:rPr>
              <w:t xml:space="preserve"> 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(2800 – 4250)</w:t>
            </w:r>
          </w:p>
        </w:tc>
        <w:tc>
          <w:tcPr>
            <w:tcW w:w="460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0.11</w:t>
            </w:r>
          </w:p>
        </w:tc>
        <w:tc>
          <w:tcPr>
            <w:tcW w:w="110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D850B7" w:rsidRPr="00C109CD" w:rsidTr="00401B31">
        <w:trPr>
          <w:trHeight w:val="359"/>
        </w:trPr>
        <w:tc>
          <w:tcPr>
            <w:tcW w:w="1132" w:type="pct"/>
          </w:tcPr>
          <w:p w:rsidR="00D850B7" w:rsidRPr="00C109CD" w:rsidRDefault="00D850B7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IBC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a</w:t>
            </w:r>
          </w:p>
        </w:tc>
        <w:tc>
          <w:tcPr>
            <w:tcW w:w="767" w:type="pct"/>
          </w:tcPr>
          <w:p w:rsidR="00D850B7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46.4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 </w:t>
            </w:r>
            <w:r w:rsidRPr="00C109CD">
              <w:rPr>
                <w:sz w:val="20"/>
              </w:rPr>
              <w:t>(11.9-94.4)</w:t>
            </w:r>
          </w:p>
        </w:tc>
        <w:tc>
          <w:tcPr>
            <w:tcW w:w="767" w:type="pct"/>
          </w:tcPr>
          <w:p w:rsidR="00D850B7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40.1 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(10.4-76.0)</w:t>
            </w:r>
          </w:p>
        </w:tc>
        <w:tc>
          <w:tcPr>
            <w:tcW w:w="772" w:type="pct"/>
          </w:tcPr>
          <w:p w:rsidR="00D850B7" w:rsidRDefault="00D850B7" w:rsidP="00401B31">
            <w:pPr>
              <w:spacing w:before="0" w:after="0"/>
              <w:contextualSpacing w:val="0"/>
              <w:jc w:val="center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46.9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 xml:space="preserve"> (11.1 – 89.1)</w:t>
            </w:r>
          </w:p>
        </w:tc>
        <w:tc>
          <w:tcPr>
            <w:tcW w:w="460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0.44</w:t>
            </w:r>
          </w:p>
        </w:tc>
        <w:tc>
          <w:tcPr>
            <w:tcW w:w="110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D850B7" w:rsidRPr="00C109CD" w:rsidTr="00401B31">
        <w:trPr>
          <w:trHeight w:val="339"/>
        </w:trPr>
        <w:tc>
          <w:tcPr>
            <w:tcW w:w="1132" w:type="pct"/>
          </w:tcPr>
          <w:p w:rsidR="00D850B7" w:rsidRPr="00C109CD" w:rsidRDefault="00D850B7" w:rsidP="00401B31">
            <w:pPr>
              <w:spacing w:before="0" w:after="0"/>
              <w:contextualSpacing w:val="0"/>
              <w:rPr>
                <w:b/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Induction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27.5% </w:t>
            </w:r>
            <w:r w:rsidRPr="00C109CD">
              <w:rPr>
                <w:bCs/>
                <w:sz w:val="20"/>
              </w:rPr>
              <w:t>(11)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17.5% </w:t>
            </w:r>
            <w:r w:rsidRPr="00C109CD">
              <w:rPr>
                <w:bCs/>
                <w:sz w:val="20"/>
              </w:rPr>
              <w:t>(7)</w:t>
            </w:r>
          </w:p>
        </w:tc>
        <w:tc>
          <w:tcPr>
            <w:tcW w:w="77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bCs/>
                <w:sz w:val="20"/>
              </w:rPr>
            </w:pPr>
            <w:r w:rsidRPr="00C109CD">
              <w:rPr>
                <w:b/>
                <w:bCs/>
                <w:sz w:val="20"/>
              </w:rPr>
              <w:t>37.5%</w:t>
            </w:r>
            <w:r w:rsidRPr="00C109CD">
              <w:rPr>
                <w:bCs/>
                <w:sz w:val="20"/>
              </w:rPr>
              <w:t xml:space="preserve"> (15)</w:t>
            </w:r>
          </w:p>
        </w:tc>
        <w:tc>
          <w:tcPr>
            <w:tcW w:w="460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0.13</w:t>
            </w:r>
          </w:p>
        </w:tc>
        <w:tc>
          <w:tcPr>
            <w:tcW w:w="110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D850B7" w:rsidRPr="00C109CD" w:rsidTr="00401B31">
        <w:trPr>
          <w:trHeight w:val="584"/>
        </w:trPr>
        <w:tc>
          <w:tcPr>
            <w:tcW w:w="1132" w:type="pct"/>
          </w:tcPr>
          <w:p w:rsidR="00D850B7" w:rsidRPr="00C109CD" w:rsidRDefault="00D850B7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Mode of Delivery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NVD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ELCS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EMCS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i/>
                <w:iCs/>
                <w:sz w:val="20"/>
              </w:rPr>
              <w:t>INST.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53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(21)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(7)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(9)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65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(26)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(9)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(3)</w:t>
            </w:r>
          </w:p>
        </w:tc>
        <w:tc>
          <w:tcPr>
            <w:tcW w:w="772" w:type="pct"/>
          </w:tcPr>
          <w:p w:rsidR="00D850B7" w:rsidRPr="00C109CD" w:rsidRDefault="00D850B7" w:rsidP="00401B31">
            <w:pPr>
              <w:spacing w:before="0" w:after="0"/>
              <w:ind w:firstLine="360"/>
              <w:contextualSpacing w:val="0"/>
              <w:jc w:val="center"/>
              <w:rPr>
                <w:b/>
                <w:bCs/>
                <w:sz w:val="20"/>
              </w:rPr>
            </w:pP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58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(23)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(7)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(6)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  <w:r w:rsidRPr="00C109CD">
              <w:rPr>
                <w:b/>
                <w:bCs/>
                <w:sz w:val="20"/>
              </w:rPr>
              <w:t>%</w:t>
            </w:r>
            <w:r w:rsidRPr="00C109CD">
              <w:rPr>
                <w:bCs/>
                <w:sz w:val="20"/>
              </w:rPr>
              <w:t xml:space="preserve"> (4)</w:t>
            </w:r>
          </w:p>
        </w:tc>
        <w:tc>
          <w:tcPr>
            <w:tcW w:w="460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0.84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</w:tc>
        <w:tc>
          <w:tcPr>
            <w:tcW w:w="110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D850B7" w:rsidRPr="00C109CD" w:rsidTr="00401B31">
        <w:trPr>
          <w:trHeight w:val="433"/>
        </w:trPr>
        <w:tc>
          <w:tcPr>
            <w:tcW w:w="1132" w:type="pct"/>
          </w:tcPr>
          <w:p w:rsidR="00D850B7" w:rsidRPr="00C109CD" w:rsidRDefault="00D850B7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Male Infant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 xml:space="preserve">55% </w:t>
            </w:r>
            <w:r w:rsidRPr="00C109CD">
              <w:rPr>
                <w:bCs/>
                <w:sz w:val="20"/>
              </w:rPr>
              <w:t>(22)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(16)</w:t>
            </w:r>
          </w:p>
        </w:tc>
        <w:tc>
          <w:tcPr>
            <w:tcW w:w="77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55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(22)</w:t>
            </w:r>
          </w:p>
        </w:tc>
        <w:tc>
          <w:tcPr>
            <w:tcW w:w="460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0.32</w:t>
            </w:r>
          </w:p>
        </w:tc>
        <w:tc>
          <w:tcPr>
            <w:tcW w:w="110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  <w:tr w:rsidR="00D850B7" w:rsidRPr="00C109CD" w:rsidTr="00401B31">
        <w:trPr>
          <w:trHeight w:val="495"/>
        </w:trPr>
        <w:tc>
          <w:tcPr>
            <w:tcW w:w="1132" w:type="pct"/>
          </w:tcPr>
          <w:p w:rsidR="00D850B7" w:rsidRPr="00C109CD" w:rsidRDefault="00D850B7" w:rsidP="00401B31">
            <w:pPr>
              <w:spacing w:before="0" w:after="0"/>
              <w:contextualSpacing w:val="0"/>
              <w:rPr>
                <w:sz w:val="20"/>
              </w:rPr>
            </w:pPr>
            <w:r w:rsidRPr="00C109CD">
              <w:rPr>
                <w:b/>
                <w:bCs/>
                <w:sz w:val="20"/>
              </w:rPr>
              <w:t>Composite APO</w:t>
            </w:r>
            <w:r w:rsidRPr="00C109CD">
              <w:rPr>
                <w:b/>
                <w:bCs/>
                <w:sz w:val="20"/>
                <w:vertAlign w:val="superscript"/>
              </w:rPr>
              <w:t xml:space="preserve"> b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767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77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Pr="00C109CD">
              <w:rPr>
                <w:b/>
                <w:bCs/>
                <w:sz w:val="20"/>
              </w:rPr>
              <w:t xml:space="preserve">% </w:t>
            </w:r>
            <w:r w:rsidRPr="00C109CD">
              <w:rPr>
                <w:bCs/>
                <w:sz w:val="20"/>
              </w:rPr>
              <w:t>(0)</w:t>
            </w:r>
          </w:p>
        </w:tc>
        <w:tc>
          <w:tcPr>
            <w:tcW w:w="460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&gt;0.99</w:t>
            </w:r>
          </w:p>
        </w:tc>
        <w:tc>
          <w:tcPr>
            <w:tcW w:w="1102" w:type="pct"/>
          </w:tcPr>
          <w:p w:rsidR="00D850B7" w:rsidRPr="00C109CD" w:rsidRDefault="00D850B7" w:rsidP="00401B31">
            <w:pPr>
              <w:spacing w:before="0" w:after="0"/>
              <w:contextualSpacing w:val="0"/>
              <w:jc w:val="center"/>
              <w:rPr>
                <w:sz w:val="20"/>
              </w:rPr>
            </w:pPr>
            <w:r w:rsidRPr="00C109CD">
              <w:rPr>
                <w:sz w:val="20"/>
              </w:rPr>
              <w:t>---</w:t>
            </w:r>
          </w:p>
        </w:tc>
      </w:tr>
    </w:tbl>
    <w:p w:rsidR="00D850B7" w:rsidRDefault="00D850B7" w:rsidP="00D850B7">
      <w:pPr>
        <w:pStyle w:val="BodyText"/>
        <w:spacing w:after="0"/>
      </w:pPr>
    </w:p>
    <w:p w:rsidR="00F67FFB" w:rsidRDefault="00D850B7" w:rsidP="00D850B7">
      <w:r w:rsidRPr="004062D0">
        <w:t>Data are mean (range) or percentage (number). NCC1 (Young vs AMA</w:t>
      </w:r>
      <w:r>
        <w:t xml:space="preserve"> mothers with</w:t>
      </w:r>
      <w:r w:rsidRPr="004062D0">
        <w:t xml:space="preserve"> </w:t>
      </w:r>
      <w:r>
        <w:t>normal pregnancy outcomes</w:t>
      </w:r>
      <w:r w:rsidRPr="004062D0">
        <w:t>)</w:t>
      </w:r>
      <w:proofErr w:type="gramStart"/>
      <w:r w:rsidRPr="004062D0">
        <w:t>;</w:t>
      </w:r>
      <w:proofErr w:type="gramEnd"/>
      <w:r w:rsidRPr="004062D0">
        <w:t xml:space="preserve"> n=40/group. IBC = individualised birthweight centile, NVD = normal vaginal delivery, ELCS = elective caesarean section, EMCS= emergency caesarean section, INST. = instrumental delivery. </w:t>
      </w:r>
      <w:r>
        <w:t xml:space="preserve">Statistics are </w:t>
      </w:r>
      <w:proofErr w:type="spellStart"/>
      <w:r w:rsidRPr="00644696">
        <w:rPr>
          <w:vertAlign w:val="superscript"/>
        </w:rPr>
        <w:t>a</w:t>
      </w:r>
      <w:r w:rsidRPr="00644696">
        <w:t>Kruskal</w:t>
      </w:r>
      <w:proofErr w:type="spellEnd"/>
      <w:r w:rsidRPr="00644696">
        <w:t>-Wallis w</w:t>
      </w:r>
      <w:r>
        <w:t>ith Dunn’s multiple comparisons or</w:t>
      </w:r>
      <w:r w:rsidRPr="00644696">
        <w:t xml:space="preserve"> </w:t>
      </w:r>
      <w:r w:rsidRPr="00644696">
        <w:rPr>
          <w:vertAlign w:val="superscript"/>
        </w:rPr>
        <w:t>b</w:t>
      </w:r>
      <w:r>
        <w:rPr>
          <w:vertAlign w:val="superscript"/>
        </w:rPr>
        <w:t xml:space="preserve"> </w:t>
      </w:r>
      <w:r>
        <w:t>Fishers Exact test</w:t>
      </w:r>
      <w:r w:rsidRPr="00644696">
        <w:t>.</w:t>
      </w:r>
      <w:r>
        <w:t xml:space="preserve"> When overall </w:t>
      </w:r>
      <w:r>
        <w:rPr>
          <w:i/>
        </w:rPr>
        <w:t>p</w:t>
      </w:r>
      <w:r>
        <w:t xml:space="preserve">&gt;0.05, multiple comparisons </w:t>
      </w:r>
      <w:r>
        <w:rPr>
          <w:i/>
        </w:rPr>
        <w:t>p</w:t>
      </w:r>
      <w:r>
        <w:t xml:space="preserve"> values are reported (</w:t>
      </w:r>
      <w:r w:rsidRPr="0006619E">
        <w:rPr>
          <w:vertAlign w:val="superscript"/>
        </w:rPr>
        <w:t>†</w:t>
      </w:r>
      <w:r>
        <w:rPr>
          <w:vertAlign w:val="superscript"/>
        </w:rPr>
        <w:t xml:space="preserve"> </w:t>
      </w:r>
      <w:r>
        <w:t>20-30 vs. 35-39 years,</w:t>
      </w:r>
      <w:r>
        <w:rPr>
          <w:vertAlign w:val="superscript"/>
        </w:rPr>
        <w:t xml:space="preserve"> </w:t>
      </w:r>
      <w:r w:rsidRPr="0006619E">
        <w:rPr>
          <w:vertAlign w:val="superscript"/>
        </w:rPr>
        <w:t>¶</w:t>
      </w:r>
      <w:r>
        <w:rPr>
          <w:vertAlign w:val="superscript"/>
        </w:rPr>
        <w:t xml:space="preserve"> </w:t>
      </w:r>
      <w:r>
        <w:t xml:space="preserve">20-30 vs </w:t>
      </w:r>
      <w:r w:rsidRPr="00437BA5">
        <w:rPr>
          <w:bCs/>
        </w:rPr>
        <w:t>≥</w:t>
      </w:r>
      <w:r w:rsidRPr="00437BA5">
        <w:t>40 years,</w:t>
      </w:r>
      <w:r w:rsidRPr="00437BA5">
        <w:rPr>
          <w:vertAlign w:val="superscript"/>
        </w:rPr>
        <w:t xml:space="preserve"> Δ  </w:t>
      </w:r>
      <w:r w:rsidRPr="00437BA5">
        <w:t xml:space="preserve">35-39 vs. </w:t>
      </w:r>
      <w:r w:rsidRPr="00437BA5">
        <w:rPr>
          <w:bCs/>
        </w:rPr>
        <w:t>≥</w:t>
      </w:r>
      <w:r w:rsidRPr="00437BA5">
        <w:t>40 years</w:t>
      </w:r>
      <w:r>
        <w:t xml:space="preserve">. Significant differences </w:t>
      </w:r>
      <w:proofErr w:type="gramStart"/>
      <w:r>
        <w:t>are highlighted</w:t>
      </w:r>
      <w:proofErr w:type="gramEnd"/>
      <w:r>
        <w:t xml:space="preserve"> with </w:t>
      </w:r>
      <w:r>
        <w:rPr>
          <w:b/>
        </w:rPr>
        <w:t>bold</w:t>
      </w:r>
      <w:r>
        <w:t xml:space="preserve"> p values</w:t>
      </w:r>
    </w:p>
    <w:sectPr w:rsidR="00F67FFB" w:rsidSect="00D850B7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B7"/>
    <w:rsid w:val="00317CFA"/>
    <w:rsid w:val="009D6FA4"/>
    <w:rsid w:val="00D850B7"/>
    <w:rsid w:val="00D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C51E6-1FD1-40E0-A4A5-F416301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"/>
    <w:qFormat/>
    <w:rsid w:val="00D850B7"/>
    <w:pPr>
      <w:spacing w:before="120" w:after="320" w:line="480" w:lineRule="auto"/>
      <w:contextualSpacing/>
      <w:jc w:val="both"/>
    </w:pPr>
    <w:rPr>
      <w:rFonts w:ascii="Calibri" w:eastAsia="SimSun" w:hAnsi="Calibri" w:cs="Arial"/>
      <w:lang w:eastAsia="zh-CN"/>
    </w:rPr>
  </w:style>
  <w:style w:type="paragraph" w:styleId="Heading1">
    <w:name w:val="heading 1"/>
    <w:aliases w:val="Thesis Heading"/>
    <w:basedOn w:val="Normal"/>
    <w:next w:val="Normal"/>
    <w:link w:val="Heading1Char"/>
    <w:uiPriority w:val="9"/>
    <w:qFormat/>
    <w:rsid w:val="00DD4A5F"/>
    <w:pPr>
      <w:keepNext/>
      <w:keepLines/>
      <w:spacing w:before="480" w:after="400"/>
      <w:outlineLvl w:val="0"/>
    </w:pPr>
    <w:rPr>
      <w:rFonts w:ascii="Tahoma" w:eastAsia="Times New Roman" w:hAnsi="Tahom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Table legend,Figure Legend,Table Legend"/>
    <w:basedOn w:val="Normal"/>
    <w:next w:val="Normal"/>
    <w:link w:val="SubtitleChar"/>
    <w:autoRedefine/>
    <w:uiPriority w:val="11"/>
    <w:qFormat/>
    <w:rsid w:val="00D850B7"/>
    <w:pPr>
      <w:numPr>
        <w:ilvl w:val="1"/>
      </w:numPr>
      <w:spacing w:after="0" w:line="360" w:lineRule="auto"/>
      <w:contextualSpacing w:val="0"/>
      <w:jc w:val="left"/>
    </w:pPr>
    <w:rPr>
      <w:rFonts w:asciiTheme="minorHAnsi" w:eastAsiaTheme="majorEastAsia" w:hAnsiTheme="minorHAnsi" w:cstheme="majorBidi"/>
      <w:b/>
      <w:iCs/>
      <w:szCs w:val="24"/>
      <w:lang w:eastAsia="en-US"/>
    </w:rPr>
  </w:style>
  <w:style w:type="character" w:customStyle="1" w:styleId="SubtitleChar">
    <w:name w:val="Subtitle Char"/>
    <w:aliases w:val="Table legend Char,Figure Legend Char,Table Legend Char"/>
    <w:basedOn w:val="DefaultParagraphFont"/>
    <w:link w:val="Subtitle"/>
    <w:uiPriority w:val="11"/>
    <w:rsid w:val="00D850B7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850B7"/>
    <w:pPr>
      <w:spacing w:before="0" w:after="120" w:line="276" w:lineRule="auto"/>
      <w:contextualSpacing w:val="0"/>
      <w:jc w:val="left"/>
    </w:pPr>
    <w:rPr>
      <w:rFonts w:eastAsia="Calibri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850B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850B7"/>
  </w:style>
  <w:style w:type="character" w:customStyle="1" w:styleId="Heading1Char">
    <w:name w:val="Heading 1 Char"/>
    <w:aliases w:val="Thesis Heading Char"/>
    <w:basedOn w:val="DefaultParagraphFont"/>
    <w:link w:val="Heading1"/>
    <w:uiPriority w:val="9"/>
    <w:rsid w:val="00DD4A5F"/>
    <w:rPr>
      <w:rFonts w:ascii="Tahoma" w:eastAsia="Times New Roman" w:hAnsi="Tahoma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Heazell</dc:creator>
  <cp:keywords/>
  <dc:description/>
  <cp:lastModifiedBy>Alexander Heazell</cp:lastModifiedBy>
  <cp:revision>2</cp:revision>
  <dcterms:created xsi:type="dcterms:W3CDTF">2020-12-16T16:12:00Z</dcterms:created>
  <dcterms:modified xsi:type="dcterms:W3CDTF">2020-12-18T09:18:00Z</dcterms:modified>
</cp:coreProperties>
</file>