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91" w:rsidRDefault="00B94891" w:rsidP="00B94891">
      <w:pPr>
        <w:pStyle w:val="Heading1"/>
        <w:keepNext w:val="0"/>
        <w:keepLines w:val="0"/>
        <w:spacing w:before="0" w:after="120"/>
        <w:jc w:val="left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A Prospective Cohort Study providing Insights for Markers of Adverse Pregnancy Outcome in Women of Advanced Maternal Age</w:t>
      </w:r>
    </w:p>
    <w:p w:rsidR="00B94891" w:rsidRDefault="00B94891" w:rsidP="00B94891">
      <w:pPr>
        <w:spacing w:before="0" w:after="120"/>
        <w:jc w:val="left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B94891" w:rsidRDefault="00B94891" w:rsidP="00B94891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Samantha C. LEAN, Maternal and Fetal Health Research Centre, Division of Developmental Biology and Medicine, Faculty of Biology, Medicine and Health, University of Manchester, UK. sl961@cam.ac.uk</w:t>
      </w:r>
    </w:p>
    <w:p w:rsidR="00B94891" w:rsidRDefault="00B94891" w:rsidP="00B94891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B94891" w:rsidRDefault="00B94891" w:rsidP="00B94891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Rebecca L. JONES, Maternal and Fetal Health Research Centre, Division of Developmental Biology and Medicine, Faculty of Biology, Medicine and Health, University of Manchester, UK. rebecca.lee.jones@manchester.ac.uk</w:t>
      </w:r>
    </w:p>
    <w:p w:rsidR="00B94891" w:rsidRDefault="00B94891" w:rsidP="00B94891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B94891" w:rsidRDefault="00B94891" w:rsidP="00B94891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Stephen A. ROBERTS, Centre for Biostatistics, Faculty of Biology, Medicine and Health, University of Manchester, UK. steve.roberts@manchester.ac.uk</w:t>
      </w:r>
    </w:p>
    <w:p w:rsidR="00B94891" w:rsidRDefault="00B94891" w:rsidP="00B94891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B94891" w:rsidRDefault="00B94891" w:rsidP="00B94891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  <w:vertAlign w:val="superscript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Alexander E.P. HEAZELL, Maternal and Fetal Health Research Centre, Division of Developmental Biology and Medicine, Faculty of Biology, Medicine and Health, University of Manchester, UK</w:t>
      </w:r>
    </w:p>
    <w:p w:rsidR="00B94891" w:rsidRDefault="00B94891" w:rsidP="00B94891">
      <w:pPr>
        <w:spacing w:before="0" w:after="160" w:line="256" w:lineRule="auto"/>
        <w:jc w:val="left"/>
        <w:rPr>
          <w:rFonts w:asciiTheme="minorHAnsi" w:eastAsiaTheme="majorEastAsia" w:hAnsiTheme="minorHAnsi" w:cstheme="majorBidi"/>
          <w:b/>
          <w:iCs/>
          <w:szCs w:val="24"/>
          <w:lang w:eastAsia="en-US"/>
        </w:rPr>
      </w:pPr>
      <w:r>
        <w:br w:type="page"/>
      </w:r>
    </w:p>
    <w:p w:rsidR="008832F0" w:rsidRDefault="008832F0" w:rsidP="008832F0">
      <w:pPr>
        <w:pStyle w:val="NoSpacing"/>
        <w:spacing w:before="120" w:line="360" w:lineRule="auto"/>
        <w:rPr>
          <w:i/>
        </w:rPr>
      </w:pPr>
      <w:bookmarkStart w:id="0" w:name="_GoBack"/>
      <w:bookmarkEnd w:id="0"/>
      <w:r w:rsidRPr="00FB6A56">
        <w:rPr>
          <w:b/>
        </w:rPr>
        <w:lastRenderedPageBreak/>
        <w:t xml:space="preserve">Supplementary Table </w:t>
      </w:r>
      <w:r>
        <w:rPr>
          <w:b/>
        </w:rPr>
        <w:t>5</w:t>
      </w:r>
      <w:r w:rsidRPr="00FB6A56">
        <w:rPr>
          <w:b/>
        </w:rPr>
        <w:t>: Obstetric outcomes of participants in nested case cohort study 2</w:t>
      </w:r>
      <w:r>
        <w:rPr>
          <w:b/>
        </w:rPr>
        <w:t xml:space="preserve"> (NCC2)</w:t>
      </w:r>
    </w:p>
    <w:tbl>
      <w:tblPr>
        <w:tblStyle w:val="TableGrid"/>
        <w:tblW w:w="4813" w:type="pct"/>
        <w:tblLook w:val="0420" w:firstRow="1" w:lastRow="0" w:firstColumn="0" w:lastColumn="0" w:noHBand="0" w:noVBand="1"/>
      </w:tblPr>
      <w:tblGrid>
        <w:gridCol w:w="2089"/>
        <w:gridCol w:w="2026"/>
        <w:gridCol w:w="2491"/>
        <w:gridCol w:w="2073"/>
      </w:tblGrid>
      <w:tr w:rsidR="008832F0" w:rsidRPr="00C109CD" w:rsidTr="00401B31">
        <w:trPr>
          <w:trHeight w:val="584"/>
        </w:trPr>
        <w:tc>
          <w:tcPr>
            <w:tcW w:w="1204" w:type="pct"/>
            <w:shd w:val="clear" w:color="auto" w:fill="BFBFBF" w:themeFill="background1" w:themeFillShade="BF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b/>
                <w:bCs/>
                <w:color w:val="FFFFFF"/>
                <w:sz w:val="20"/>
              </w:rPr>
            </w:pPr>
            <w:r w:rsidRPr="00C109CD">
              <w:rPr>
                <w:b/>
                <w:i/>
                <w:sz w:val="20"/>
                <w:u w:val="single"/>
              </w:rPr>
              <w:br w:type="page"/>
            </w:r>
            <w:r w:rsidRPr="00C109CD">
              <w:rPr>
                <w:b/>
                <w:sz w:val="20"/>
              </w:rPr>
              <w:t>Demographics</w:t>
            </w:r>
          </w:p>
        </w:tc>
        <w:tc>
          <w:tcPr>
            <w:tcW w:w="1167" w:type="pct"/>
            <w:shd w:val="clear" w:color="auto" w:fill="BFBFBF" w:themeFill="background1" w:themeFillShade="BF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NPO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(n=43)</w:t>
            </w:r>
          </w:p>
        </w:tc>
        <w:tc>
          <w:tcPr>
            <w:tcW w:w="1435" w:type="pct"/>
            <w:shd w:val="clear" w:color="auto" w:fill="BFBFBF" w:themeFill="background1" w:themeFillShade="BF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APO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(n=43)</w:t>
            </w:r>
          </w:p>
        </w:tc>
        <w:tc>
          <w:tcPr>
            <w:tcW w:w="1194" w:type="pct"/>
            <w:shd w:val="clear" w:color="auto" w:fill="BFBFBF" w:themeFill="background1" w:themeFillShade="BF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i/>
                <w:sz w:val="20"/>
              </w:rPr>
              <w:t>p</w:t>
            </w:r>
            <w:r w:rsidRPr="00C109CD">
              <w:rPr>
                <w:b/>
                <w:bCs/>
                <w:sz w:val="20"/>
              </w:rPr>
              <w:t xml:space="preserve"> value</w:t>
            </w:r>
          </w:p>
        </w:tc>
      </w:tr>
      <w:tr w:rsidR="008832F0" w:rsidRPr="00C109CD" w:rsidTr="00401B31">
        <w:trPr>
          <w:trHeight w:val="284"/>
        </w:trPr>
        <w:tc>
          <w:tcPr>
            <w:tcW w:w="120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left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Gestation at Delivery </w:t>
            </w:r>
            <w:r w:rsidRPr="00C109CD">
              <w:rPr>
                <w:b/>
                <w:bCs/>
                <w:sz w:val="20"/>
                <w:vertAlign w:val="superscript"/>
              </w:rPr>
              <w:t>a</w:t>
            </w:r>
            <w:r w:rsidRPr="00C109CD">
              <w:rPr>
                <w:b/>
                <w:bCs/>
                <w:sz w:val="20"/>
              </w:rPr>
              <w:t xml:space="preserve"> 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Cs/>
                <w:sz w:val="20"/>
              </w:rPr>
              <w:t>(weeks + days)</w:t>
            </w:r>
          </w:p>
        </w:tc>
        <w:tc>
          <w:tcPr>
            <w:tcW w:w="1167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39+5</w:t>
            </w:r>
            <w:r w:rsidRPr="00C109CD">
              <w:rPr>
                <w:sz w:val="20"/>
              </w:rPr>
              <w:t xml:space="preserve"> (37+6 – 42+3)</w:t>
            </w:r>
          </w:p>
        </w:tc>
        <w:tc>
          <w:tcPr>
            <w:tcW w:w="1435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38+3</w:t>
            </w:r>
            <w:r w:rsidRPr="00C109CD">
              <w:rPr>
                <w:sz w:val="20"/>
              </w:rPr>
              <w:t xml:space="preserve"> (29+6 - 41+3)</w:t>
            </w:r>
          </w:p>
        </w:tc>
        <w:tc>
          <w:tcPr>
            <w:tcW w:w="119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0.007</w:t>
            </w:r>
          </w:p>
        </w:tc>
      </w:tr>
      <w:tr w:rsidR="008832F0" w:rsidRPr="00C109CD" w:rsidTr="00401B31">
        <w:trPr>
          <w:trHeight w:val="337"/>
        </w:trPr>
        <w:tc>
          <w:tcPr>
            <w:tcW w:w="120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Birthweight</w:t>
            </w:r>
            <w:r w:rsidRPr="00C109CD">
              <w:rPr>
                <w:sz w:val="20"/>
              </w:rPr>
              <w:t xml:space="preserve"> (g)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a</w:t>
            </w:r>
          </w:p>
        </w:tc>
        <w:tc>
          <w:tcPr>
            <w:tcW w:w="1167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3439</w:t>
            </w:r>
            <w:r w:rsidRPr="00C109CD">
              <w:rPr>
                <w:sz w:val="20"/>
              </w:rPr>
              <w:t xml:space="preserve"> (2960-4000)</w:t>
            </w:r>
          </w:p>
        </w:tc>
        <w:tc>
          <w:tcPr>
            <w:tcW w:w="1435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2537 </w:t>
            </w:r>
            <w:r w:rsidRPr="00C109CD">
              <w:rPr>
                <w:sz w:val="20"/>
              </w:rPr>
              <w:t>(1300-3690)</w:t>
            </w:r>
          </w:p>
        </w:tc>
        <w:tc>
          <w:tcPr>
            <w:tcW w:w="119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&lt;0.0001</w:t>
            </w:r>
          </w:p>
        </w:tc>
      </w:tr>
      <w:tr w:rsidR="008832F0" w:rsidRPr="00C109CD" w:rsidTr="00401B31">
        <w:trPr>
          <w:trHeight w:val="584"/>
        </w:trPr>
        <w:tc>
          <w:tcPr>
            <w:tcW w:w="120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IBC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a</w:t>
            </w:r>
          </w:p>
        </w:tc>
        <w:tc>
          <w:tcPr>
            <w:tcW w:w="1167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45.1 </w:t>
            </w:r>
            <w:r w:rsidRPr="00C109CD">
              <w:rPr>
                <w:sz w:val="20"/>
              </w:rPr>
              <w:t>(13.0-92.2)</w:t>
            </w:r>
          </w:p>
        </w:tc>
        <w:tc>
          <w:tcPr>
            <w:tcW w:w="1435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10.8 </w:t>
            </w:r>
            <w:r w:rsidRPr="00C109CD">
              <w:rPr>
                <w:sz w:val="20"/>
              </w:rPr>
              <w:t>(0.0-91.4)</w:t>
            </w:r>
          </w:p>
        </w:tc>
        <w:tc>
          <w:tcPr>
            <w:tcW w:w="119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&lt;0.0001</w:t>
            </w:r>
          </w:p>
        </w:tc>
      </w:tr>
      <w:tr w:rsidR="008832F0" w:rsidRPr="00C109CD" w:rsidTr="00401B31">
        <w:trPr>
          <w:trHeight w:val="293"/>
        </w:trPr>
        <w:tc>
          <w:tcPr>
            <w:tcW w:w="120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Male Infant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167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49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(21)</w:t>
            </w:r>
          </w:p>
        </w:tc>
        <w:tc>
          <w:tcPr>
            <w:tcW w:w="1435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51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(22)</w:t>
            </w:r>
          </w:p>
        </w:tc>
        <w:tc>
          <w:tcPr>
            <w:tcW w:w="119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Cs/>
                <w:sz w:val="20"/>
              </w:rPr>
              <w:t>0.83</w:t>
            </w:r>
          </w:p>
        </w:tc>
      </w:tr>
      <w:tr w:rsidR="008832F0" w:rsidRPr="00C109CD" w:rsidTr="00401B31">
        <w:trPr>
          <w:trHeight w:val="584"/>
        </w:trPr>
        <w:tc>
          <w:tcPr>
            <w:tcW w:w="120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Induction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167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(3)</w:t>
            </w:r>
          </w:p>
        </w:tc>
        <w:tc>
          <w:tcPr>
            <w:tcW w:w="1435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(15)</w:t>
            </w:r>
          </w:p>
        </w:tc>
        <w:tc>
          <w:tcPr>
            <w:tcW w:w="119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0.0016</w:t>
            </w:r>
          </w:p>
        </w:tc>
      </w:tr>
      <w:tr w:rsidR="008832F0" w:rsidRPr="00C109CD" w:rsidTr="00401B31">
        <w:trPr>
          <w:trHeight w:val="395"/>
        </w:trPr>
        <w:tc>
          <w:tcPr>
            <w:tcW w:w="120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Mode of Delivery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NVD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ELCS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EMCS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INST.</w:t>
            </w:r>
          </w:p>
        </w:tc>
        <w:tc>
          <w:tcPr>
            <w:tcW w:w="1167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65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(28)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(7)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(3)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(5)</w:t>
            </w:r>
          </w:p>
        </w:tc>
        <w:tc>
          <w:tcPr>
            <w:tcW w:w="1435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(17)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1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(9)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(10)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21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(9)</w:t>
            </w:r>
          </w:p>
        </w:tc>
        <w:tc>
          <w:tcPr>
            <w:tcW w:w="119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0.020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 w:rsidRPr="00C109CD">
              <w:rPr>
                <w:bCs/>
                <w:sz w:val="20"/>
              </w:rPr>
              <w:t>0.78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0.041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0.38</w:t>
            </w:r>
          </w:p>
        </w:tc>
      </w:tr>
      <w:tr w:rsidR="008832F0" w:rsidRPr="00C109CD" w:rsidTr="00401B31">
        <w:trPr>
          <w:trHeight w:val="584"/>
        </w:trPr>
        <w:tc>
          <w:tcPr>
            <w:tcW w:w="120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Pre-Term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167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0%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1435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26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(11)</w:t>
            </w:r>
          </w:p>
        </w:tc>
        <w:tc>
          <w:tcPr>
            <w:tcW w:w="119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0.00027</w:t>
            </w:r>
          </w:p>
        </w:tc>
      </w:tr>
      <w:tr w:rsidR="008832F0" w:rsidRPr="00C109CD" w:rsidTr="00401B31">
        <w:trPr>
          <w:trHeight w:val="421"/>
        </w:trPr>
        <w:tc>
          <w:tcPr>
            <w:tcW w:w="120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SGA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FGR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167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0% </w:t>
            </w:r>
            <w:r w:rsidRPr="00C109CD">
              <w:rPr>
                <w:bCs/>
                <w:sz w:val="20"/>
              </w:rPr>
              <w:t>(0)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0%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1435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84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(36)</w:t>
            </w:r>
          </w:p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(19)</w:t>
            </w:r>
          </w:p>
        </w:tc>
        <w:tc>
          <w:tcPr>
            <w:tcW w:w="1194" w:type="pct"/>
            <w:hideMark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---</w:t>
            </w:r>
          </w:p>
        </w:tc>
      </w:tr>
      <w:tr w:rsidR="008832F0" w:rsidRPr="00C109CD" w:rsidTr="00401B31">
        <w:trPr>
          <w:trHeight w:val="373"/>
        </w:trPr>
        <w:tc>
          <w:tcPr>
            <w:tcW w:w="1204" w:type="pct"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Stillborn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167" w:type="pct"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0%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1435" w:type="pct"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(3)</w:t>
            </w:r>
          </w:p>
        </w:tc>
        <w:tc>
          <w:tcPr>
            <w:tcW w:w="1194" w:type="pct"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8832F0" w:rsidRPr="00C109CD" w:rsidTr="00401B31">
        <w:trPr>
          <w:trHeight w:val="371"/>
        </w:trPr>
        <w:tc>
          <w:tcPr>
            <w:tcW w:w="1204" w:type="pct"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Apgar &lt;7 @ 5mins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167" w:type="pct"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0%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1435" w:type="pct"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(4)</w:t>
            </w:r>
          </w:p>
        </w:tc>
        <w:tc>
          <w:tcPr>
            <w:tcW w:w="1194" w:type="pct"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8832F0" w:rsidRPr="00C109CD" w:rsidTr="00401B31">
        <w:trPr>
          <w:trHeight w:val="584"/>
        </w:trPr>
        <w:tc>
          <w:tcPr>
            <w:tcW w:w="1204" w:type="pct"/>
          </w:tcPr>
          <w:p w:rsidR="008832F0" w:rsidRPr="00C109CD" w:rsidRDefault="008832F0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NICU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1167" w:type="pct"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0%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1435" w:type="pct"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26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(11)</w:t>
            </w:r>
          </w:p>
        </w:tc>
        <w:tc>
          <w:tcPr>
            <w:tcW w:w="1194" w:type="pct"/>
          </w:tcPr>
          <w:p w:rsidR="008832F0" w:rsidRPr="00C109CD" w:rsidRDefault="008832F0" w:rsidP="00401B31">
            <w:pPr>
              <w:spacing w:before="0" w:after="0"/>
              <w:contextualSpacing w:val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---</w:t>
            </w:r>
          </w:p>
        </w:tc>
      </w:tr>
    </w:tbl>
    <w:p w:rsidR="008832F0" w:rsidRDefault="008832F0">
      <w:pPr>
        <w:rPr>
          <w:i/>
        </w:rPr>
      </w:pPr>
    </w:p>
    <w:p w:rsidR="00F67FFB" w:rsidRDefault="008832F0">
      <w:r w:rsidRPr="00FB7794">
        <w:rPr>
          <w:i/>
        </w:rPr>
        <w:t xml:space="preserve">NCC2 (AMA normal pregnancy outcome (NPO) vs adverse pregnancy outcome (APO)); n=43/group. Data are as mean (range) or percentage (number). IBC = individualised birthweight centile, NVD = normal vaginal delivery, ELCS = elective caesarean section, EMCS= emergency caesarean section, INST. = instrumental delivery. </w:t>
      </w:r>
      <w:r w:rsidRPr="00FB7794">
        <w:rPr>
          <w:i/>
          <w:vertAlign w:val="superscript"/>
        </w:rPr>
        <w:t>a</w:t>
      </w:r>
      <w:r w:rsidRPr="00FB7794">
        <w:rPr>
          <w:i/>
        </w:rPr>
        <w:t>Mann-Whitney U Test</w:t>
      </w:r>
      <w:r w:rsidRPr="00FB7794">
        <w:rPr>
          <w:i/>
          <w:vertAlign w:val="superscript"/>
        </w:rPr>
        <w:t xml:space="preserve"> </w:t>
      </w:r>
      <w:r>
        <w:rPr>
          <w:i/>
        </w:rPr>
        <w:t xml:space="preserve"> or </w:t>
      </w:r>
      <w:r w:rsidRPr="00FB7794">
        <w:rPr>
          <w:i/>
        </w:rPr>
        <w:t xml:space="preserve"> </w:t>
      </w:r>
      <w:r w:rsidRPr="00FB7794">
        <w:rPr>
          <w:i/>
          <w:vertAlign w:val="superscript"/>
        </w:rPr>
        <w:t>b</w:t>
      </w:r>
      <w:r w:rsidRPr="00FB7794">
        <w:rPr>
          <w:i/>
        </w:rPr>
        <w:t xml:space="preserve">Fisher’s </w:t>
      </w:r>
      <w:r>
        <w:rPr>
          <w:i/>
        </w:rPr>
        <w:t>E</w:t>
      </w:r>
      <w:r w:rsidRPr="00FB7794">
        <w:rPr>
          <w:i/>
        </w:rPr>
        <w:t>xact test</w:t>
      </w:r>
      <w:r>
        <w:rPr>
          <w:i/>
        </w:rPr>
        <w:t xml:space="preserve">. </w:t>
      </w:r>
      <w:r>
        <w:t xml:space="preserve">Significant differences are highlighted with </w:t>
      </w:r>
      <w:r>
        <w:rPr>
          <w:b/>
        </w:rPr>
        <w:t>bold</w:t>
      </w:r>
      <w:r>
        <w:t xml:space="preserve"> p values.</w:t>
      </w:r>
    </w:p>
    <w:sectPr w:rsidR="00F67FFB" w:rsidSect="008832F0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F0"/>
    <w:rsid w:val="00317CFA"/>
    <w:rsid w:val="008832F0"/>
    <w:rsid w:val="009D6FA4"/>
    <w:rsid w:val="00B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7DFC7-C9C1-4C23-894A-0D2F5068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hesis Text"/>
    <w:qFormat/>
    <w:rsid w:val="008832F0"/>
    <w:pPr>
      <w:spacing w:before="120" w:after="320" w:line="480" w:lineRule="auto"/>
      <w:contextualSpacing/>
      <w:jc w:val="both"/>
    </w:pPr>
    <w:rPr>
      <w:rFonts w:ascii="Calibri" w:eastAsia="SimSun" w:hAnsi="Calibri" w:cs="Arial"/>
      <w:lang w:eastAsia="zh-CN"/>
    </w:rPr>
  </w:style>
  <w:style w:type="paragraph" w:styleId="Heading1">
    <w:name w:val="heading 1"/>
    <w:aliases w:val="Thesis Heading"/>
    <w:basedOn w:val="Normal"/>
    <w:next w:val="Normal"/>
    <w:link w:val="Heading1Char"/>
    <w:uiPriority w:val="9"/>
    <w:qFormat/>
    <w:rsid w:val="00B94891"/>
    <w:pPr>
      <w:keepNext/>
      <w:keepLines/>
      <w:spacing w:before="480" w:after="400"/>
      <w:outlineLvl w:val="0"/>
    </w:pPr>
    <w:rPr>
      <w:rFonts w:ascii="Tahoma" w:eastAsia="Times New Roman" w:hAnsi="Tahoma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832F0"/>
    <w:pPr>
      <w:spacing w:after="0" w:line="240" w:lineRule="auto"/>
    </w:pPr>
    <w:rPr>
      <w:rFonts w:ascii="Calibri" w:eastAsia="SimSun" w:hAnsi="Calibri" w:cs="Arial"/>
      <w:lang w:val="en-US"/>
    </w:rPr>
  </w:style>
  <w:style w:type="character" w:customStyle="1" w:styleId="NoSpacingChar">
    <w:name w:val="No Spacing Char"/>
    <w:link w:val="NoSpacing"/>
    <w:uiPriority w:val="1"/>
    <w:rsid w:val="008832F0"/>
    <w:rPr>
      <w:rFonts w:ascii="Calibri" w:eastAsia="SimSun" w:hAnsi="Calibri" w:cs="Arial"/>
      <w:lang w:val="en-US"/>
    </w:rPr>
  </w:style>
  <w:style w:type="table" w:styleId="TableGrid">
    <w:name w:val="Table Grid"/>
    <w:basedOn w:val="TableNormal"/>
    <w:uiPriority w:val="59"/>
    <w:rsid w:val="0088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832F0"/>
  </w:style>
  <w:style w:type="character" w:customStyle="1" w:styleId="Heading1Char">
    <w:name w:val="Heading 1 Char"/>
    <w:aliases w:val="Thesis Heading Char"/>
    <w:basedOn w:val="DefaultParagraphFont"/>
    <w:link w:val="Heading1"/>
    <w:uiPriority w:val="9"/>
    <w:rsid w:val="00B94891"/>
    <w:rPr>
      <w:rFonts w:ascii="Tahoma" w:eastAsia="Times New Roman" w:hAnsi="Tahoma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Heazell</dc:creator>
  <cp:keywords/>
  <dc:description/>
  <cp:lastModifiedBy>Alexander Heazell</cp:lastModifiedBy>
  <cp:revision>2</cp:revision>
  <dcterms:created xsi:type="dcterms:W3CDTF">2020-12-16T16:13:00Z</dcterms:created>
  <dcterms:modified xsi:type="dcterms:W3CDTF">2020-12-18T09:18:00Z</dcterms:modified>
</cp:coreProperties>
</file>