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74" w:rsidRDefault="004B5574" w:rsidP="004B5574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4B5574" w:rsidRDefault="004B5574" w:rsidP="004B5574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4B5574" w:rsidRDefault="004B5574" w:rsidP="004B5574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4B5574" w:rsidRDefault="004B5574" w:rsidP="004B5574">
      <w:pPr>
        <w:spacing w:before="0" w:after="160" w:line="256" w:lineRule="auto"/>
        <w:jc w:val="left"/>
        <w:rPr>
          <w:rFonts w:asciiTheme="minorHAnsi" w:eastAsiaTheme="majorEastAsia" w:hAnsiTheme="minorHAnsi" w:cstheme="majorBidi"/>
          <w:b/>
          <w:iCs/>
          <w:szCs w:val="24"/>
          <w:lang w:eastAsia="en-US"/>
        </w:rPr>
      </w:pPr>
      <w:r>
        <w:br w:type="page"/>
      </w:r>
    </w:p>
    <w:p w:rsidR="00660062" w:rsidRPr="00D2652D" w:rsidRDefault="00660062" w:rsidP="00660062">
      <w:pPr>
        <w:pStyle w:val="Subtitle"/>
      </w:pPr>
      <w:bookmarkStart w:id="0" w:name="_GoBack"/>
      <w:bookmarkEnd w:id="0"/>
      <w:r w:rsidRPr="0090795A">
        <w:lastRenderedPageBreak/>
        <w:t>Supplementary Table 2: Demographic data of participants in nested case cohort study 1 (NCC1)</w:t>
      </w:r>
    </w:p>
    <w:tbl>
      <w:tblPr>
        <w:tblStyle w:val="TableGrid"/>
        <w:tblW w:w="4966" w:type="pct"/>
        <w:tblLayout w:type="fixed"/>
        <w:tblLook w:val="0420" w:firstRow="1" w:lastRow="0" w:firstColumn="0" w:lastColumn="0" w:noHBand="0" w:noVBand="1"/>
      </w:tblPr>
      <w:tblGrid>
        <w:gridCol w:w="2043"/>
        <w:gridCol w:w="1245"/>
        <w:gridCol w:w="1383"/>
        <w:gridCol w:w="1243"/>
        <w:gridCol w:w="967"/>
        <w:gridCol w:w="2074"/>
      </w:tblGrid>
      <w:tr w:rsidR="00660062" w:rsidRPr="00C109CD" w:rsidTr="00401B31">
        <w:trPr>
          <w:trHeight w:val="473"/>
        </w:trPr>
        <w:tc>
          <w:tcPr>
            <w:tcW w:w="1141" w:type="pct"/>
            <w:shd w:val="clear" w:color="auto" w:fill="BFBFBF" w:themeFill="background1" w:themeFillShade="BF"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Demographic</w:t>
            </w:r>
          </w:p>
        </w:tc>
        <w:tc>
          <w:tcPr>
            <w:tcW w:w="695" w:type="pct"/>
            <w:shd w:val="clear" w:color="auto" w:fill="BFBFBF" w:themeFill="background1" w:themeFillShade="BF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20-30 Years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(n=40)</w:t>
            </w:r>
          </w:p>
        </w:tc>
        <w:tc>
          <w:tcPr>
            <w:tcW w:w="772" w:type="pct"/>
            <w:shd w:val="clear" w:color="auto" w:fill="BFBFBF" w:themeFill="background1" w:themeFillShade="BF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35-39 Years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(n=40)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≥40 Years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(n=40)</w:t>
            </w:r>
          </w:p>
        </w:tc>
        <w:tc>
          <w:tcPr>
            <w:tcW w:w="540" w:type="pct"/>
            <w:shd w:val="clear" w:color="auto" w:fill="BFBFBF" w:themeFill="background1" w:themeFillShade="BF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i/>
                <w:sz w:val="20"/>
              </w:rPr>
              <w:t>p</w:t>
            </w:r>
            <w:r w:rsidRPr="00C109CD">
              <w:rPr>
                <w:b/>
                <w:bCs/>
                <w:sz w:val="20"/>
              </w:rPr>
              <w:t xml:space="preserve"> value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Overall</w:t>
            </w:r>
          </w:p>
        </w:tc>
        <w:tc>
          <w:tcPr>
            <w:tcW w:w="1159" w:type="pct"/>
            <w:shd w:val="clear" w:color="auto" w:fill="BFBFBF" w:themeFill="background1" w:themeFillShade="BF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i/>
                <w:sz w:val="20"/>
              </w:rPr>
              <w:t>p</w:t>
            </w:r>
            <w:r w:rsidRPr="00C109CD">
              <w:rPr>
                <w:b/>
                <w:bCs/>
                <w:sz w:val="20"/>
              </w:rPr>
              <w:t xml:space="preserve"> value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i/>
                <w:sz w:val="20"/>
              </w:rPr>
            </w:pPr>
            <w:r w:rsidRPr="00C109CD">
              <w:rPr>
                <w:b/>
                <w:bCs/>
                <w:sz w:val="20"/>
              </w:rPr>
              <w:t>Multiple Comparisons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Maternal Age 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Cs/>
                <w:sz w:val="20"/>
              </w:rPr>
              <w:t>(years)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26 </w:t>
            </w:r>
            <w:r w:rsidRPr="00C109CD">
              <w:rPr>
                <w:sz w:val="20"/>
              </w:rPr>
              <w:t>(20-30)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37</w:t>
            </w:r>
            <w:r w:rsidRPr="00C109CD">
              <w:rPr>
                <w:sz w:val="20"/>
              </w:rPr>
              <w:t xml:space="preserve"> (35-39)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42</w:t>
            </w:r>
            <w:r w:rsidRPr="00C109CD">
              <w:rPr>
                <w:sz w:val="20"/>
              </w:rPr>
              <w:t xml:space="preserve"> (40 – 48)</w:t>
            </w:r>
          </w:p>
        </w:tc>
        <w:tc>
          <w:tcPr>
            <w:tcW w:w="540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Paternal Age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Cs/>
                <w:sz w:val="20"/>
              </w:rPr>
              <w:t>(years)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29 </w:t>
            </w:r>
            <w:r w:rsidRPr="00C109CD">
              <w:rPr>
                <w:sz w:val="20"/>
              </w:rPr>
              <w:t>(21-39)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36 </w:t>
            </w:r>
            <w:r w:rsidRPr="00C109CD">
              <w:rPr>
                <w:sz w:val="20"/>
              </w:rPr>
              <w:t>(27-45)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43</w:t>
            </w:r>
            <w:r w:rsidRPr="00C109CD">
              <w:rPr>
                <w:sz w:val="20"/>
              </w:rPr>
              <w:t xml:space="preserve"> (25-55)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  <w:vertAlign w:val="superscript"/>
              </w:rPr>
            </w:pPr>
            <w:r w:rsidRPr="00C109CD">
              <w:rPr>
                <w:b/>
                <w:bCs/>
                <w:sz w:val="20"/>
              </w:rPr>
              <w:t>&lt;0.0001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sz w:val="20"/>
                <w:vertAlign w:val="superscript"/>
              </w:rPr>
              <w:t>†¶</w:t>
            </w:r>
            <w:r w:rsidRPr="00C109CD">
              <w:rPr>
                <w:b/>
                <w:sz w:val="20"/>
              </w:rPr>
              <w:t>0.0001,</w:t>
            </w:r>
            <w:r w:rsidRPr="00C109CD">
              <w:rPr>
                <w:sz w:val="20"/>
              </w:rPr>
              <w:t xml:space="preserve"> </w:t>
            </w:r>
            <w:r w:rsidRPr="00C109CD">
              <w:rPr>
                <w:sz w:val="20"/>
                <w:vertAlign w:val="superscript"/>
              </w:rPr>
              <w:t xml:space="preserve"> Δ </w:t>
            </w:r>
            <w:r w:rsidRPr="00C109CD">
              <w:rPr>
                <w:b/>
                <w:sz w:val="20"/>
              </w:rPr>
              <w:t>0.002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Ethnicity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European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98</w:t>
            </w:r>
            <w:r w:rsidRPr="00C109CD">
              <w:rPr>
                <w:b/>
                <w:bCs/>
                <w:sz w:val="20"/>
              </w:rPr>
              <w:t>% (</w:t>
            </w:r>
            <w:r w:rsidRPr="00C109CD">
              <w:rPr>
                <w:bCs/>
                <w:sz w:val="20"/>
              </w:rPr>
              <w:t>39)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(39)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(39)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&gt;0.99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660062" w:rsidRPr="00C109CD" w:rsidTr="00401B31">
        <w:trPr>
          <w:trHeight w:val="284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BMI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sz w:val="20"/>
              </w:rPr>
              <w:t>(kg/m</w:t>
            </w:r>
            <w:r w:rsidRPr="00C109CD">
              <w:rPr>
                <w:sz w:val="20"/>
                <w:vertAlign w:val="superscript"/>
              </w:rPr>
              <w:t>2</w:t>
            </w:r>
            <w:r w:rsidRPr="00C109CD">
              <w:rPr>
                <w:sz w:val="20"/>
              </w:rPr>
              <w:t>)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23.6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(19.0-29.9)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24.0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(18.5 – 28.6)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24.6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(19.4-24.6)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&gt;0.99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Marital Status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Married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Partner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Single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(20)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(19)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(28)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(12)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(28)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(10)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5%</w:t>
            </w:r>
            <w:r w:rsidRPr="00C109CD">
              <w:rPr>
                <w:bCs/>
                <w:sz w:val="20"/>
              </w:rPr>
              <w:t xml:space="preserve"> (2)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0.104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0.79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0.23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</w:tc>
      </w:tr>
      <w:tr w:rsidR="00660062" w:rsidRPr="00C109CD" w:rsidTr="00401B31">
        <w:trPr>
          <w:trHeight w:val="519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Employment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Employed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(36)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(31)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(31)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0.27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660062" w:rsidRPr="00C109CD" w:rsidTr="00401B31">
        <w:trPr>
          <w:trHeight w:val="499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Smoking </w:t>
            </w:r>
            <w:r w:rsidRPr="00C109CD">
              <w:rPr>
                <w:b/>
                <w:bCs/>
                <w:sz w:val="20"/>
                <w:vertAlign w:val="superscript"/>
              </w:rPr>
              <w:t>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Non-Smokers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100%</w:t>
            </w:r>
            <w:r w:rsidRPr="00C109CD">
              <w:rPr>
                <w:bCs/>
                <w:sz w:val="20"/>
              </w:rPr>
              <w:t xml:space="preserve"> (40)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100% </w:t>
            </w:r>
            <w:r w:rsidRPr="00C109CD">
              <w:rPr>
                <w:bCs/>
                <w:sz w:val="20"/>
              </w:rPr>
              <w:t>(40)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100% </w:t>
            </w:r>
            <w:r w:rsidRPr="00C109CD">
              <w:rPr>
                <w:bCs/>
                <w:sz w:val="20"/>
              </w:rPr>
              <w:t>(40)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&gt;0.999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660062" w:rsidRPr="00C109CD" w:rsidTr="00401B31">
        <w:trPr>
          <w:trHeight w:val="478"/>
        </w:trPr>
        <w:tc>
          <w:tcPr>
            <w:tcW w:w="1141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Housing </w:t>
            </w:r>
            <w:r w:rsidRPr="00C109CD">
              <w:rPr>
                <w:b/>
                <w:bCs/>
                <w:sz w:val="20"/>
                <w:vertAlign w:val="superscript"/>
              </w:rPr>
              <w:t>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Home owner</w:t>
            </w:r>
          </w:p>
        </w:tc>
        <w:tc>
          <w:tcPr>
            <w:tcW w:w="695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(23)</w:t>
            </w:r>
          </w:p>
        </w:tc>
        <w:tc>
          <w:tcPr>
            <w:tcW w:w="772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90%</w:t>
            </w:r>
            <w:r w:rsidRPr="00C109CD">
              <w:rPr>
                <w:bCs/>
                <w:sz w:val="20"/>
              </w:rPr>
              <w:t xml:space="preserve"> (36)</w:t>
            </w:r>
          </w:p>
        </w:tc>
        <w:tc>
          <w:tcPr>
            <w:tcW w:w="694" w:type="pct"/>
            <w:hideMark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95</w:t>
            </w:r>
            <w:r>
              <w:rPr>
                <w:sz w:val="20"/>
              </w:rPr>
              <w:t>%</w:t>
            </w:r>
            <w:r w:rsidRPr="00C109CD">
              <w:rPr>
                <w:sz w:val="20"/>
              </w:rPr>
              <w:t xml:space="preserve"> (37)</w:t>
            </w:r>
          </w:p>
        </w:tc>
        <w:tc>
          <w:tcPr>
            <w:tcW w:w="540" w:type="pct"/>
            <w:hideMark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  <w:vertAlign w:val="superscript"/>
              </w:rPr>
            </w:pPr>
            <w:r w:rsidRPr="00C109CD">
              <w:rPr>
                <w:b/>
                <w:bCs/>
                <w:sz w:val="20"/>
              </w:rPr>
              <w:t>0.00016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sz w:val="20"/>
                <w:vertAlign w:val="superscript"/>
              </w:rPr>
              <w:t>†</w:t>
            </w:r>
            <w:r w:rsidRPr="00C109CD">
              <w:rPr>
                <w:b/>
                <w:sz w:val="20"/>
              </w:rPr>
              <w:t xml:space="preserve">0.0018, </w:t>
            </w:r>
            <w:r w:rsidRPr="00C109CD">
              <w:rPr>
                <w:sz w:val="20"/>
                <w:vertAlign w:val="superscript"/>
              </w:rPr>
              <w:t>¶</w:t>
            </w:r>
            <w:r w:rsidRPr="00C109CD">
              <w:rPr>
                <w:b/>
                <w:sz w:val="20"/>
              </w:rPr>
              <w:t xml:space="preserve">0.0005, </w:t>
            </w:r>
            <w:r w:rsidRPr="00C109CD">
              <w:rPr>
                <w:sz w:val="20"/>
                <w:vertAlign w:val="superscript"/>
              </w:rPr>
              <w:t>Δ</w:t>
            </w:r>
            <w:r w:rsidRPr="00C109CD">
              <w:rPr>
                <w:sz w:val="20"/>
              </w:rPr>
              <w:t>1.0</w:t>
            </w:r>
          </w:p>
        </w:tc>
      </w:tr>
      <w:tr w:rsidR="00660062" w:rsidRPr="00C109CD" w:rsidTr="00401B31">
        <w:trPr>
          <w:trHeight w:val="478"/>
        </w:trPr>
        <w:tc>
          <w:tcPr>
            <w:tcW w:w="1141" w:type="pct"/>
            <w:shd w:val="clear" w:color="auto" w:fill="auto"/>
          </w:tcPr>
          <w:p w:rsidR="00660062" w:rsidRDefault="00660062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IMD</w:t>
            </w:r>
          </w:p>
          <w:p w:rsidR="00660062" w:rsidRPr="006453C0" w:rsidRDefault="00660062" w:rsidP="00401B31">
            <w:pPr>
              <w:spacing w:before="0" w:after="0"/>
              <w:contextualSpacing w:val="0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Score</w:t>
            </w:r>
          </w:p>
        </w:tc>
        <w:tc>
          <w:tcPr>
            <w:tcW w:w="695" w:type="pct"/>
            <w:shd w:val="clear" w:color="auto" w:fill="auto"/>
          </w:tcPr>
          <w:p w:rsidR="00660062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13.28</w:t>
            </w:r>
          </w:p>
          <w:p w:rsidR="00660062" w:rsidRPr="001E35AD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(2.62-66.66)</w:t>
            </w:r>
          </w:p>
        </w:tc>
        <w:tc>
          <w:tcPr>
            <w:tcW w:w="772" w:type="pct"/>
            <w:shd w:val="clear" w:color="auto" w:fill="auto"/>
          </w:tcPr>
          <w:p w:rsidR="00660062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11.04</w:t>
            </w:r>
          </w:p>
          <w:p w:rsidR="00660062" w:rsidRPr="001E35AD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(2.17-66.1)</w:t>
            </w:r>
          </w:p>
        </w:tc>
        <w:tc>
          <w:tcPr>
            <w:tcW w:w="694" w:type="pct"/>
            <w:shd w:val="clear" w:color="auto" w:fill="auto"/>
          </w:tcPr>
          <w:p w:rsidR="00660062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13.23</w:t>
            </w:r>
          </w:p>
          <w:p w:rsidR="00660062" w:rsidRPr="001E35AD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(1.94-46.71)</w:t>
            </w:r>
          </w:p>
        </w:tc>
        <w:tc>
          <w:tcPr>
            <w:tcW w:w="540" w:type="pct"/>
            <w:shd w:val="clear" w:color="auto" w:fill="auto"/>
          </w:tcPr>
          <w:p w:rsidR="00660062" w:rsidRPr="00143521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143521">
              <w:rPr>
                <w:bCs/>
                <w:sz w:val="20"/>
              </w:rPr>
              <w:t>0.36</w:t>
            </w:r>
          </w:p>
        </w:tc>
        <w:tc>
          <w:tcPr>
            <w:tcW w:w="1159" w:type="pct"/>
            <w:shd w:val="clear" w:color="auto" w:fill="auto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---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Parity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proofErr w:type="spellStart"/>
            <w:r w:rsidRPr="00C109CD">
              <w:rPr>
                <w:i/>
                <w:iCs/>
                <w:sz w:val="20"/>
              </w:rPr>
              <w:t>Primiparous</w:t>
            </w:r>
            <w:proofErr w:type="spellEnd"/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Parous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proofErr w:type="spellStart"/>
            <w:r w:rsidRPr="00C109CD">
              <w:rPr>
                <w:i/>
                <w:iCs/>
                <w:sz w:val="20"/>
              </w:rPr>
              <w:t>Grand</w:t>
            </w:r>
            <w:r>
              <w:rPr>
                <w:i/>
                <w:iCs/>
                <w:sz w:val="20"/>
              </w:rPr>
              <w:t>multi</w:t>
            </w:r>
            <w:r w:rsidRPr="00C109CD">
              <w:rPr>
                <w:i/>
                <w:iCs/>
                <w:sz w:val="20"/>
              </w:rPr>
              <w:t>parous</w:t>
            </w:r>
            <w:proofErr w:type="spellEnd"/>
          </w:p>
        </w:tc>
        <w:tc>
          <w:tcPr>
            <w:tcW w:w="695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(19)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(21)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0.0%</w:t>
            </w:r>
            <w:r w:rsidRPr="00C109CD">
              <w:rPr>
                <w:bCs/>
                <w:sz w:val="20"/>
              </w:rPr>
              <w:t xml:space="preserve"> (0)</w:t>
            </w:r>
          </w:p>
        </w:tc>
        <w:tc>
          <w:tcPr>
            <w:tcW w:w="772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(8)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>(32)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(1)</w:t>
            </w:r>
          </w:p>
        </w:tc>
        <w:tc>
          <w:tcPr>
            <w:tcW w:w="694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(9)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(31)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540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0.035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---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sz w:val="20"/>
                <w:vertAlign w:val="superscript"/>
              </w:rPr>
              <w:t>†</w:t>
            </w:r>
            <w:r w:rsidRPr="00C109CD">
              <w:rPr>
                <w:b/>
                <w:sz w:val="20"/>
              </w:rPr>
              <w:t xml:space="preserve">0.017, </w:t>
            </w:r>
            <w:r w:rsidRPr="00C109CD">
              <w:rPr>
                <w:sz w:val="20"/>
                <w:vertAlign w:val="superscript"/>
              </w:rPr>
              <w:t>¶</w:t>
            </w:r>
            <w:r w:rsidRPr="00C109CD">
              <w:rPr>
                <w:b/>
                <w:sz w:val="20"/>
              </w:rPr>
              <w:t>0.034,</w:t>
            </w:r>
            <w:r w:rsidRPr="00C109CD">
              <w:rPr>
                <w:sz w:val="20"/>
              </w:rPr>
              <w:t xml:space="preserve"> </w:t>
            </w:r>
            <w:r w:rsidRPr="00C109CD">
              <w:rPr>
                <w:sz w:val="20"/>
                <w:vertAlign w:val="superscript"/>
              </w:rPr>
              <w:t>Δ</w:t>
            </w:r>
            <w:r w:rsidRPr="00C109CD">
              <w:rPr>
                <w:sz w:val="20"/>
              </w:rPr>
              <w:t>1.0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---</w:t>
            </w:r>
          </w:p>
        </w:tc>
      </w:tr>
      <w:tr w:rsidR="00660062" w:rsidRPr="00C109CD" w:rsidTr="00401B31">
        <w:trPr>
          <w:trHeight w:val="463"/>
        </w:trPr>
        <w:tc>
          <w:tcPr>
            <w:tcW w:w="1141" w:type="pct"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Previous Miscarriage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695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(10)</w:t>
            </w:r>
          </w:p>
        </w:tc>
        <w:tc>
          <w:tcPr>
            <w:tcW w:w="772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(14)</w:t>
            </w:r>
          </w:p>
        </w:tc>
        <w:tc>
          <w:tcPr>
            <w:tcW w:w="694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(21)</w:t>
            </w:r>
          </w:p>
        </w:tc>
        <w:tc>
          <w:tcPr>
            <w:tcW w:w="540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  <w:vertAlign w:val="superscript"/>
              </w:rPr>
            </w:pPr>
            <w:r w:rsidRPr="00C109CD">
              <w:rPr>
                <w:b/>
                <w:bCs/>
                <w:sz w:val="20"/>
              </w:rPr>
              <w:t>0.035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sz w:val="20"/>
                <w:vertAlign w:val="superscript"/>
              </w:rPr>
              <w:t>†</w:t>
            </w:r>
            <w:r w:rsidRPr="00C109CD">
              <w:rPr>
                <w:sz w:val="20"/>
              </w:rPr>
              <w:t>0.46</w:t>
            </w:r>
            <w:r w:rsidRPr="00C109CD">
              <w:rPr>
                <w:b/>
                <w:sz w:val="20"/>
              </w:rPr>
              <w:t xml:space="preserve">, </w:t>
            </w:r>
            <w:r w:rsidRPr="00C109CD">
              <w:rPr>
                <w:sz w:val="20"/>
                <w:vertAlign w:val="superscript"/>
              </w:rPr>
              <w:t>¶</w:t>
            </w:r>
            <w:r w:rsidRPr="00C109CD">
              <w:rPr>
                <w:b/>
                <w:sz w:val="20"/>
              </w:rPr>
              <w:t>0.021,</w:t>
            </w:r>
            <w:r w:rsidRPr="00C109CD">
              <w:rPr>
                <w:sz w:val="20"/>
              </w:rPr>
              <w:t xml:space="preserve"> </w:t>
            </w:r>
            <w:r w:rsidRPr="00C109CD">
              <w:rPr>
                <w:sz w:val="20"/>
                <w:vertAlign w:val="superscript"/>
              </w:rPr>
              <w:t>Δ</w:t>
            </w:r>
            <w:r w:rsidRPr="00C109CD">
              <w:rPr>
                <w:sz w:val="20"/>
              </w:rPr>
              <w:t>0.18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lastRenderedPageBreak/>
              <w:t>Previous APO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660062" w:rsidRPr="00C109CD" w:rsidRDefault="00660062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of parous women</w:t>
            </w:r>
          </w:p>
        </w:tc>
        <w:tc>
          <w:tcPr>
            <w:tcW w:w="695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(3)</w:t>
            </w:r>
          </w:p>
        </w:tc>
        <w:tc>
          <w:tcPr>
            <w:tcW w:w="772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(8)</w:t>
            </w:r>
          </w:p>
        </w:tc>
        <w:tc>
          <w:tcPr>
            <w:tcW w:w="694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(8)</w:t>
            </w:r>
          </w:p>
        </w:tc>
        <w:tc>
          <w:tcPr>
            <w:tcW w:w="540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C109CD">
              <w:rPr>
                <w:bCs/>
                <w:sz w:val="20"/>
              </w:rPr>
              <w:t>0.25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ind w:firstLine="360"/>
              <w:contextualSpacing w:val="0"/>
              <w:jc w:val="center"/>
              <w:rPr>
                <w:bCs/>
                <w:sz w:val="20"/>
              </w:rPr>
            </w:pPr>
          </w:p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C109CD">
              <w:rPr>
                <w:bCs/>
                <w:sz w:val="20"/>
              </w:rPr>
              <w:t>---</w:t>
            </w:r>
          </w:p>
        </w:tc>
      </w:tr>
      <w:tr w:rsidR="00660062" w:rsidRPr="00C109CD" w:rsidTr="00401B31">
        <w:trPr>
          <w:trHeight w:val="584"/>
        </w:trPr>
        <w:tc>
          <w:tcPr>
            <w:tcW w:w="1141" w:type="pct"/>
          </w:tcPr>
          <w:p w:rsidR="00660062" w:rsidRPr="00C109CD" w:rsidRDefault="00660062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Fertility Treatment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695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772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694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540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&gt;0.99</w:t>
            </w:r>
          </w:p>
        </w:tc>
        <w:tc>
          <w:tcPr>
            <w:tcW w:w="1159" w:type="pct"/>
          </w:tcPr>
          <w:p w:rsidR="00660062" w:rsidRPr="00C109CD" w:rsidRDefault="00660062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</w:tbl>
    <w:p w:rsidR="00660062" w:rsidRDefault="00660062">
      <w:pPr>
        <w:rPr>
          <w:i/>
        </w:rPr>
      </w:pPr>
    </w:p>
    <w:p w:rsidR="00F67FFB" w:rsidRDefault="00660062">
      <w:r w:rsidRPr="0090795A">
        <w:rPr>
          <w:i/>
        </w:rPr>
        <w:t xml:space="preserve">Data are mean (range) or percentage (number). NCC1 (Young vs AMA with </w:t>
      </w:r>
      <w:r>
        <w:rPr>
          <w:i/>
        </w:rPr>
        <w:t>normal pregnancy outcomes</w:t>
      </w:r>
      <w:r w:rsidRPr="0090795A">
        <w:rPr>
          <w:i/>
        </w:rPr>
        <w:t>)</w:t>
      </w:r>
      <w:proofErr w:type="gramStart"/>
      <w:r w:rsidRPr="0090795A">
        <w:rPr>
          <w:i/>
        </w:rPr>
        <w:t>;</w:t>
      </w:r>
      <w:proofErr w:type="gramEnd"/>
      <w:r w:rsidRPr="0090795A">
        <w:rPr>
          <w:i/>
        </w:rPr>
        <w:t xml:space="preserve"> n=40/group. AMA </w:t>
      </w:r>
      <w:r>
        <w:rPr>
          <w:i/>
        </w:rPr>
        <w:t>= advanced maternal age; NPO = normal pregnancy o</w:t>
      </w:r>
      <w:r w:rsidRPr="0090795A">
        <w:rPr>
          <w:i/>
        </w:rPr>
        <w:t>utcome; BMI = body mass index; APO = adverse pregnancy outcome</w:t>
      </w:r>
      <w:r>
        <w:rPr>
          <w:i/>
        </w:rPr>
        <w:t>; Fertility Treatment = in current or previous pregnancies</w:t>
      </w:r>
      <w:r w:rsidRPr="0090795A">
        <w:rPr>
          <w:i/>
        </w:rPr>
        <w:t xml:space="preserve">. Statistical differences are from control (20-30 years) group. </w:t>
      </w:r>
      <w:r w:rsidRPr="00644696">
        <w:t>Statistical differences</w:t>
      </w:r>
      <w:r>
        <w:t xml:space="preserve"> are </w:t>
      </w:r>
      <w:proofErr w:type="spellStart"/>
      <w:r w:rsidRPr="00644696">
        <w:rPr>
          <w:vertAlign w:val="superscript"/>
        </w:rPr>
        <w:t>a</w:t>
      </w:r>
      <w:r w:rsidRPr="00644696">
        <w:t>Kruskal</w:t>
      </w:r>
      <w:proofErr w:type="spellEnd"/>
      <w:r w:rsidRPr="00644696">
        <w:t>-Wallis w</w:t>
      </w:r>
      <w:r>
        <w:t>ith Dunn’s multiple comparisons or</w:t>
      </w:r>
      <w:r w:rsidRPr="00644696">
        <w:t xml:space="preserve"> </w:t>
      </w:r>
      <w:r w:rsidRPr="00644696">
        <w:rPr>
          <w:vertAlign w:val="superscript"/>
        </w:rPr>
        <w:t>b</w:t>
      </w:r>
      <w:r>
        <w:rPr>
          <w:vertAlign w:val="superscript"/>
        </w:rPr>
        <w:t xml:space="preserve"> </w:t>
      </w:r>
      <w:r>
        <w:t>Fishers Exact test</w:t>
      </w:r>
      <w:r w:rsidRPr="00644696">
        <w:t>.</w:t>
      </w:r>
      <w:r>
        <w:t xml:space="preserve"> When overall </w:t>
      </w:r>
      <w:r>
        <w:rPr>
          <w:i/>
        </w:rPr>
        <w:t>p</w:t>
      </w:r>
      <w:r>
        <w:t xml:space="preserve">&gt;0.05, multiple comparisons </w:t>
      </w:r>
      <w:r>
        <w:rPr>
          <w:i/>
        </w:rPr>
        <w:t>p</w:t>
      </w:r>
      <w:r>
        <w:t xml:space="preserve"> values are reported (</w:t>
      </w:r>
      <w:r w:rsidRPr="0006619E">
        <w:rPr>
          <w:vertAlign w:val="superscript"/>
        </w:rPr>
        <w:t>†</w:t>
      </w:r>
      <w:r>
        <w:rPr>
          <w:vertAlign w:val="superscript"/>
        </w:rPr>
        <w:t xml:space="preserve"> </w:t>
      </w:r>
      <w:r>
        <w:t>20-30 vs. 35-39 years,</w:t>
      </w:r>
      <w:r>
        <w:rPr>
          <w:vertAlign w:val="superscript"/>
        </w:rPr>
        <w:t xml:space="preserve"> </w:t>
      </w:r>
      <w:r w:rsidRPr="0006619E">
        <w:rPr>
          <w:vertAlign w:val="superscript"/>
        </w:rPr>
        <w:t>¶</w:t>
      </w:r>
      <w:r>
        <w:rPr>
          <w:vertAlign w:val="superscript"/>
        </w:rPr>
        <w:t xml:space="preserve"> </w:t>
      </w:r>
      <w:r>
        <w:t xml:space="preserve">20-30 vs </w:t>
      </w:r>
      <w:r w:rsidRPr="00437BA5">
        <w:rPr>
          <w:bCs/>
        </w:rPr>
        <w:t>≥</w:t>
      </w:r>
      <w:r w:rsidRPr="00437BA5">
        <w:t>40 years,</w:t>
      </w:r>
      <w:r w:rsidRPr="00437BA5">
        <w:rPr>
          <w:vertAlign w:val="superscript"/>
        </w:rPr>
        <w:t xml:space="preserve"> Δ  </w:t>
      </w:r>
      <w:r w:rsidRPr="00437BA5">
        <w:t xml:space="preserve">35-39 vs. </w:t>
      </w:r>
      <w:r w:rsidRPr="00437BA5">
        <w:rPr>
          <w:bCs/>
        </w:rPr>
        <w:t>≥</w:t>
      </w:r>
      <w:r w:rsidRPr="00437BA5">
        <w:t>40 years</w:t>
      </w:r>
      <w:r>
        <w:t xml:space="preserve">). Significant differences </w:t>
      </w:r>
      <w:proofErr w:type="gramStart"/>
      <w:r>
        <w:t>are highlighted</w:t>
      </w:r>
      <w:proofErr w:type="gramEnd"/>
      <w:r>
        <w:t xml:space="preserve"> with </w:t>
      </w:r>
      <w:r>
        <w:rPr>
          <w:b/>
        </w:rPr>
        <w:t>bold</w:t>
      </w:r>
      <w:r>
        <w:t xml:space="preserve"> p values.</w:t>
      </w:r>
    </w:p>
    <w:sectPr w:rsidR="00F67FFB" w:rsidSect="00660062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62"/>
    <w:rsid w:val="00317CFA"/>
    <w:rsid w:val="004B5574"/>
    <w:rsid w:val="00660062"/>
    <w:rsid w:val="009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02CE5-745D-4512-97BB-FA2A7602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660062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4B5574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Table legend,Figure Legend,Table Legend"/>
    <w:basedOn w:val="Normal"/>
    <w:next w:val="Normal"/>
    <w:link w:val="SubtitleChar"/>
    <w:autoRedefine/>
    <w:uiPriority w:val="11"/>
    <w:qFormat/>
    <w:rsid w:val="00660062"/>
    <w:pPr>
      <w:numPr>
        <w:ilvl w:val="1"/>
      </w:numPr>
      <w:spacing w:after="0" w:line="360" w:lineRule="auto"/>
      <w:contextualSpacing w:val="0"/>
      <w:jc w:val="left"/>
    </w:pPr>
    <w:rPr>
      <w:rFonts w:asciiTheme="minorHAnsi" w:eastAsiaTheme="majorEastAsia" w:hAnsiTheme="minorHAnsi" w:cstheme="majorBidi"/>
      <w:b/>
      <w:iCs/>
      <w:szCs w:val="24"/>
      <w:lang w:eastAsia="en-US"/>
    </w:rPr>
  </w:style>
  <w:style w:type="character" w:customStyle="1" w:styleId="SubtitleChar">
    <w:name w:val="Subtitle Char"/>
    <w:aliases w:val="Table legend Char,Figure Legend Char,Table Legend Char"/>
    <w:basedOn w:val="DefaultParagraphFont"/>
    <w:link w:val="Subtitle"/>
    <w:uiPriority w:val="11"/>
    <w:rsid w:val="00660062"/>
    <w:rPr>
      <w:rFonts w:eastAsiaTheme="majorEastAsia" w:cstheme="majorBidi"/>
      <w:b/>
      <w:iCs/>
      <w:szCs w:val="24"/>
    </w:rPr>
  </w:style>
  <w:style w:type="table" w:styleId="TableGrid">
    <w:name w:val="Table Grid"/>
    <w:basedOn w:val="TableNormal"/>
    <w:uiPriority w:val="59"/>
    <w:rsid w:val="0066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60062"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4B5574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2020-12-16T16:11:00Z</dcterms:created>
  <dcterms:modified xsi:type="dcterms:W3CDTF">2020-12-18T09:18:00Z</dcterms:modified>
</cp:coreProperties>
</file>