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AFF91" w14:textId="77777777" w:rsidR="003D5B8C" w:rsidRPr="003D5B8C" w:rsidRDefault="003D5B8C" w:rsidP="003D5B8C">
      <w:pPr>
        <w:spacing w:line="480" w:lineRule="auto"/>
        <w:rPr>
          <w:b/>
          <w:bCs/>
        </w:rPr>
      </w:pPr>
      <w:r w:rsidRPr="003D5B8C">
        <w:rPr>
          <w:b/>
          <w:bCs/>
        </w:rPr>
        <w:t>Online Supplement</w:t>
      </w:r>
    </w:p>
    <w:p w14:paraId="001BA771" w14:textId="77777777" w:rsidR="003D5B8C" w:rsidRPr="003D5B8C" w:rsidRDefault="003D5B8C" w:rsidP="003D5B8C">
      <w:pPr>
        <w:spacing w:line="480" w:lineRule="auto"/>
        <w:rPr>
          <w:b/>
          <w:bCs/>
        </w:rPr>
      </w:pPr>
    </w:p>
    <w:p w14:paraId="0398304B" w14:textId="311B51BE" w:rsidR="003D5B8C" w:rsidRPr="003D5B8C" w:rsidRDefault="003D5B8C" w:rsidP="003D5B8C">
      <w:pPr>
        <w:spacing w:line="480" w:lineRule="auto"/>
      </w:pPr>
      <w:r w:rsidRPr="003D5B8C">
        <w:rPr>
          <w:b/>
          <w:bCs/>
        </w:rPr>
        <w:t>Title:</w:t>
      </w:r>
      <w:r w:rsidRPr="003D5B8C">
        <w:t xml:space="preserve"> Association between Dispensing of Low-Value Oral Albuterol and Removal from Medicaid Preferred Drug Lists</w:t>
      </w:r>
    </w:p>
    <w:p w14:paraId="0081695F" w14:textId="77777777" w:rsidR="003D5B8C" w:rsidRPr="003D5B8C" w:rsidRDefault="003D5B8C" w:rsidP="003D5B8C">
      <w:pPr>
        <w:spacing w:line="480" w:lineRule="auto"/>
        <w:rPr>
          <w:b/>
          <w:bCs/>
        </w:rPr>
      </w:pPr>
    </w:p>
    <w:p w14:paraId="7FB40FF4" w14:textId="7EBF8647" w:rsidR="003D5B8C" w:rsidRPr="003D5B8C" w:rsidRDefault="003D5B8C" w:rsidP="003D5B8C">
      <w:pPr>
        <w:spacing w:line="480" w:lineRule="auto"/>
      </w:pPr>
      <w:r w:rsidRPr="003D5B8C">
        <w:rPr>
          <w:b/>
          <w:bCs/>
        </w:rPr>
        <w:t xml:space="preserve">Authors: </w:t>
      </w:r>
      <w:r w:rsidRPr="003D5B8C">
        <w:t xml:space="preserve">Anna Volerman, MD, Alison Pelczar, MPP, Rena Conti, PhD, </w:t>
      </w:r>
      <w:r w:rsidRPr="003D5B8C">
        <w:rPr>
          <w:lang w:val="es-ES"/>
        </w:rPr>
        <w:t xml:space="preserve">Christina Ciaccio, MD, MSc, </w:t>
      </w:r>
      <w:r w:rsidRPr="003D5B8C">
        <w:t>Kao-Ping Chua, MD, PhD</w:t>
      </w:r>
    </w:p>
    <w:p w14:paraId="103EF265" w14:textId="77777777" w:rsidR="003D5B8C" w:rsidRPr="003D5B8C" w:rsidRDefault="003D5B8C">
      <w:pPr>
        <w:spacing w:after="160" w:line="259" w:lineRule="auto"/>
        <w:rPr>
          <w:rFonts w:eastAsia="Times New Roman"/>
          <w:b/>
        </w:rPr>
      </w:pPr>
    </w:p>
    <w:p w14:paraId="1BE64C1E" w14:textId="4666CE02" w:rsidR="003D5B8C" w:rsidRDefault="003D5B8C">
      <w:pPr>
        <w:spacing w:after="160" w:line="259" w:lineRule="auto"/>
        <w:rPr>
          <w:rFonts w:eastAsia="Times New Roman"/>
          <w:b/>
        </w:rPr>
      </w:pPr>
    </w:p>
    <w:p w14:paraId="70F9FF1C" w14:textId="41BCD3F3" w:rsidR="00CA11E7" w:rsidRDefault="00CA11E7">
      <w:pPr>
        <w:spacing w:after="160" w:line="259" w:lineRule="auto"/>
        <w:rPr>
          <w:rFonts w:eastAsia="Times New Roman"/>
          <w:b/>
        </w:rPr>
      </w:pPr>
    </w:p>
    <w:p w14:paraId="041BF802" w14:textId="40061954" w:rsidR="00CA11E7" w:rsidRDefault="00CA11E7">
      <w:pPr>
        <w:spacing w:after="160" w:line="259" w:lineRule="auto"/>
        <w:rPr>
          <w:rFonts w:eastAsia="Times New Roman"/>
          <w:b/>
        </w:rPr>
      </w:pPr>
    </w:p>
    <w:p w14:paraId="4506729F" w14:textId="23682610" w:rsidR="00CA11E7" w:rsidRDefault="00CA11E7">
      <w:pPr>
        <w:spacing w:after="160" w:line="259" w:lineRule="auto"/>
        <w:rPr>
          <w:rFonts w:eastAsia="Times New Roman"/>
          <w:b/>
        </w:rPr>
      </w:pPr>
    </w:p>
    <w:p w14:paraId="6D8907A8" w14:textId="3CF79BB0" w:rsidR="00CA11E7" w:rsidRDefault="00CA11E7">
      <w:pPr>
        <w:spacing w:after="160" w:line="259" w:lineRule="auto"/>
        <w:rPr>
          <w:rFonts w:eastAsia="Times New Roman"/>
          <w:b/>
        </w:rPr>
      </w:pPr>
    </w:p>
    <w:p w14:paraId="021C78E5" w14:textId="1956A762" w:rsidR="00CA11E7" w:rsidRDefault="00CA11E7">
      <w:pPr>
        <w:spacing w:after="160" w:line="259" w:lineRule="auto"/>
        <w:rPr>
          <w:rFonts w:eastAsia="Times New Roman"/>
          <w:b/>
        </w:rPr>
      </w:pPr>
    </w:p>
    <w:p w14:paraId="2C602B4E" w14:textId="006A0B82" w:rsidR="00CA11E7" w:rsidRDefault="00CA11E7">
      <w:pPr>
        <w:spacing w:after="160" w:line="259" w:lineRule="auto"/>
        <w:rPr>
          <w:rFonts w:eastAsia="Times New Roman"/>
          <w:b/>
        </w:rPr>
      </w:pPr>
    </w:p>
    <w:p w14:paraId="7F48283B" w14:textId="0E3C4D82" w:rsidR="00CA11E7" w:rsidRDefault="00CA11E7">
      <w:pPr>
        <w:spacing w:after="160" w:line="259" w:lineRule="auto"/>
        <w:rPr>
          <w:rFonts w:eastAsia="Times New Roman"/>
          <w:b/>
        </w:rPr>
      </w:pPr>
      <w:bookmarkStart w:id="0" w:name="_GoBack"/>
      <w:bookmarkEnd w:id="0"/>
    </w:p>
    <w:p w14:paraId="3A762FA5" w14:textId="630EA85A" w:rsidR="00CA11E7" w:rsidRDefault="00CA11E7">
      <w:pPr>
        <w:spacing w:after="160" w:line="259" w:lineRule="auto"/>
        <w:rPr>
          <w:rFonts w:eastAsia="Times New Roman"/>
          <w:b/>
        </w:rPr>
      </w:pPr>
    </w:p>
    <w:p w14:paraId="445D759D" w14:textId="5075D79C" w:rsidR="00CA11E7" w:rsidRDefault="00CA11E7">
      <w:pPr>
        <w:spacing w:after="160" w:line="259" w:lineRule="auto"/>
        <w:rPr>
          <w:rFonts w:eastAsia="Times New Roman"/>
          <w:b/>
        </w:rPr>
      </w:pPr>
    </w:p>
    <w:p w14:paraId="53DD51C3" w14:textId="6C969ABA" w:rsidR="00CA11E7" w:rsidRDefault="00CA11E7">
      <w:pPr>
        <w:spacing w:after="160" w:line="259" w:lineRule="auto"/>
        <w:rPr>
          <w:rFonts w:eastAsia="Times New Roman"/>
          <w:b/>
        </w:rPr>
      </w:pPr>
    </w:p>
    <w:p w14:paraId="68BAB932" w14:textId="5E5F9518" w:rsidR="00CA11E7" w:rsidRDefault="00CA11E7">
      <w:pPr>
        <w:spacing w:after="160" w:line="259" w:lineRule="auto"/>
        <w:rPr>
          <w:rFonts w:eastAsia="Times New Roman"/>
          <w:b/>
        </w:rPr>
      </w:pPr>
    </w:p>
    <w:p w14:paraId="13E7A312" w14:textId="3867ABDA" w:rsidR="00CA11E7" w:rsidRDefault="00CA11E7">
      <w:pPr>
        <w:spacing w:after="160" w:line="259" w:lineRule="auto"/>
        <w:rPr>
          <w:rFonts w:eastAsia="Times New Roman"/>
          <w:b/>
        </w:rPr>
      </w:pPr>
    </w:p>
    <w:p w14:paraId="7C389A84" w14:textId="228CAF5E" w:rsidR="00CA11E7" w:rsidRDefault="00CA11E7">
      <w:pPr>
        <w:spacing w:after="160" w:line="259" w:lineRule="auto"/>
        <w:rPr>
          <w:rFonts w:eastAsia="Times New Roman"/>
          <w:b/>
        </w:rPr>
      </w:pPr>
    </w:p>
    <w:p w14:paraId="0A3074E8" w14:textId="00018DE6" w:rsidR="00CA11E7" w:rsidRDefault="00CA11E7">
      <w:pPr>
        <w:spacing w:after="160" w:line="259" w:lineRule="auto"/>
        <w:rPr>
          <w:rFonts w:eastAsia="Times New Roman"/>
          <w:b/>
        </w:rPr>
      </w:pPr>
    </w:p>
    <w:p w14:paraId="56AD6B13" w14:textId="55F18C6C" w:rsidR="00CA11E7" w:rsidRDefault="00CA11E7">
      <w:pPr>
        <w:spacing w:after="160" w:line="259" w:lineRule="auto"/>
        <w:rPr>
          <w:rFonts w:eastAsia="Times New Roman"/>
          <w:b/>
        </w:rPr>
      </w:pPr>
    </w:p>
    <w:p w14:paraId="2EA4EEBE" w14:textId="0867AAE5" w:rsidR="00CA11E7" w:rsidRDefault="00CA11E7">
      <w:pPr>
        <w:spacing w:after="160" w:line="259" w:lineRule="auto"/>
        <w:rPr>
          <w:rFonts w:eastAsia="Times New Roman"/>
          <w:b/>
        </w:rPr>
      </w:pPr>
    </w:p>
    <w:p w14:paraId="0C13CBB1" w14:textId="6E79F720" w:rsidR="00CA11E7" w:rsidRDefault="00CA11E7">
      <w:pPr>
        <w:spacing w:after="160" w:line="259" w:lineRule="auto"/>
        <w:rPr>
          <w:rFonts w:eastAsia="Times New Roman"/>
          <w:b/>
        </w:rPr>
      </w:pPr>
    </w:p>
    <w:p w14:paraId="580A7ECF" w14:textId="25AFB287" w:rsidR="00CA11E7" w:rsidRDefault="00CA11E7">
      <w:pPr>
        <w:spacing w:after="160" w:line="259" w:lineRule="auto"/>
        <w:rPr>
          <w:rFonts w:eastAsia="Times New Roman"/>
          <w:b/>
        </w:rPr>
      </w:pPr>
    </w:p>
    <w:p w14:paraId="6060AB06" w14:textId="778DF80B" w:rsidR="00CA11E7" w:rsidRDefault="00CA11E7">
      <w:pPr>
        <w:spacing w:after="160" w:line="259" w:lineRule="auto"/>
        <w:rPr>
          <w:rFonts w:eastAsia="Times New Roman"/>
          <w:b/>
        </w:rPr>
      </w:pPr>
    </w:p>
    <w:p w14:paraId="1C71A94C" w14:textId="77777777" w:rsidR="00CA11E7" w:rsidRPr="003D5B8C" w:rsidRDefault="00CA11E7">
      <w:pPr>
        <w:spacing w:after="160" w:line="259" w:lineRule="auto"/>
        <w:rPr>
          <w:rFonts w:eastAsia="Times New Roman"/>
          <w:b/>
        </w:rPr>
      </w:pPr>
    </w:p>
    <w:p w14:paraId="7C06A5F4" w14:textId="36EC2222" w:rsidR="0084141C" w:rsidRPr="003D5B8C" w:rsidRDefault="00140931" w:rsidP="0084141C">
      <w:pPr>
        <w:rPr>
          <w:rFonts w:eastAsia="Times New Roman"/>
        </w:rPr>
      </w:pPr>
      <w:r w:rsidRPr="003D5B8C">
        <w:rPr>
          <w:rFonts w:eastAsia="Times New Roman"/>
          <w:b/>
        </w:rPr>
        <w:lastRenderedPageBreak/>
        <w:t>Table E1:</w:t>
      </w:r>
      <w:r w:rsidR="0084141C" w:rsidRPr="003D5B8C">
        <w:rPr>
          <w:rFonts w:eastAsia="Times New Roman"/>
          <w:b/>
        </w:rPr>
        <w:t xml:space="preserve"> </w:t>
      </w:r>
      <w:r w:rsidR="0084141C" w:rsidRPr="003D5B8C">
        <w:rPr>
          <w:rFonts w:eastAsia="Times New Roman"/>
        </w:rPr>
        <w:t xml:space="preserve">National Drug Codes (NDCs) for albuterol dispensed in 2018 </w:t>
      </w:r>
    </w:p>
    <w:p w14:paraId="26197987" w14:textId="77777777" w:rsidR="0084141C" w:rsidRPr="003D5B8C" w:rsidRDefault="0084141C" w:rsidP="0084141C">
      <w:pPr>
        <w:rPr>
          <w:rFonts w:eastAsia="Times New Roman"/>
        </w:rPr>
      </w:pPr>
    </w:p>
    <w:tbl>
      <w:tblPr>
        <w:tblW w:w="79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2085"/>
        <w:gridCol w:w="3680"/>
        <w:gridCol w:w="2160"/>
      </w:tblGrid>
      <w:tr w:rsidR="0084141C" w:rsidRPr="003D5B8C" w14:paraId="05A7D616"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A57FB7F" w14:textId="77777777" w:rsidR="0084141C" w:rsidRPr="003D5B8C" w:rsidRDefault="0084141C" w:rsidP="00C811A3">
            <w:pPr>
              <w:spacing w:line="240" w:lineRule="auto"/>
              <w:ind w:right="320"/>
              <w:rPr>
                <w:rFonts w:eastAsia="Times New Roman"/>
                <w:b/>
              </w:rPr>
            </w:pPr>
            <w:r w:rsidRPr="003D5B8C">
              <w:rPr>
                <w:rFonts w:eastAsia="Times New Roman"/>
                <w:b/>
              </w:rPr>
              <w:t>NDC</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C580D9A" w14:textId="77777777" w:rsidR="0084141C" w:rsidRPr="003D5B8C" w:rsidRDefault="0084141C" w:rsidP="00C811A3">
            <w:pPr>
              <w:spacing w:line="240" w:lineRule="auto"/>
              <w:ind w:right="320"/>
              <w:rPr>
                <w:rFonts w:eastAsia="Times New Roman"/>
                <w:b/>
              </w:rPr>
            </w:pPr>
            <w:r w:rsidRPr="003D5B8C">
              <w:rPr>
                <w:rFonts w:eastAsia="Times New Roman"/>
                <w:b/>
              </w:rPr>
              <w:t>Form</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90EBE50" w14:textId="77777777" w:rsidR="0084141C" w:rsidRPr="003D5B8C" w:rsidRDefault="0084141C" w:rsidP="00C811A3">
            <w:pPr>
              <w:spacing w:line="240" w:lineRule="auto"/>
              <w:ind w:right="320"/>
              <w:rPr>
                <w:rFonts w:eastAsia="Times New Roman"/>
                <w:b/>
              </w:rPr>
            </w:pPr>
            <w:r w:rsidRPr="003D5B8C">
              <w:rPr>
                <w:rFonts w:eastAsia="Times New Roman"/>
                <w:b/>
              </w:rPr>
              <w:t>Route</w:t>
            </w:r>
          </w:p>
        </w:tc>
      </w:tr>
      <w:tr w:rsidR="0084141C" w:rsidRPr="003D5B8C" w14:paraId="257409B6"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2CCC75D"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00378-4122-01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508E532"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Extended Release 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14D81A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3B4EA9D7" w14:textId="77777777" w:rsidTr="00C811A3">
        <w:trPr>
          <w:trHeight w:val="15"/>
        </w:trPr>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FA5525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00378-4124-01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455FCC0"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Extended Release 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1CE1D80"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1DC61164"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3D67DFD"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68774-0400-01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6AC276D"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Extended Release 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5717C9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3A96BC6F"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295DD1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68774-0600-01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A501BFD"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Extended Release 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E4EA82E"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709D8FFE"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3C7D25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50383-0740-16</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3DDB357"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Syrup</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B35F8F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2DB2D649"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7AA092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00603-1008-58</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12EA73E"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Syrup</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5D2A93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5BE5C227"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0D3872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00472-0825-16</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DF5052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Syrup</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BD3EADC"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2B63F22F"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8562FE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00093-0661-16</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D7893AD"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Syrup</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5C616C2"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02C58793"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44EC985"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66689-0100-16</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D95C1FE"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Syrup</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53FFC7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4C4E124E"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EEECF2B" w14:textId="77777777" w:rsidR="0084141C" w:rsidRPr="003D5B8C" w:rsidRDefault="0084141C" w:rsidP="00C811A3">
            <w:pPr>
              <w:spacing w:line="240" w:lineRule="auto"/>
              <w:rPr>
                <w:rFonts w:eastAsia="Times New Roman"/>
              </w:rPr>
            </w:pPr>
            <w:r w:rsidRPr="003D5B8C">
              <w:rPr>
                <w:rFonts w:eastAsia="Times New Roman"/>
              </w:rPr>
              <w:t>64980-0442-01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A8E8A60"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95F690E"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12B71984"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A211A77"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64980-0443-01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3014929" w14:textId="77777777" w:rsidR="0084141C" w:rsidRPr="003D5B8C" w:rsidRDefault="0084141C" w:rsidP="00C811A3">
            <w:pPr>
              <w:widowControl w:val="0"/>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3605C06"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308575A4"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55A8D6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69543-0291-10</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DF0A2CE" w14:textId="77777777" w:rsidR="0084141C" w:rsidRPr="003D5B8C" w:rsidRDefault="0084141C" w:rsidP="00C811A3">
            <w:pPr>
              <w:widowControl w:val="0"/>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3A29D9E"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277CF395"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FED3B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69543-0290-18</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D0DFE95" w14:textId="77777777" w:rsidR="0084141C" w:rsidRPr="003D5B8C" w:rsidRDefault="0084141C" w:rsidP="00C811A3">
            <w:pPr>
              <w:widowControl w:val="0"/>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CEC7CC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69C3FFCC"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F99618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69543-0290-10</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A40A143" w14:textId="77777777" w:rsidR="0084141C" w:rsidRPr="003D5B8C" w:rsidRDefault="0084141C" w:rsidP="00C811A3">
            <w:pPr>
              <w:widowControl w:val="0"/>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C7759FC"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38299DA6"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F391A7D"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68084-0949-25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CB9FE0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65363D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17CA41DE"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F91B6C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68084-0949-95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41DE975"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91D5F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5A832621"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54DB305"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68084-0952-25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0D9AAB2"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9764D60"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27C3AD39"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45A9A0D"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69238-1344-01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2D4CB4C"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888161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626C8178"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8D920C7"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69238-1345-01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CCB2731"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8AB65C7"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0842CB2A"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7AFD44C"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51079-0657-20</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F70638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5A78FC2"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7A63E890"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578BAE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51079-0658-20</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3A66BE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28599A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535780A4"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5DDE12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00378-0572-05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C13BDA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C60A99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3E5CF1D3"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EEEEB9E"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00378-0572-01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ED1F6A6"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7F0078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2DD5761B"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EB5FF3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00378-0255-05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70C0F4E"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4B423FD"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0D0F7C72"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120B170"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00378-0255-01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E44086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30334D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2F85929E"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625CE7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53489-0176-01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36DCBA0"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629754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6D118920"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2567F41"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53489-0176-05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B5CC1D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0865902"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24F036C2"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4C683F0"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53489-0177-01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EC07D01"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9888202"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7F780C2C"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E71748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53489-0177-05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18F9CB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Tablet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D7C954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Oral</w:t>
            </w:r>
          </w:p>
        </w:tc>
      </w:tr>
      <w:tr w:rsidR="0084141C" w:rsidRPr="003D5B8C" w14:paraId="019DF46E"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B78017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59310-0580-20</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5DC703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Powder</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4C9ED35"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71FE211E"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3B6E246"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49502-0692-03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A1367C1"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58031A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4436C815"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D497E5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49502-0693-03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780FF50"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ACF77E1"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0C2E6564"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4A6A33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00472-0831-23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7CF9FA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32C0E5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66CF5180"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AF45BA2"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50383-0741-20</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B6C396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1E41A3C"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7C085797"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A76964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49502-0697-61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271235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966E912"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49826E2C"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7152607"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49502-0697-29</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160C33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82E0BA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11CAE467"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BC959A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49502-0697-24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68193C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40EAB36"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626D243F"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FA8F63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00378-8270-91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FFAA206"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D26BEA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62F004E2"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0147056"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00378-8270-93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B2658D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92B733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033B1599"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CF82E4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00378-8270-55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813AA37"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575CCB5"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4BB3341D"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CB839E5"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00378-8270-52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291B93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B7B7E8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099FA029"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4E31E05"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00378-6992-52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803655C"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5542F1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3CB78970"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BD002B6"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00378-6991-52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604D457"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252C761"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5B091205"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820662E"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00378-6990-93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DFCD10C"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6EC872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19D39B49"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6052E86"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00378-6990-91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FD682F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36A8DED"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2E3DE40A"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5F8FF5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00378-6990-58</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C693CF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C54DA0D"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41F341A3"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76219C5"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lastRenderedPageBreak/>
              <w:t>00378-6990-52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9834EA5"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D6CCCA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116B988F"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C29DB70"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00487-9501-25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CD42DA1"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2E76070"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73B58665"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7C860B1"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00487-9501-01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D324FB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E295BD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4D68AC0A"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5F1C67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00487-9501-02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75824D6"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B8A22E0"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317BC59E"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39CCC1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00487-9501-03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14F04C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F77C98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45D8A7E3"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4591C6E"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00487-9501-60</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9A4A69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C97C7C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437456EB"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3AD93F2"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00487-9901-02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51174A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9B4AD9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1C3D6DE3"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1373FC6"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00487-9901-30</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F9676E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A5D66C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3F4E30AD"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BAD65C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00487-9904-01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6261B45"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EF104B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0FA7F8E0"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5AE3B0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00487-9904-02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81B881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3416AB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1448FEC1"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A036FA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00487-9904-25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0DF686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5B5389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153C9CFE"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F61FC4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00487-0301-01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D189C57"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432A04E"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64DF477E"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15F68C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00487-0301-02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443967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FEF92C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558EC64E"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4C68D21"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76204-0200-01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0211B75"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12723A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3FACB8DE"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15A90F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76204-0200-25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A78A8AD"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1EBD73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299D5947"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03CEC9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76204-0200-30</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C4D7C2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3A0C47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1E6BCED0"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476C90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76204-0200-60</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C0B731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E4A9610"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6DD8FC89"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8E9C3B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00054-8063-11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B0678F5"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25B264C"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5940EC0B"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85D0630"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66794-0001-30</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3C320F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FD5D45E"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180D1E23"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AAC504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00781-7155-64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F910F1C"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AFD720C"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408BD82C"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A49EE3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00781-7155-29</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144BB7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4D8143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61369FD1"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FF0DC30"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00781-7155-86</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63BECDC"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3FAA271"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183688B6"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79DFBCE"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00591-3797-30</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2D1D05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633B1BD"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013AC81C"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F277AE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00591-3797-60</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8A36A2E"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02D344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2FB33319"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71B7E8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00591-3797-83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4D1451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B54CFC2"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26F4E072"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8BC160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00591-3467-53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2A6037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5E03F9B"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2D2375EB"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B5345A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00591-3468-53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4A452D6"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F0AD1E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4EE44694"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46F7A8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00172-6405-49</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3BC9C2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5BF81D2"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7EDC6222"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6748E2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24208-0347-20</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07F628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1F4FEB7"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2CA4A0CA"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7ADA045"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16252-0097-33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EA62E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CE086E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6A6D93F8"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2B940CC"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16252-0097-22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7F79CA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141F555"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636E2377"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8D285FC"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16252-0097-66</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F6AD5D0"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099480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19CD8D41"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353790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00085-1336-01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456D17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1AFA15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45C7E060"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DB0B9B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00085-1806-01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FD2CAF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Solution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4C2872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7F3E817E"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FF78A5C"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59310-0579-22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683A9D6"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Suspension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4175C59"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13A8D731"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BFAC3B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00085-1132-01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E32667E"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Suspension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E92E00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0D040B66"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F542F4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00085-1132-04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BA633F2"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Suspension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223A87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0C24003F"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F35F3CF"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00173-0682-21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3D74F67"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Suspension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60DD7FD"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49AD17CB"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C2A23C3"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00173-0682-20</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7AAD67E"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Suspension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FF373C4"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r w:rsidR="0084141C" w:rsidRPr="003D5B8C" w14:paraId="25A074A7" w14:textId="77777777" w:rsidTr="00C811A3">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076AEAD"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00173-0682-24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417D3DA"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Suspension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1272418" w14:textId="77777777" w:rsidR="0084141C" w:rsidRPr="003D5B8C" w:rsidRDefault="0084141C" w:rsidP="00C811A3">
            <w:pPr>
              <w:widowControl w:val="0"/>
              <w:pBdr>
                <w:top w:val="nil"/>
                <w:left w:val="nil"/>
                <w:bottom w:val="nil"/>
                <w:right w:val="nil"/>
                <w:between w:val="nil"/>
              </w:pBdr>
              <w:spacing w:line="240" w:lineRule="auto"/>
              <w:rPr>
                <w:rFonts w:eastAsia="Times New Roman"/>
              </w:rPr>
            </w:pPr>
            <w:r w:rsidRPr="003D5B8C">
              <w:rPr>
                <w:rFonts w:eastAsia="Times New Roman"/>
              </w:rPr>
              <w:t>Inhalation</w:t>
            </w:r>
          </w:p>
        </w:tc>
      </w:tr>
    </w:tbl>
    <w:p w14:paraId="717C8209" w14:textId="77777777" w:rsidR="003D5B8C" w:rsidRDefault="003D5B8C" w:rsidP="0084141C">
      <w:pPr>
        <w:rPr>
          <w:b/>
        </w:rPr>
      </w:pPr>
    </w:p>
    <w:p w14:paraId="14A38227" w14:textId="5CDE226C" w:rsidR="003D5B8C" w:rsidRDefault="003D5B8C">
      <w:pPr>
        <w:spacing w:after="160" w:line="259" w:lineRule="auto"/>
        <w:rPr>
          <w:b/>
        </w:rPr>
      </w:pPr>
    </w:p>
    <w:p w14:paraId="50DB6206" w14:textId="0B4C6363" w:rsidR="00CA11E7" w:rsidRDefault="00CA11E7">
      <w:pPr>
        <w:spacing w:after="160" w:line="259" w:lineRule="auto"/>
        <w:rPr>
          <w:b/>
        </w:rPr>
      </w:pPr>
    </w:p>
    <w:p w14:paraId="0C8D9353" w14:textId="2E59A022" w:rsidR="00CA11E7" w:rsidRDefault="00CA11E7">
      <w:pPr>
        <w:spacing w:after="160" w:line="259" w:lineRule="auto"/>
        <w:rPr>
          <w:b/>
        </w:rPr>
      </w:pPr>
    </w:p>
    <w:p w14:paraId="3F610F0B" w14:textId="77777777" w:rsidR="00CA11E7" w:rsidRDefault="00CA11E7">
      <w:pPr>
        <w:spacing w:after="160" w:line="259" w:lineRule="auto"/>
        <w:rPr>
          <w:b/>
        </w:rPr>
      </w:pPr>
    </w:p>
    <w:p w14:paraId="230E664E" w14:textId="50958F33" w:rsidR="0084141C" w:rsidRPr="003D5B8C" w:rsidRDefault="00990197" w:rsidP="0084141C">
      <w:r w:rsidRPr="003D5B8C">
        <w:rPr>
          <w:b/>
        </w:rPr>
        <w:lastRenderedPageBreak/>
        <w:t>Table E2</w:t>
      </w:r>
      <w:r w:rsidR="0084141C" w:rsidRPr="003D5B8C">
        <w:rPr>
          <w:b/>
        </w:rPr>
        <w:t>.</w:t>
      </w:r>
      <w:r w:rsidR="0084141C" w:rsidRPr="003D5B8C">
        <w:t xml:space="preserve"> Results from difference-in-differences analysis examining association between dispensing and removal of oral albuterol syrup from Arkansas’ </w:t>
      </w:r>
      <w:r w:rsidR="00262792" w:rsidRPr="003D5B8C">
        <w:t>preferred drug list</w:t>
      </w:r>
      <w:r w:rsidR="0084141C" w:rsidRPr="003D5B8C">
        <w:t xml:space="preserve"> in March 2014, excluding imputed counts</w:t>
      </w:r>
    </w:p>
    <w:p w14:paraId="7A778477" w14:textId="77777777" w:rsidR="0084141C" w:rsidRPr="003D5B8C" w:rsidRDefault="0084141C" w:rsidP="0084141C"/>
    <w:tbl>
      <w:tblPr>
        <w:tblStyle w:val="TableGrid"/>
        <w:tblW w:w="0" w:type="auto"/>
        <w:tblLook w:val="04A0" w:firstRow="1" w:lastRow="0" w:firstColumn="1" w:lastColumn="0" w:noHBand="0" w:noVBand="1"/>
      </w:tblPr>
      <w:tblGrid>
        <w:gridCol w:w="2377"/>
        <w:gridCol w:w="2087"/>
        <w:gridCol w:w="1111"/>
        <w:gridCol w:w="2070"/>
        <w:gridCol w:w="1260"/>
      </w:tblGrid>
      <w:tr w:rsidR="0084141C" w:rsidRPr="003D5B8C" w14:paraId="2D5ACE48" w14:textId="77777777" w:rsidTr="00DD3BFB">
        <w:tc>
          <w:tcPr>
            <w:tcW w:w="2377" w:type="dxa"/>
          </w:tcPr>
          <w:p w14:paraId="5621CA08" w14:textId="77777777" w:rsidR="0084141C" w:rsidRPr="003D5B8C" w:rsidRDefault="0084141C" w:rsidP="00C811A3"/>
        </w:tc>
        <w:tc>
          <w:tcPr>
            <w:tcW w:w="3198" w:type="dxa"/>
            <w:gridSpan w:val="2"/>
          </w:tcPr>
          <w:p w14:paraId="69507809" w14:textId="77777777" w:rsidR="0084141C" w:rsidRPr="003D5B8C" w:rsidRDefault="0084141C" w:rsidP="00C811A3">
            <w:pPr>
              <w:jc w:val="center"/>
            </w:pPr>
            <w:r w:rsidRPr="003D5B8C">
              <w:t>2011-2018</w:t>
            </w:r>
          </w:p>
        </w:tc>
        <w:tc>
          <w:tcPr>
            <w:tcW w:w="3330" w:type="dxa"/>
            <w:gridSpan w:val="2"/>
          </w:tcPr>
          <w:p w14:paraId="4F19D706" w14:textId="77777777" w:rsidR="0084141C" w:rsidRPr="003D5B8C" w:rsidRDefault="0084141C" w:rsidP="00C811A3">
            <w:pPr>
              <w:jc w:val="center"/>
            </w:pPr>
            <w:r w:rsidRPr="003D5B8C">
              <w:t>2011-2015</w:t>
            </w:r>
          </w:p>
        </w:tc>
      </w:tr>
      <w:tr w:rsidR="0084141C" w:rsidRPr="003D5B8C" w14:paraId="7577E179" w14:textId="77777777" w:rsidTr="00DD3BFB">
        <w:tc>
          <w:tcPr>
            <w:tcW w:w="2377" w:type="dxa"/>
          </w:tcPr>
          <w:p w14:paraId="0FA8767A" w14:textId="77777777" w:rsidR="0084141C" w:rsidRPr="003D5B8C" w:rsidRDefault="0084141C" w:rsidP="00C811A3"/>
        </w:tc>
        <w:tc>
          <w:tcPr>
            <w:tcW w:w="2087" w:type="dxa"/>
          </w:tcPr>
          <w:p w14:paraId="4CD5E363" w14:textId="77777777" w:rsidR="0084141C" w:rsidRPr="003D5B8C" w:rsidRDefault="0084141C" w:rsidP="00C811A3">
            <w:pPr>
              <w:jc w:val="right"/>
            </w:pPr>
            <w:r w:rsidRPr="003D5B8C">
              <w:t>Estimate (SE)</w:t>
            </w:r>
          </w:p>
        </w:tc>
        <w:tc>
          <w:tcPr>
            <w:tcW w:w="1111" w:type="dxa"/>
          </w:tcPr>
          <w:p w14:paraId="4481283A" w14:textId="77777777" w:rsidR="0084141C" w:rsidRPr="003D5B8C" w:rsidRDefault="0084141C" w:rsidP="00C811A3">
            <w:pPr>
              <w:jc w:val="right"/>
              <w:rPr>
                <w:i/>
                <w:iCs/>
              </w:rPr>
            </w:pPr>
            <w:r w:rsidRPr="003D5B8C">
              <w:rPr>
                <w:i/>
                <w:iCs/>
              </w:rPr>
              <w:t>p</w:t>
            </w:r>
          </w:p>
        </w:tc>
        <w:tc>
          <w:tcPr>
            <w:tcW w:w="2070" w:type="dxa"/>
          </w:tcPr>
          <w:p w14:paraId="29F11C0D" w14:textId="77777777" w:rsidR="0084141C" w:rsidRPr="003D5B8C" w:rsidRDefault="0084141C" w:rsidP="00C811A3">
            <w:pPr>
              <w:jc w:val="right"/>
            </w:pPr>
            <w:r w:rsidRPr="003D5B8C">
              <w:t>Estimate (SE)</w:t>
            </w:r>
          </w:p>
        </w:tc>
        <w:tc>
          <w:tcPr>
            <w:tcW w:w="1260" w:type="dxa"/>
          </w:tcPr>
          <w:p w14:paraId="21CDF68A" w14:textId="77777777" w:rsidR="0084141C" w:rsidRPr="003D5B8C" w:rsidRDefault="0084141C" w:rsidP="00C811A3">
            <w:pPr>
              <w:jc w:val="right"/>
              <w:rPr>
                <w:i/>
                <w:iCs/>
              </w:rPr>
            </w:pPr>
            <w:r w:rsidRPr="003D5B8C">
              <w:rPr>
                <w:i/>
                <w:iCs/>
              </w:rPr>
              <w:t>p</w:t>
            </w:r>
          </w:p>
        </w:tc>
      </w:tr>
      <w:tr w:rsidR="0084141C" w:rsidRPr="003D5B8C" w14:paraId="2A247309" w14:textId="77777777" w:rsidTr="00DD3BFB">
        <w:tc>
          <w:tcPr>
            <w:tcW w:w="2377" w:type="dxa"/>
          </w:tcPr>
          <w:p w14:paraId="1311DAE4" w14:textId="77777777" w:rsidR="0084141C" w:rsidRPr="003D5B8C" w:rsidRDefault="0084141C" w:rsidP="00C811A3">
            <w:r w:rsidRPr="003D5B8C">
              <w:t>Intercept</w:t>
            </w:r>
          </w:p>
        </w:tc>
        <w:tc>
          <w:tcPr>
            <w:tcW w:w="2087" w:type="dxa"/>
          </w:tcPr>
          <w:p w14:paraId="2F072117" w14:textId="77777777" w:rsidR="0084141C" w:rsidRPr="003D5B8C" w:rsidRDefault="0084141C" w:rsidP="00C811A3">
            <w:pPr>
              <w:jc w:val="right"/>
            </w:pPr>
            <w:r w:rsidRPr="003D5B8C">
              <w:rPr>
                <w:rFonts w:eastAsia="Times New Roman"/>
              </w:rPr>
              <w:t>1.04 (0.12)</w:t>
            </w:r>
          </w:p>
        </w:tc>
        <w:tc>
          <w:tcPr>
            <w:tcW w:w="1111" w:type="dxa"/>
          </w:tcPr>
          <w:p w14:paraId="3F8D350A" w14:textId="77777777" w:rsidR="0084141C" w:rsidRPr="003D5B8C" w:rsidRDefault="0084141C" w:rsidP="00C811A3">
            <w:pPr>
              <w:jc w:val="right"/>
            </w:pPr>
            <w:r w:rsidRPr="003D5B8C">
              <w:rPr>
                <w:rFonts w:eastAsia="Times New Roman"/>
              </w:rPr>
              <w:t>&lt;0.001</w:t>
            </w:r>
          </w:p>
        </w:tc>
        <w:tc>
          <w:tcPr>
            <w:tcW w:w="2070" w:type="dxa"/>
          </w:tcPr>
          <w:p w14:paraId="273897A0" w14:textId="77777777" w:rsidR="0084141C" w:rsidRPr="003D5B8C" w:rsidRDefault="0084141C" w:rsidP="00C811A3">
            <w:pPr>
              <w:jc w:val="right"/>
            </w:pPr>
            <w:r w:rsidRPr="003D5B8C">
              <w:t>1.19 (0.14)</w:t>
            </w:r>
          </w:p>
        </w:tc>
        <w:tc>
          <w:tcPr>
            <w:tcW w:w="1260" w:type="dxa"/>
          </w:tcPr>
          <w:p w14:paraId="411DAA8B" w14:textId="77777777" w:rsidR="0084141C" w:rsidRPr="003D5B8C" w:rsidRDefault="0084141C" w:rsidP="00C811A3">
            <w:pPr>
              <w:jc w:val="right"/>
            </w:pPr>
            <w:r w:rsidRPr="003D5B8C">
              <w:t>&lt;0.001</w:t>
            </w:r>
          </w:p>
        </w:tc>
      </w:tr>
      <w:tr w:rsidR="0084141C" w:rsidRPr="003D5B8C" w14:paraId="1840E635" w14:textId="77777777" w:rsidTr="00DD3BFB">
        <w:tc>
          <w:tcPr>
            <w:tcW w:w="2377" w:type="dxa"/>
          </w:tcPr>
          <w:p w14:paraId="535DE042" w14:textId="77777777" w:rsidR="0084141C" w:rsidRPr="003D5B8C" w:rsidRDefault="0084141C" w:rsidP="00C811A3">
            <w:r w:rsidRPr="003D5B8C">
              <w:t>Difference in the pre-intervention period</w:t>
            </w:r>
          </w:p>
        </w:tc>
        <w:tc>
          <w:tcPr>
            <w:tcW w:w="2087" w:type="dxa"/>
          </w:tcPr>
          <w:p w14:paraId="53712276" w14:textId="77777777" w:rsidR="0084141C" w:rsidRPr="003D5B8C" w:rsidRDefault="0084141C" w:rsidP="00C811A3">
            <w:pPr>
              <w:jc w:val="right"/>
            </w:pPr>
            <w:r w:rsidRPr="003D5B8C">
              <w:rPr>
                <w:rFonts w:eastAsia="Times New Roman"/>
              </w:rPr>
              <w:t>0.10 (0.12)</w:t>
            </w:r>
          </w:p>
        </w:tc>
        <w:tc>
          <w:tcPr>
            <w:tcW w:w="1111" w:type="dxa"/>
          </w:tcPr>
          <w:p w14:paraId="3643E495" w14:textId="77777777" w:rsidR="0084141C" w:rsidRPr="003D5B8C" w:rsidRDefault="0084141C" w:rsidP="00C811A3">
            <w:pPr>
              <w:jc w:val="right"/>
            </w:pPr>
            <w:r w:rsidRPr="003D5B8C">
              <w:rPr>
                <w:rFonts w:eastAsia="Times New Roman"/>
              </w:rPr>
              <w:t>0.43</w:t>
            </w:r>
          </w:p>
        </w:tc>
        <w:tc>
          <w:tcPr>
            <w:tcW w:w="2070" w:type="dxa"/>
          </w:tcPr>
          <w:p w14:paraId="65A4E831" w14:textId="77777777" w:rsidR="0084141C" w:rsidRPr="003D5B8C" w:rsidRDefault="0084141C" w:rsidP="00C811A3">
            <w:pPr>
              <w:jc w:val="right"/>
            </w:pPr>
            <w:r w:rsidRPr="003D5B8C">
              <w:t>0.10 (0.10)</w:t>
            </w:r>
          </w:p>
        </w:tc>
        <w:tc>
          <w:tcPr>
            <w:tcW w:w="1260" w:type="dxa"/>
          </w:tcPr>
          <w:p w14:paraId="026C8542" w14:textId="77777777" w:rsidR="0084141C" w:rsidRPr="003D5B8C" w:rsidRDefault="0084141C" w:rsidP="00C811A3">
            <w:pPr>
              <w:jc w:val="right"/>
            </w:pPr>
            <w:r w:rsidRPr="003D5B8C">
              <w:t>0.37</w:t>
            </w:r>
          </w:p>
        </w:tc>
      </w:tr>
      <w:tr w:rsidR="0084141C" w:rsidRPr="003D5B8C" w14:paraId="01BFBD3A" w14:textId="77777777" w:rsidTr="00DD3BFB">
        <w:tc>
          <w:tcPr>
            <w:tcW w:w="2377" w:type="dxa"/>
          </w:tcPr>
          <w:p w14:paraId="0CCC3FB3" w14:textId="77777777" w:rsidR="0084141C" w:rsidRPr="003D5B8C" w:rsidRDefault="0084141C" w:rsidP="00C811A3">
            <w:r w:rsidRPr="003D5B8C">
              <w:t>Change during post-intervention period</w:t>
            </w:r>
          </w:p>
        </w:tc>
        <w:tc>
          <w:tcPr>
            <w:tcW w:w="2087" w:type="dxa"/>
          </w:tcPr>
          <w:p w14:paraId="12B4623D" w14:textId="77777777" w:rsidR="0084141C" w:rsidRPr="003D5B8C" w:rsidRDefault="0084141C" w:rsidP="00C811A3">
            <w:pPr>
              <w:jc w:val="right"/>
            </w:pPr>
            <w:r w:rsidRPr="003D5B8C">
              <w:rPr>
                <w:rFonts w:eastAsia="Times New Roman"/>
              </w:rPr>
              <w:t>-0.60 (0.09)</w:t>
            </w:r>
          </w:p>
        </w:tc>
        <w:tc>
          <w:tcPr>
            <w:tcW w:w="1111" w:type="dxa"/>
          </w:tcPr>
          <w:p w14:paraId="2D297815" w14:textId="77777777" w:rsidR="0084141C" w:rsidRPr="003D5B8C" w:rsidRDefault="0084141C" w:rsidP="00C811A3">
            <w:pPr>
              <w:jc w:val="right"/>
            </w:pPr>
            <w:r w:rsidRPr="003D5B8C">
              <w:rPr>
                <w:rFonts w:eastAsia="Times New Roman"/>
              </w:rPr>
              <w:t>&lt;0.001</w:t>
            </w:r>
          </w:p>
        </w:tc>
        <w:tc>
          <w:tcPr>
            <w:tcW w:w="2070" w:type="dxa"/>
          </w:tcPr>
          <w:p w14:paraId="2AF080C4" w14:textId="77777777" w:rsidR="0084141C" w:rsidRPr="003D5B8C" w:rsidRDefault="0084141C" w:rsidP="00C811A3">
            <w:pPr>
              <w:jc w:val="right"/>
            </w:pPr>
            <w:r w:rsidRPr="003D5B8C">
              <w:t>-0.44 (0.10)</w:t>
            </w:r>
          </w:p>
        </w:tc>
        <w:tc>
          <w:tcPr>
            <w:tcW w:w="1260" w:type="dxa"/>
          </w:tcPr>
          <w:p w14:paraId="6788AF73" w14:textId="77777777" w:rsidR="0084141C" w:rsidRPr="003D5B8C" w:rsidRDefault="0084141C" w:rsidP="00C811A3">
            <w:pPr>
              <w:jc w:val="right"/>
            </w:pPr>
            <w:r w:rsidRPr="003D5B8C">
              <w:t>&lt;0.001</w:t>
            </w:r>
          </w:p>
        </w:tc>
      </w:tr>
      <w:tr w:rsidR="0084141C" w:rsidRPr="003D5B8C" w14:paraId="3E6F7867" w14:textId="77777777" w:rsidTr="00DD3BFB">
        <w:tc>
          <w:tcPr>
            <w:tcW w:w="2377" w:type="dxa"/>
          </w:tcPr>
          <w:p w14:paraId="33CB0382" w14:textId="77777777" w:rsidR="0084141C" w:rsidRPr="003D5B8C" w:rsidRDefault="0084141C" w:rsidP="00C811A3">
            <w:r w:rsidRPr="003D5B8C">
              <w:t>Additional change during post-intervention period in Arkansas</w:t>
            </w:r>
          </w:p>
        </w:tc>
        <w:tc>
          <w:tcPr>
            <w:tcW w:w="2087" w:type="dxa"/>
          </w:tcPr>
          <w:p w14:paraId="0E5256DE" w14:textId="77777777" w:rsidR="0084141C" w:rsidRPr="003D5B8C" w:rsidRDefault="0084141C" w:rsidP="00C811A3">
            <w:pPr>
              <w:jc w:val="right"/>
            </w:pPr>
            <w:r w:rsidRPr="003D5B8C">
              <w:rPr>
                <w:rFonts w:eastAsia="Times New Roman"/>
              </w:rPr>
              <w:t>-0.32 (0.13)</w:t>
            </w:r>
          </w:p>
        </w:tc>
        <w:tc>
          <w:tcPr>
            <w:tcW w:w="1111" w:type="dxa"/>
          </w:tcPr>
          <w:p w14:paraId="07DB3574" w14:textId="77777777" w:rsidR="0084141C" w:rsidRPr="003D5B8C" w:rsidRDefault="0084141C" w:rsidP="00C811A3">
            <w:pPr>
              <w:jc w:val="right"/>
            </w:pPr>
            <w:r w:rsidRPr="003D5B8C">
              <w:rPr>
                <w:rFonts w:eastAsia="Times New Roman"/>
              </w:rPr>
              <w:t>0.02</w:t>
            </w:r>
          </w:p>
        </w:tc>
        <w:tc>
          <w:tcPr>
            <w:tcW w:w="2070" w:type="dxa"/>
          </w:tcPr>
          <w:p w14:paraId="7F9E5C75" w14:textId="77777777" w:rsidR="0084141C" w:rsidRPr="003D5B8C" w:rsidRDefault="0084141C" w:rsidP="00C811A3">
            <w:pPr>
              <w:jc w:val="right"/>
            </w:pPr>
            <w:r w:rsidRPr="003D5B8C">
              <w:t>-0.43 (0.15)</w:t>
            </w:r>
          </w:p>
        </w:tc>
        <w:tc>
          <w:tcPr>
            <w:tcW w:w="1260" w:type="dxa"/>
          </w:tcPr>
          <w:p w14:paraId="794DF2FB" w14:textId="77777777" w:rsidR="0084141C" w:rsidRPr="003D5B8C" w:rsidRDefault="0084141C" w:rsidP="00C811A3">
            <w:pPr>
              <w:jc w:val="right"/>
            </w:pPr>
            <w:r w:rsidRPr="003D5B8C">
              <w:t>0.01</w:t>
            </w:r>
          </w:p>
        </w:tc>
      </w:tr>
    </w:tbl>
    <w:p w14:paraId="556ACC93" w14:textId="77777777" w:rsidR="0084141C" w:rsidRPr="003D5B8C" w:rsidRDefault="0084141C" w:rsidP="0084141C"/>
    <w:p w14:paraId="7D371657" w14:textId="77777777" w:rsidR="0084141C" w:rsidRPr="003D5B8C" w:rsidRDefault="0084141C" w:rsidP="0084141C">
      <w:r w:rsidRPr="003D5B8C">
        <w:t>SE: standard error</w:t>
      </w:r>
    </w:p>
    <w:p w14:paraId="2990EF62" w14:textId="337BA2F1" w:rsidR="0053509A" w:rsidRDefault="0053509A">
      <w:pPr>
        <w:spacing w:after="160" w:line="259" w:lineRule="auto"/>
      </w:pPr>
    </w:p>
    <w:p w14:paraId="2926B60B" w14:textId="4D228A34" w:rsidR="00CA11E7" w:rsidRDefault="00CA11E7">
      <w:pPr>
        <w:spacing w:after="160" w:line="259" w:lineRule="auto"/>
      </w:pPr>
    </w:p>
    <w:p w14:paraId="411CCE4C" w14:textId="0923188C" w:rsidR="00CA11E7" w:rsidRDefault="00CA11E7">
      <w:pPr>
        <w:spacing w:after="160" w:line="259" w:lineRule="auto"/>
      </w:pPr>
    </w:p>
    <w:p w14:paraId="22716BA8" w14:textId="743BD9BB" w:rsidR="00CA11E7" w:rsidRDefault="00CA11E7">
      <w:pPr>
        <w:spacing w:after="160" w:line="259" w:lineRule="auto"/>
      </w:pPr>
    </w:p>
    <w:p w14:paraId="371CC2A3" w14:textId="6563A9AD" w:rsidR="00CA11E7" w:rsidRDefault="00CA11E7">
      <w:pPr>
        <w:spacing w:after="160" w:line="259" w:lineRule="auto"/>
      </w:pPr>
    </w:p>
    <w:p w14:paraId="3B71301C" w14:textId="004F68FC" w:rsidR="00CA11E7" w:rsidRDefault="00CA11E7">
      <w:pPr>
        <w:spacing w:after="160" w:line="259" w:lineRule="auto"/>
      </w:pPr>
    </w:p>
    <w:p w14:paraId="017B319D" w14:textId="6E2B1200" w:rsidR="00CA11E7" w:rsidRDefault="00CA11E7">
      <w:pPr>
        <w:spacing w:after="160" w:line="259" w:lineRule="auto"/>
      </w:pPr>
    </w:p>
    <w:p w14:paraId="055E7A89" w14:textId="148F7B44" w:rsidR="00CA11E7" w:rsidRDefault="00CA11E7">
      <w:pPr>
        <w:spacing w:after="160" w:line="259" w:lineRule="auto"/>
      </w:pPr>
    </w:p>
    <w:p w14:paraId="5F789A98" w14:textId="30CFB095" w:rsidR="00CA11E7" w:rsidRDefault="00CA11E7">
      <w:pPr>
        <w:spacing w:after="160" w:line="259" w:lineRule="auto"/>
      </w:pPr>
    </w:p>
    <w:p w14:paraId="2AB6052B" w14:textId="23F10F93" w:rsidR="00CA11E7" w:rsidRDefault="00CA11E7">
      <w:pPr>
        <w:spacing w:after="160" w:line="259" w:lineRule="auto"/>
      </w:pPr>
    </w:p>
    <w:p w14:paraId="71EF42C8" w14:textId="02E1DE55" w:rsidR="00CA11E7" w:rsidRDefault="00CA11E7">
      <w:pPr>
        <w:spacing w:after="160" w:line="259" w:lineRule="auto"/>
      </w:pPr>
    </w:p>
    <w:p w14:paraId="2E1B171B" w14:textId="60523170" w:rsidR="00CA11E7" w:rsidRDefault="00CA11E7">
      <w:pPr>
        <w:spacing w:after="160" w:line="259" w:lineRule="auto"/>
      </w:pPr>
    </w:p>
    <w:p w14:paraId="4C3F833B" w14:textId="3B9A5DB4" w:rsidR="00CA11E7" w:rsidRDefault="00CA11E7">
      <w:pPr>
        <w:spacing w:after="160" w:line="259" w:lineRule="auto"/>
      </w:pPr>
    </w:p>
    <w:p w14:paraId="2C09921E" w14:textId="06374691" w:rsidR="00CA11E7" w:rsidRDefault="00CA11E7">
      <w:pPr>
        <w:spacing w:after="160" w:line="259" w:lineRule="auto"/>
      </w:pPr>
    </w:p>
    <w:p w14:paraId="119AEEF6" w14:textId="7FCE1560" w:rsidR="00CA11E7" w:rsidRDefault="00CA11E7">
      <w:pPr>
        <w:spacing w:after="160" w:line="259" w:lineRule="auto"/>
      </w:pPr>
    </w:p>
    <w:p w14:paraId="2017050E" w14:textId="2E29A342" w:rsidR="00CA11E7" w:rsidRDefault="00CA11E7">
      <w:pPr>
        <w:spacing w:after="160" w:line="259" w:lineRule="auto"/>
      </w:pPr>
    </w:p>
    <w:p w14:paraId="0E68E529" w14:textId="692C02A0" w:rsidR="00CA11E7" w:rsidRDefault="00CA11E7">
      <w:pPr>
        <w:spacing w:after="160" w:line="259" w:lineRule="auto"/>
      </w:pPr>
    </w:p>
    <w:p w14:paraId="586D9ED2" w14:textId="77777777" w:rsidR="00CA11E7" w:rsidRPr="003D5B8C" w:rsidRDefault="00CA11E7">
      <w:pPr>
        <w:spacing w:after="160" w:line="259" w:lineRule="auto"/>
      </w:pPr>
    </w:p>
    <w:p w14:paraId="1DFBAF54" w14:textId="0072D14F" w:rsidR="0007614D" w:rsidRPr="003D5B8C" w:rsidRDefault="0053509A" w:rsidP="0053509A">
      <w:pPr>
        <w:pStyle w:val="NoSpacing"/>
      </w:pPr>
      <w:r w:rsidRPr="003D5B8C">
        <w:rPr>
          <w:b/>
        </w:rPr>
        <w:lastRenderedPageBreak/>
        <w:t>Methods E1:</w:t>
      </w:r>
      <w:r w:rsidRPr="003D5B8C">
        <w:t xml:space="preserve"> Methodology for imputing suppressed prescription counts</w:t>
      </w:r>
    </w:p>
    <w:p w14:paraId="2242C599" w14:textId="77777777" w:rsidR="0053509A" w:rsidRPr="003D5B8C" w:rsidRDefault="0053509A" w:rsidP="0053509A">
      <w:pPr>
        <w:pStyle w:val="NoSpacing"/>
      </w:pPr>
    </w:p>
    <w:p w14:paraId="76A34144" w14:textId="565174FF" w:rsidR="0053509A" w:rsidRPr="003D5B8C" w:rsidRDefault="0053509A" w:rsidP="0053509A">
      <w:pPr>
        <w:spacing w:line="480" w:lineRule="auto"/>
        <w:rPr>
          <w:rFonts w:eastAsia="Times New Roman"/>
        </w:rPr>
      </w:pPr>
      <w:r w:rsidRPr="003D5B8C">
        <w:rPr>
          <w:rFonts w:eastAsia="Times New Roman"/>
        </w:rPr>
        <w:t>In the State Drug Utilization Database maintained by the Centers for Medicare &amp; Medicaid Services (CMS), all cell counts less than 11 are suppressed. Any necessary secondary suppression is also applied. Suppressed counts were imputed in a manner similar to other studies using the same dataset.</w:t>
      </w:r>
      <w:r w:rsidRPr="003D5B8C">
        <w:rPr>
          <w:vertAlign w:val="superscript"/>
        </w:rPr>
        <w:t>43</w:t>
      </w:r>
      <w:r w:rsidRPr="003D5B8C">
        <w:rPr>
          <w:rFonts w:eastAsia="Times New Roman"/>
        </w:rPr>
        <w:t xml:space="preserve"> The imputation process leveraged the discrepancies between the reported state totals and national totals. Imputation eliminated misleading zeroes without significantly altering nonzero percentages. The imputation process consisted of the following steps:</w:t>
      </w:r>
    </w:p>
    <w:p w14:paraId="700BC0DE" w14:textId="77777777" w:rsidR="0053509A" w:rsidRPr="003D5B8C" w:rsidRDefault="0053509A" w:rsidP="0053509A">
      <w:pPr>
        <w:numPr>
          <w:ilvl w:val="0"/>
          <w:numId w:val="1"/>
        </w:numPr>
        <w:spacing w:line="480" w:lineRule="auto"/>
        <w:rPr>
          <w:rFonts w:eastAsia="Times New Roman"/>
        </w:rPr>
      </w:pPr>
      <w:r w:rsidRPr="003D5B8C">
        <w:rPr>
          <w:rFonts w:eastAsia="Times New Roman"/>
        </w:rPr>
        <w:t>The frequency of suppression or a total of zero was determined at the most granular level possible (by NDC, state, quarter, and fee-for-service or managed care).</w:t>
      </w:r>
    </w:p>
    <w:p w14:paraId="0DF2E589" w14:textId="77777777" w:rsidR="0053509A" w:rsidRPr="003D5B8C" w:rsidRDefault="0053509A" w:rsidP="0053509A">
      <w:pPr>
        <w:numPr>
          <w:ilvl w:val="0"/>
          <w:numId w:val="1"/>
        </w:numPr>
        <w:spacing w:line="480" w:lineRule="auto"/>
        <w:rPr>
          <w:rFonts w:eastAsia="Times New Roman"/>
        </w:rPr>
      </w:pPr>
      <w:r w:rsidRPr="003D5B8C">
        <w:rPr>
          <w:rFonts w:eastAsia="Times New Roman"/>
        </w:rPr>
        <w:t>Imputation weights were assigned according to the suppression frequency: four for one quarter suppressed, three for two quarters, two for three quarters, and one for four quarters suppressed.</w:t>
      </w:r>
    </w:p>
    <w:p w14:paraId="3A5C6700" w14:textId="77777777" w:rsidR="0053509A" w:rsidRPr="003D5B8C" w:rsidRDefault="0053509A" w:rsidP="0053509A">
      <w:pPr>
        <w:numPr>
          <w:ilvl w:val="0"/>
          <w:numId w:val="1"/>
        </w:numPr>
        <w:spacing w:line="480" w:lineRule="auto"/>
        <w:rPr>
          <w:rFonts w:eastAsia="Times New Roman"/>
        </w:rPr>
      </w:pPr>
      <w:r w:rsidRPr="003D5B8C">
        <w:rPr>
          <w:rFonts w:eastAsia="Times New Roman"/>
        </w:rPr>
        <w:t>The discrepancy in albuterol prescriptions between the reported state totals and the reported national total was calculated, again at the most granular level possible.</w:t>
      </w:r>
    </w:p>
    <w:p w14:paraId="05E8479E" w14:textId="77777777" w:rsidR="0053509A" w:rsidRPr="003D5B8C" w:rsidRDefault="0053509A" w:rsidP="0053509A">
      <w:pPr>
        <w:numPr>
          <w:ilvl w:val="0"/>
          <w:numId w:val="1"/>
        </w:numPr>
        <w:spacing w:line="480" w:lineRule="auto"/>
        <w:rPr>
          <w:rFonts w:eastAsia="Times New Roman"/>
        </w:rPr>
      </w:pPr>
      <w:r w:rsidRPr="003D5B8C">
        <w:rPr>
          <w:rFonts w:eastAsia="Times New Roman"/>
        </w:rPr>
        <w:t>This difference was divided proportionally according to imputation weight, and the imputed counts were rounded to the nearest integer.</w:t>
      </w:r>
    </w:p>
    <w:p w14:paraId="3B1018FE" w14:textId="77777777" w:rsidR="0053509A" w:rsidRPr="003D5B8C" w:rsidRDefault="0053509A" w:rsidP="0053509A">
      <w:pPr>
        <w:numPr>
          <w:ilvl w:val="0"/>
          <w:numId w:val="1"/>
        </w:numPr>
        <w:spacing w:line="480" w:lineRule="auto"/>
        <w:rPr>
          <w:rFonts w:eastAsia="Times New Roman"/>
        </w:rPr>
      </w:pPr>
      <w:r w:rsidRPr="003D5B8C">
        <w:rPr>
          <w:rFonts w:eastAsia="Times New Roman"/>
        </w:rPr>
        <w:t>For totals suppressed at the national level, the state-level imputation weight was imputed as the state-level total, and the sum of these weights was imputed as the national total.</w:t>
      </w:r>
    </w:p>
    <w:p w14:paraId="224A4251" w14:textId="77777777" w:rsidR="00173E77" w:rsidRPr="003D5B8C" w:rsidRDefault="00173E77">
      <w:pPr>
        <w:spacing w:after="160" w:line="259" w:lineRule="auto"/>
      </w:pPr>
    </w:p>
    <w:sectPr w:rsidR="00173E77" w:rsidRPr="003D5B8C" w:rsidSect="00CA11E7">
      <w:footerReference w:type="even" r:id="rId7"/>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B4379" w14:textId="77777777" w:rsidR="007F4D8B" w:rsidRDefault="007F4D8B" w:rsidP="00CA11E7">
      <w:pPr>
        <w:spacing w:line="240" w:lineRule="auto"/>
      </w:pPr>
      <w:r>
        <w:separator/>
      </w:r>
    </w:p>
  </w:endnote>
  <w:endnote w:type="continuationSeparator" w:id="0">
    <w:p w14:paraId="39D21A20" w14:textId="77777777" w:rsidR="007F4D8B" w:rsidRDefault="007F4D8B" w:rsidP="00CA1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4666526"/>
      <w:docPartObj>
        <w:docPartGallery w:val="Page Numbers (Bottom of Page)"/>
        <w:docPartUnique/>
      </w:docPartObj>
    </w:sdtPr>
    <w:sdtContent>
      <w:p w14:paraId="61D05D92" w14:textId="25D79BD0" w:rsidR="00CA11E7" w:rsidRDefault="00CA11E7" w:rsidP="00EC23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CE39C" w14:textId="77777777" w:rsidR="00CA11E7" w:rsidRDefault="00CA11E7" w:rsidP="00CA11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5785376"/>
      <w:docPartObj>
        <w:docPartGallery w:val="Page Numbers (Bottom of Page)"/>
        <w:docPartUnique/>
      </w:docPartObj>
    </w:sdtPr>
    <w:sdtContent>
      <w:p w14:paraId="417F95D1" w14:textId="55D559DC" w:rsidR="00CA11E7" w:rsidRDefault="00CA11E7" w:rsidP="00EC23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AA01AB" w14:textId="77777777" w:rsidR="00CA11E7" w:rsidRDefault="00CA11E7" w:rsidP="00CA11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58C4C" w14:textId="77777777" w:rsidR="007F4D8B" w:rsidRDefault="007F4D8B" w:rsidP="00CA11E7">
      <w:pPr>
        <w:spacing w:line="240" w:lineRule="auto"/>
      </w:pPr>
      <w:r>
        <w:separator/>
      </w:r>
    </w:p>
  </w:footnote>
  <w:footnote w:type="continuationSeparator" w:id="0">
    <w:p w14:paraId="6BB080B6" w14:textId="77777777" w:rsidR="007F4D8B" w:rsidRDefault="007F4D8B" w:rsidP="00CA11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751CE"/>
    <w:multiLevelType w:val="multilevel"/>
    <w:tmpl w:val="2FBCA1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D6"/>
    <w:rsid w:val="0007614D"/>
    <w:rsid w:val="000E1AD6"/>
    <w:rsid w:val="00140931"/>
    <w:rsid w:val="00173E77"/>
    <w:rsid w:val="00262792"/>
    <w:rsid w:val="003D5B8C"/>
    <w:rsid w:val="004C3FA9"/>
    <w:rsid w:val="0053509A"/>
    <w:rsid w:val="006F2513"/>
    <w:rsid w:val="00786E83"/>
    <w:rsid w:val="007F4D8B"/>
    <w:rsid w:val="007F5847"/>
    <w:rsid w:val="0084141C"/>
    <w:rsid w:val="008E34B3"/>
    <w:rsid w:val="00990197"/>
    <w:rsid w:val="00C811A3"/>
    <w:rsid w:val="00CA11E7"/>
    <w:rsid w:val="00DD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66A8"/>
  <w15:chartTrackingRefBased/>
  <w15:docId w15:val="{C49FE52E-A996-4D81-B38D-717B4F95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41C"/>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4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41C"/>
    <w:rPr>
      <w:rFonts w:ascii="Segoe UI" w:hAnsi="Segoe UI" w:cs="Segoe UI"/>
      <w:sz w:val="18"/>
      <w:szCs w:val="18"/>
    </w:rPr>
  </w:style>
  <w:style w:type="table" w:styleId="TableGrid">
    <w:name w:val="Table Grid"/>
    <w:basedOn w:val="TableNormal"/>
    <w:uiPriority w:val="39"/>
    <w:rsid w:val="0084141C"/>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141C"/>
    <w:pPr>
      <w:spacing w:after="0" w:line="240" w:lineRule="auto"/>
    </w:pPr>
    <w:rPr>
      <w:rFonts w:ascii="Arial" w:eastAsia="Arial" w:hAnsi="Arial" w:cs="Arial"/>
      <w:lang w:val="en"/>
    </w:rPr>
  </w:style>
  <w:style w:type="character" w:styleId="LineNumber">
    <w:name w:val="line number"/>
    <w:basedOn w:val="DefaultParagraphFont"/>
    <w:uiPriority w:val="99"/>
    <w:semiHidden/>
    <w:unhideWhenUsed/>
    <w:rsid w:val="00CA11E7"/>
  </w:style>
  <w:style w:type="paragraph" w:styleId="Header">
    <w:name w:val="header"/>
    <w:basedOn w:val="Normal"/>
    <w:link w:val="HeaderChar"/>
    <w:uiPriority w:val="99"/>
    <w:unhideWhenUsed/>
    <w:rsid w:val="00CA11E7"/>
    <w:pPr>
      <w:tabs>
        <w:tab w:val="center" w:pos="4680"/>
        <w:tab w:val="right" w:pos="9360"/>
      </w:tabs>
      <w:spacing w:line="240" w:lineRule="auto"/>
    </w:pPr>
  </w:style>
  <w:style w:type="character" w:customStyle="1" w:styleId="HeaderChar">
    <w:name w:val="Header Char"/>
    <w:basedOn w:val="DefaultParagraphFont"/>
    <w:link w:val="Header"/>
    <w:uiPriority w:val="99"/>
    <w:rsid w:val="00CA11E7"/>
    <w:rPr>
      <w:rFonts w:ascii="Arial" w:eastAsia="Arial" w:hAnsi="Arial" w:cs="Arial"/>
      <w:lang w:val="en"/>
    </w:rPr>
  </w:style>
  <w:style w:type="paragraph" w:styleId="Footer">
    <w:name w:val="footer"/>
    <w:basedOn w:val="Normal"/>
    <w:link w:val="FooterChar"/>
    <w:uiPriority w:val="99"/>
    <w:unhideWhenUsed/>
    <w:rsid w:val="00CA11E7"/>
    <w:pPr>
      <w:tabs>
        <w:tab w:val="center" w:pos="4680"/>
        <w:tab w:val="right" w:pos="9360"/>
      </w:tabs>
      <w:spacing w:line="240" w:lineRule="auto"/>
    </w:pPr>
  </w:style>
  <w:style w:type="character" w:customStyle="1" w:styleId="FooterChar">
    <w:name w:val="Footer Char"/>
    <w:basedOn w:val="DefaultParagraphFont"/>
    <w:link w:val="Footer"/>
    <w:uiPriority w:val="99"/>
    <w:rsid w:val="00CA11E7"/>
    <w:rPr>
      <w:rFonts w:ascii="Arial" w:eastAsia="Arial" w:hAnsi="Arial" w:cs="Arial"/>
      <w:lang w:val="en"/>
    </w:rPr>
  </w:style>
  <w:style w:type="character" w:styleId="PageNumber">
    <w:name w:val="page number"/>
    <w:basedOn w:val="DefaultParagraphFont"/>
    <w:uiPriority w:val="99"/>
    <w:semiHidden/>
    <w:unhideWhenUsed/>
    <w:rsid w:val="00CA1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alipelczar@gmail.com</dc:creator>
  <cp:keywords/>
  <dc:description/>
  <cp:lastModifiedBy>Microsoft Office User</cp:lastModifiedBy>
  <cp:revision>14</cp:revision>
  <dcterms:created xsi:type="dcterms:W3CDTF">2021-04-30T21:42:00Z</dcterms:created>
  <dcterms:modified xsi:type="dcterms:W3CDTF">2022-01-24T20:07:00Z</dcterms:modified>
</cp:coreProperties>
</file>