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517" w:type="pct"/>
        <w:jc w:val="center"/>
        <w:tblLook w:val="00A0" w:firstRow="1" w:lastRow="0" w:firstColumn="1" w:lastColumn="0" w:noHBand="0" w:noVBand="0"/>
      </w:tblPr>
      <w:tblGrid>
        <w:gridCol w:w="4048"/>
        <w:gridCol w:w="1709"/>
        <w:gridCol w:w="1709"/>
        <w:gridCol w:w="1672"/>
        <w:gridCol w:w="1183"/>
      </w:tblGrid>
      <w:tr w:rsidR="00CC329A" w:rsidRPr="00F35190" w:rsidTr="00E331F9">
        <w:trPr>
          <w:jc w:val="center"/>
        </w:trPr>
        <w:tc>
          <w:tcPr>
            <w:tcW w:w="5000" w:type="pct"/>
            <w:gridSpan w:val="5"/>
            <w:tcBorders>
              <w:top w:val="single" w:sz="36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62DC1" w:rsidRDefault="00CC329A" w:rsidP="00E331F9">
            <w:pPr>
              <w:spacing w:after="0" w:line="240" w:lineRule="auto"/>
              <w:ind w:left="-1438" w:firstLine="1438"/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</w:pPr>
            <w:r w:rsidRPr="000E350A">
              <w:rPr>
                <w:rFonts w:ascii="Times New Roman" w:hAnsi="Times New Roman" w:cs="Times New Roman"/>
                <w:b/>
                <w:sz w:val="24"/>
                <w:szCs w:val="24"/>
              </w:rPr>
              <w:t>Table 1. Descriptive Data by Influenza Vaccination, 2019 BRFSS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a</w:t>
            </w:r>
          </w:p>
        </w:tc>
      </w:tr>
      <w:tr w:rsidR="00CC329A" w:rsidRPr="00F35190" w:rsidTr="00E331F9">
        <w:trPr>
          <w:jc w:val="center"/>
        </w:trPr>
        <w:tc>
          <w:tcPr>
            <w:tcW w:w="5000" w:type="pct"/>
            <w:gridSpan w:val="5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62DC1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</w:pPr>
            <w:r w:rsidRPr="000C5630">
              <w:rPr>
                <w:rFonts w:ascii="Times New Roman" w:hAnsi="Times New Roman" w:cs="Times New Roman"/>
                <w:b/>
                <w:sz w:val="24"/>
                <w:szCs w:val="24"/>
              </w:rPr>
              <w:t>N (weighted %)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b</w:t>
            </w:r>
          </w:p>
        </w:tc>
      </w:tr>
      <w:tr w:rsidR="00CC329A" w:rsidRPr="00F35190" w:rsidTr="00E331F9">
        <w:trPr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N= 302,537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5630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5630">
              <w:rPr>
                <w:rFonts w:ascii="Times New Roman" w:hAnsi="Times New Roman" w:cs="Times New Roman"/>
                <w:b/>
                <w:sz w:val="24"/>
                <w:szCs w:val="24"/>
              </w:rPr>
              <w:t>Percentage who Received Influenza Vaccine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5630">
              <w:rPr>
                <w:rFonts w:ascii="Times New Roman" w:hAnsi="Times New Roman" w:cs="Times New Roman"/>
                <w:b/>
                <w:sz w:val="24"/>
                <w:szCs w:val="24"/>
              </w:rPr>
              <w:t>Did not Receive Influenza Vaccine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5630">
              <w:rPr>
                <w:rFonts w:ascii="Times New Roman" w:hAnsi="Times New Roman" w:cs="Times New Roman"/>
                <w:b/>
                <w:sz w:val="24"/>
                <w:szCs w:val="24"/>
              </w:rPr>
              <w:t>P value</w:t>
            </w: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/>
                <w:sz w:val="24"/>
                <w:szCs w:val="24"/>
              </w:rPr>
              <w:t>Age, median (IQR)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47 (32, 61)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54 (36, 67)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42 (30, 56)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  <w:r w:rsidRPr="00F13BB5"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/>
                <w:sz w:val="24"/>
                <w:szCs w:val="24"/>
              </w:rPr>
              <w:t>Sex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  <w:r w:rsidRPr="00F13BB5"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 xml:space="preserve"> Female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161,330 (50.4)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85,711 (46.5)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75,619 (53.5)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trHeight w:val="199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 xml:space="preserve">Male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141,207 (49.6)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65,861 (39.5)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75,346 (60.5)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/>
                <w:sz w:val="24"/>
                <w:szCs w:val="24"/>
              </w:rPr>
              <w:t>Race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5A1F9B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highlight w:val="yellow"/>
              </w:rPr>
            </w:pPr>
            <w:r w:rsidRPr="009A77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  <w:r w:rsidRPr="00F13BB5"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 xml:space="preserve">     NH-White 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237,658 (64.6)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124,838 (46.5)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112,820 (53.5)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 xml:space="preserve">     NH-Black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22,448 (11.3)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9,578 (36.7)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12,870 (63.3)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 xml:space="preserve">     Hispanic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22,195 (16.0)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8,291 (33.9)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13,904 (66.1)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 xml:space="preserve">     Other race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2,079 (0.5)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873 (37.1)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1,206 (62.9)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 xml:space="preserve">     Asian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6,082 (5.1)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2,859 (44.1)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3,223 (55.9)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 xml:space="preserve">     American Indian / Alaska Native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4,818 (1.0)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2,110 (36.6)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2,708 (63.4)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 xml:space="preserve">     Multiracial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6,224 (1.4)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2,626 (39.7)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3,598 (60.3)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 xml:space="preserve">     Native Hawaiian / Other Pacific Islander 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1,033 (0.2)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397 (37.9)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636 (62.1)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Education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9A77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  <w:r w:rsidRPr="00F13BB5"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Less than high school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18,341 (11.6)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7,246 (34.4)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11,095 (65.6)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High school graduate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76,264 (26.7)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33,220 (37.1)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43,044 (62.9)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Some college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85,900 (31.7)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40,824 (41.5)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45,076 (58.5)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College graduate or more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122,032 (30.7)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70,282 (52.9)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51,750 (47.1)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/>
                <w:sz w:val="24"/>
                <w:szCs w:val="24"/>
              </w:rPr>
              <w:t>Income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  <w:r w:rsidRPr="00F13BB5"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&lt; $25,000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71,902 (24.6)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31,911 (38.1)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39,991 (61.9)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$25 – $49,999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72,650 (22.5)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35,045 (40.4)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37,605 (59.6)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$50 – $74,999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49,630 (15.2)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25,257 (43.0)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24,373 (57.0)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≥ $75,000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108,355 (37.8)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59,359 (47.8)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48,996 (52.2)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062DC1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/>
                <w:sz w:val="24"/>
                <w:szCs w:val="24"/>
              </w:rPr>
              <w:t>Divisions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  <w:r w:rsidRPr="00F13BB5"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New England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33,242 (4.6)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18,530 (50.1)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14,712 (49.9)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Middle Atlantic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14,833 (9.9)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7,557 (46.4)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7,276 (53.6)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East North Central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32,669 (15.6)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15,967 (41.5)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16,702 (58.5)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West North Central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55,525 (7.0)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29,133 (47.0)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26,392 (53.0)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South Atlantic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54,099 (20.1)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27,201 (42.7)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26,898 (57.3)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East South Central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18,306 (5.8)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8,652 (41.2)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9,654 (58.8)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West South Central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20,617 (12.0)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10,108 (40.5)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10,509 (59.5)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Mountain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41,987 (7.8)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19,802 (41.4)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22,185 (58.6)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Pacific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31,259 (17.2)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14,622 (42.4)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16,637 (57.7)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Health Insurance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9A77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  <w:r w:rsidRPr="00F13BB5"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Yes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278,556 (88.1)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146,585 (46.3)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131,971 (53.7)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No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23,981 (11.9)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4,987 (18.8)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18,994 (81.2)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Primary Care Doctor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  <w:r w:rsidRPr="00F13BB5"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Yes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252,854 (77.6)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139,119 (48.9)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113,735 (51.1)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    No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49,683 (22.4)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12,453 (22.7)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37,230 (77.3)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Delayed Care due to Cost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  <w:r w:rsidRPr="00F13BB5"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No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270,869 (86.8)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141,073 (45.2)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129,796 (83.4)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196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0C5630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Yes 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31,668 (13.2)</w:t>
            </w:r>
          </w:p>
        </w:tc>
        <w:tc>
          <w:tcPr>
            <w:tcW w:w="828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10,499 (28.4)</w:t>
            </w:r>
          </w:p>
        </w:tc>
        <w:tc>
          <w:tcPr>
            <w:tcW w:w="810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0">
              <w:rPr>
                <w:rFonts w:ascii="Times New Roman" w:hAnsi="Times New Roman" w:cs="Times New Roman"/>
                <w:sz w:val="24"/>
                <w:szCs w:val="24"/>
              </w:rPr>
              <w:t>21,169 (16.6)</w:t>
            </w:r>
          </w:p>
        </w:tc>
        <w:tc>
          <w:tcPr>
            <w:tcW w:w="573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0C5630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C329A" w:rsidRPr="00062DC1" w:rsidRDefault="00CC329A" w:rsidP="00CC329A">
      <w:pPr>
        <w:suppressLineNumbers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bookmarkStart w:id="0" w:name="_Hlk50986116"/>
      <w:r>
        <w:rPr>
          <w:rFonts w:ascii="Times New Roman" w:hAnsi="Times New Roman" w:cs="Times New Roman"/>
          <w:sz w:val="20"/>
          <w:szCs w:val="20"/>
        </w:rPr>
        <w:t xml:space="preserve">Notes: </w:t>
      </w:r>
      <w:r>
        <w:rPr>
          <w:rFonts w:ascii="Times New Roman" w:hAnsi="Times New Roman"/>
          <w:sz w:val="20"/>
          <w:szCs w:val="20"/>
        </w:rPr>
        <w:t>Boldface indicates statistical significance (*</w:t>
      </w:r>
      <w:r w:rsidRPr="005A1F9B"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&lt;0.05, **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&lt;0.01, ***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 xml:space="preserve">&lt;0.001).  </w:t>
      </w:r>
    </w:p>
    <w:p w:rsidR="00CC329A" w:rsidRDefault="00CC329A" w:rsidP="00CC329A">
      <w:pPr>
        <w:suppressLineNumbers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A779A">
        <w:rPr>
          <w:rFonts w:ascii="Times New Roman" w:hAnsi="Times New Roman" w:cs="Times New Roman"/>
          <w:sz w:val="20"/>
          <w:szCs w:val="20"/>
        </w:rPr>
        <w:t>Includes data from the 2019 BRFSS annual survey.  Analysis excludes US territories.</w:t>
      </w:r>
    </w:p>
    <w:p w:rsidR="00CC329A" w:rsidRDefault="00CC329A" w:rsidP="00CC329A">
      <w:pPr>
        <w:suppressLineNumbers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>
        <w:rPr>
          <w:rFonts w:ascii="Times New Roman" w:hAnsi="Times New Roman" w:cs="Times New Roman"/>
          <w:sz w:val="20"/>
          <w:szCs w:val="20"/>
        </w:rPr>
        <w:t xml:space="preserve"> Data represents N (weighted percentage) unless otherwise noted.</w:t>
      </w:r>
    </w:p>
    <w:p w:rsidR="00CC329A" w:rsidRPr="009A779A" w:rsidRDefault="00CC329A" w:rsidP="00CC329A">
      <w:pPr>
        <w:suppressLineNumbers/>
        <w:spacing w:line="276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c </w:t>
      </w:r>
      <w:r w:rsidRPr="009A779A">
        <w:rPr>
          <w:rFonts w:ascii="Times New Roman" w:hAnsi="Times New Roman" w:cs="Times New Roman"/>
          <w:sz w:val="20"/>
          <w:szCs w:val="20"/>
        </w:rPr>
        <w:t xml:space="preserve">West North Central division includes: Iowa, Kansas, Minnesota, Missouri, Nebraska, North Dakota, and South Dakota. New England division includes: Connecticut, Maine, Massachusetts, New Hampshire, Rhode Island, and Vermont. Middle Atlantic includes: New Jersey, New York, and Pennsylvania.  South Atlantic division includes: Delaware, District of Columbia, Florida, Georgia, Maryland, North Carolina, South Carolina, Virginia, and West Virginia.  Mountain division includes: Arizona, Colorado, Idaho, New Mexico, Montana, Utah, Nevada, and Wyoming. Pacific division includes: Alaska, California, Hawaii, Oregon, and Washington.  East North Central division includes: Indiana, Illinois, Michigan, Ohio, and Wisconsin. East South Central division includes: Alabama, Kentucky, Mississippi, and Tennessee. West South Central division includes: Arkansas, Louisiana, Oklahoma, and Texas. </w:t>
      </w:r>
    </w:p>
    <w:p w:rsidR="00CC329A" w:rsidRPr="00062DC1" w:rsidRDefault="00CC329A" w:rsidP="00CC329A">
      <w:pPr>
        <w:suppressLineNumbers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CC329A" w:rsidRPr="00062DC1" w:rsidRDefault="00CC329A" w:rsidP="00CC329A">
      <w:pPr>
        <w:suppressLineNumbers/>
        <w:spacing w:line="276" w:lineRule="auto"/>
        <w:rPr>
          <w:rFonts w:ascii="Times New Roman" w:hAnsi="Times New Roman" w:cs="Times New Roman"/>
          <w:sz w:val="20"/>
          <w:szCs w:val="20"/>
        </w:rPr>
      </w:pPr>
    </w:p>
    <w:bookmarkEnd w:id="0"/>
    <w:p w:rsidR="00CC329A" w:rsidRDefault="00CC329A" w:rsidP="00CC329A">
      <w:pPr>
        <w:suppressLineNumbers/>
        <w:spacing w:line="480" w:lineRule="auto"/>
      </w:pPr>
    </w:p>
    <w:p w:rsidR="00CC329A" w:rsidRDefault="00CC329A" w:rsidP="00CC329A">
      <w:pPr>
        <w:suppressLineNumbers/>
        <w:spacing w:line="480" w:lineRule="auto"/>
      </w:pPr>
    </w:p>
    <w:p w:rsidR="00CC329A" w:rsidRDefault="00CC329A" w:rsidP="00CC329A">
      <w:pPr>
        <w:suppressLineNumbers/>
        <w:spacing w:line="480" w:lineRule="auto"/>
      </w:pPr>
    </w:p>
    <w:p w:rsidR="00CC329A" w:rsidRDefault="00CC329A" w:rsidP="00CC329A">
      <w:pPr>
        <w:suppressLineNumbers/>
        <w:spacing w:line="480" w:lineRule="auto"/>
      </w:pPr>
    </w:p>
    <w:p w:rsidR="00CC329A" w:rsidRDefault="00CC329A" w:rsidP="00CC329A">
      <w:pPr>
        <w:suppressLineNumbers/>
        <w:spacing w:line="480" w:lineRule="auto"/>
      </w:pPr>
    </w:p>
    <w:p w:rsidR="00CC329A" w:rsidRDefault="00CC329A" w:rsidP="00CC329A">
      <w:pPr>
        <w:suppressLineNumbers/>
        <w:spacing w:line="480" w:lineRule="auto"/>
      </w:pPr>
    </w:p>
    <w:p w:rsidR="00CC329A" w:rsidRDefault="00CC329A" w:rsidP="00CC329A">
      <w:pPr>
        <w:suppressLineNumbers/>
        <w:spacing w:line="480" w:lineRule="auto"/>
      </w:pPr>
    </w:p>
    <w:p w:rsidR="00CC329A" w:rsidRDefault="00CC329A" w:rsidP="00CC329A">
      <w:pPr>
        <w:suppressLineNumbers/>
        <w:spacing w:line="480" w:lineRule="auto"/>
      </w:pPr>
    </w:p>
    <w:p w:rsidR="00CC329A" w:rsidRDefault="00CC329A" w:rsidP="00CC329A">
      <w:pPr>
        <w:suppressLineNumbers/>
        <w:spacing w:line="480" w:lineRule="auto"/>
      </w:pPr>
    </w:p>
    <w:p w:rsidR="00CC329A" w:rsidRDefault="00CC329A" w:rsidP="00CC329A">
      <w:pPr>
        <w:suppressLineNumbers/>
        <w:spacing w:line="480" w:lineRule="auto"/>
      </w:pPr>
    </w:p>
    <w:p w:rsidR="00CC329A" w:rsidRDefault="00CC329A" w:rsidP="00CC329A">
      <w:pPr>
        <w:suppressLineNumbers/>
        <w:spacing w:line="480" w:lineRule="auto"/>
      </w:pPr>
    </w:p>
    <w:tbl>
      <w:tblPr>
        <w:tblW w:w="5145" w:type="pct"/>
        <w:jc w:val="center"/>
        <w:tblLook w:val="00A0" w:firstRow="1" w:lastRow="0" w:firstColumn="1" w:lastColumn="0" w:noHBand="0" w:noVBand="0"/>
      </w:tblPr>
      <w:tblGrid>
        <w:gridCol w:w="4045"/>
        <w:gridCol w:w="3151"/>
        <w:gridCol w:w="2429"/>
      </w:tblGrid>
      <w:tr w:rsidR="00CC329A" w:rsidRPr="00F35190" w:rsidTr="00E331F9">
        <w:trPr>
          <w:jc w:val="center"/>
        </w:trPr>
        <w:tc>
          <w:tcPr>
            <w:tcW w:w="5000" w:type="pct"/>
            <w:gridSpan w:val="3"/>
            <w:tcBorders>
              <w:top w:val="single" w:sz="36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ind w:left="-1438" w:firstLine="143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Table 2. Odds Ratios from Weighted Logistic Regression Predicting Influenza Vaccination, </w:t>
            </w:r>
          </w:p>
          <w:p w:rsidR="00CC329A" w:rsidRPr="00D406B5" w:rsidRDefault="00CC329A" w:rsidP="00E331F9">
            <w:pPr>
              <w:spacing w:after="0" w:line="240" w:lineRule="auto"/>
              <w:ind w:left="-1438" w:firstLine="1438"/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</w:pPr>
            <w:r w:rsidRPr="009A77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2019 BRFSS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a</w:t>
            </w:r>
          </w:p>
        </w:tc>
      </w:tr>
      <w:tr w:rsidR="00CC329A" w:rsidRPr="00F35190" w:rsidTr="00E331F9">
        <w:trPr>
          <w:jc w:val="center"/>
        </w:trPr>
        <w:tc>
          <w:tcPr>
            <w:tcW w:w="5000" w:type="pct"/>
            <w:gridSpan w:val="3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D406B5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</w:pPr>
            <w:r w:rsidRPr="009A779A">
              <w:rPr>
                <w:rFonts w:ascii="Times New Roman" w:hAnsi="Times New Roman" w:cs="Times New Roman"/>
                <w:b/>
                <w:sz w:val="24"/>
                <w:szCs w:val="24"/>
              </w:rPr>
              <w:t>Odds Ratio (95% CI)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b</w:t>
            </w: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N= 302,537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/>
                <w:sz w:val="24"/>
                <w:szCs w:val="24"/>
              </w:rPr>
              <w:t>Odds Ratio (95% CI)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/>
                <w:sz w:val="24"/>
                <w:szCs w:val="24"/>
              </w:rPr>
              <w:t>P value</w:t>
            </w: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1.02 (1.02, 1.02)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  <w:r w:rsidRPr="00AD4CB0"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/>
                <w:sz w:val="24"/>
                <w:szCs w:val="24"/>
              </w:rPr>
              <w:t>Sex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  <w:r w:rsidRPr="00AD4CB0"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 xml:space="preserve"> Female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199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0.81 (0.79, 0.84)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/>
                <w:sz w:val="24"/>
                <w:szCs w:val="24"/>
              </w:rPr>
              <w:t>Race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  <w:r w:rsidRPr="00AD4CB0"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 xml:space="preserve">     NH-White 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 xml:space="preserve">     NH-Black 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0.77 (0.73 0.81)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 xml:space="preserve">     Hispanic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1.00 (0.95, 1.07)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 xml:space="preserve">     Other race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0.77 (0.63, 0.93)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 xml:space="preserve">     Asian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1.04 (0.93, 1.15)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 xml:space="preserve">     American Indian / Alaska Native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0.80 (0.70, 0.92)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 xml:space="preserve">     Multiracial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0.94 (0.85, 1.04)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 xml:space="preserve">     Native Hawaiian / Other Pacific Islander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0.88 (0.67, 1.17)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Education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  <w:r w:rsidRPr="00AD4CB0"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Less than high school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0.61 (0.57, 0.66)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High school graduate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0.60 (0.58, 0.63)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Some college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0.69 (0.66, 0.72)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College graduate or more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/>
                <w:sz w:val="24"/>
                <w:szCs w:val="24"/>
              </w:rPr>
              <w:t>Income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6137CF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7CF">
              <w:rPr>
                <w:rFonts w:ascii="Times New Roman" w:hAnsi="Times New Roman" w:cs="Times New Roman"/>
                <w:sz w:val="24"/>
                <w:szCs w:val="24"/>
              </w:rPr>
              <w:t>&lt;0.05</w:t>
            </w:r>
            <w:r w:rsidRPr="006137CF">
              <w:rPr>
                <w:rFonts w:ascii="Times New Roman" w:hAnsi="Times New Roman"/>
                <w:vertAlign w:val="superscript"/>
              </w:rPr>
              <w:t>*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&lt; $25,000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1.00 (0.96, 1.05)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$25 – $49,999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0.96 (0.92, 1.01)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$50 – $74,999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0.94 (0.90, 0.99)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≥ $75,000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D406B5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</w:pPr>
            <w:r w:rsidRPr="009A779A">
              <w:rPr>
                <w:rFonts w:ascii="Times New Roman" w:hAnsi="Times New Roman" w:cs="Times New Roman"/>
                <w:b/>
                <w:sz w:val="24"/>
                <w:szCs w:val="24"/>
              </w:rPr>
              <w:t>Divisions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  <w:r w:rsidRPr="00AD4CB0"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New England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Middle Atlantic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0.95 (0.89, 1.01)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East North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0.79 (0.75, 0.83)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West North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1.02 (0.97, 1.07)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South Atlantic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0.88 (0.84, 0.93)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East South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0.86 (0.81, 0.92)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West South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0.91 (0.84, 0.98)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Mountain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0.84 (0.80, 0.89)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Pacific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0.85 (0.80, 0.90)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Health Insurance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F52198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1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  <w:r w:rsidRPr="00AD4CB0"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Yes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No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0.51 (0.47, 0.55)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Primary Care Doctor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F52198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1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  <w:r w:rsidRPr="00AD4CB0"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Yes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No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0.50 (0.48, 0.52)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Delayed Care due to Cost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    No 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F52198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1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  <w:r w:rsidRPr="00AD4CB0"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A779A" w:rsidRDefault="00CC329A" w:rsidP="00E331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Yes 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79A">
              <w:rPr>
                <w:rFonts w:ascii="Times New Roman" w:hAnsi="Times New Roman" w:cs="Times New Roman"/>
                <w:sz w:val="24"/>
                <w:szCs w:val="24"/>
              </w:rPr>
              <w:t>0.75 (0.71, 0.79)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A779A" w:rsidRDefault="00CC329A" w:rsidP="00E33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C329A" w:rsidRDefault="00CC329A" w:rsidP="00CC329A">
      <w:pPr>
        <w:suppressLineNumbers/>
        <w:spacing w:after="0"/>
        <w:rPr>
          <w:rFonts w:ascii="Times New Roman" w:hAnsi="Times New Roman"/>
          <w:sz w:val="20"/>
          <w:szCs w:val="20"/>
        </w:rPr>
      </w:pPr>
      <w:r w:rsidRPr="00F52198">
        <w:rPr>
          <w:rFonts w:ascii="Times New Roman" w:hAnsi="Times New Roman" w:cs="Times New Roman"/>
          <w:sz w:val="20"/>
          <w:szCs w:val="20"/>
        </w:rPr>
        <w:t xml:space="preserve">Notes: </w:t>
      </w:r>
      <w:r>
        <w:rPr>
          <w:rFonts w:ascii="Times New Roman" w:hAnsi="Times New Roman"/>
          <w:sz w:val="20"/>
          <w:szCs w:val="20"/>
        </w:rPr>
        <w:t>Boldface indicates statistical significance (</w:t>
      </w:r>
      <w:r w:rsidRPr="00FB4C0E">
        <w:rPr>
          <w:rFonts w:ascii="Times New Roman" w:hAnsi="Times New Roman"/>
          <w:sz w:val="20"/>
          <w:szCs w:val="20"/>
          <w:vertAlign w:val="superscript"/>
        </w:rPr>
        <w:t>*</w:t>
      </w:r>
      <w:r w:rsidRPr="005A1F9B"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 xml:space="preserve">&lt;0.05, </w:t>
      </w:r>
      <w:r w:rsidRPr="00FB4C0E">
        <w:rPr>
          <w:rFonts w:ascii="Times New Roman" w:hAnsi="Times New Roman"/>
          <w:sz w:val="20"/>
          <w:szCs w:val="20"/>
          <w:vertAlign w:val="superscript"/>
        </w:rPr>
        <w:t>**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 xml:space="preserve">&lt;0.01, </w:t>
      </w:r>
      <w:r w:rsidRPr="00FB4C0E">
        <w:rPr>
          <w:rFonts w:ascii="Times New Roman" w:hAnsi="Times New Roman"/>
          <w:sz w:val="20"/>
          <w:szCs w:val="20"/>
          <w:vertAlign w:val="superscript"/>
        </w:rPr>
        <w:t>***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 xml:space="preserve">&lt;0.001). </w:t>
      </w:r>
    </w:p>
    <w:p w:rsidR="00CC329A" w:rsidRPr="009C0419" w:rsidRDefault="00CC329A" w:rsidP="00CC329A">
      <w:pPr>
        <w:suppressLineNumbers/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vertAlign w:val="superscript"/>
        </w:rPr>
        <w:t xml:space="preserve">a  </w:t>
      </w:r>
      <w:r w:rsidRPr="00F52198">
        <w:rPr>
          <w:rFonts w:ascii="Times New Roman" w:hAnsi="Times New Roman" w:cs="Times New Roman"/>
          <w:sz w:val="20"/>
          <w:szCs w:val="20"/>
        </w:rPr>
        <w:t>Includes data from the 2019 BRFSS annual survey.  Analysis excludes US territories.</w:t>
      </w:r>
      <w:r>
        <w:rPr>
          <w:rFonts w:ascii="Times New Roman" w:hAnsi="Times New Roman"/>
          <w:sz w:val="20"/>
          <w:szCs w:val="20"/>
        </w:rPr>
        <w:t xml:space="preserve">  </w:t>
      </w:r>
    </w:p>
    <w:p w:rsidR="00CC329A" w:rsidRDefault="00CC329A" w:rsidP="00CC329A">
      <w:pPr>
        <w:suppressLineNumbers/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vertAlign w:val="superscript"/>
        </w:rPr>
        <w:t>b</w:t>
      </w:r>
      <w:r>
        <w:rPr>
          <w:rFonts w:ascii="Times New Roman" w:hAnsi="Times New Roman"/>
          <w:sz w:val="20"/>
          <w:szCs w:val="20"/>
        </w:rPr>
        <w:t xml:space="preserve"> </w:t>
      </w:r>
      <w:r w:rsidRPr="00F52198">
        <w:rPr>
          <w:rFonts w:ascii="Times New Roman" w:hAnsi="Times New Roman" w:cs="Times New Roman"/>
          <w:sz w:val="20"/>
          <w:szCs w:val="20"/>
        </w:rPr>
        <w:t xml:space="preserve">Data represent odds ratios (95% confidence intervals).  </w:t>
      </w:r>
    </w:p>
    <w:p w:rsidR="00CC329A" w:rsidRDefault="00CC329A" w:rsidP="00CC329A">
      <w:pPr>
        <w:suppressLineNumbers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vertAlign w:val="superscript"/>
        </w:rPr>
        <w:t xml:space="preserve">c </w:t>
      </w:r>
      <w:r>
        <w:rPr>
          <w:rFonts w:ascii="Times New Roman" w:hAnsi="Times New Roman"/>
          <w:sz w:val="20"/>
          <w:szCs w:val="20"/>
        </w:rPr>
        <w:t xml:space="preserve"> </w:t>
      </w:r>
      <w:r w:rsidRPr="005A1F9B">
        <w:rPr>
          <w:rFonts w:ascii="Times New Roman" w:hAnsi="Times New Roman" w:cs="Times New Roman"/>
          <w:sz w:val="20"/>
          <w:szCs w:val="20"/>
        </w:rPr>
        <w:t>New</w:t>
      </w:r>
      <w:r w:rsidRPr="00F52198">
        <w:rPr>
          <w:rFonts w:ascii="Times New Roman" w:hAnsi="Times New Roman" w:cs="Times New Roman"/>
          <w:sz w:val="20"/>
          <w:szCs w:val="20"/>
        </w:rPr>
        <w:t xml:space="preserve"> England division includes: Connecticut, Maine, Massachusetts, New Hampshire, Rhode Island, and Vermont. Middle Atlantic includes: New Jersey, New York, and Pennsylvania.  East North Central division includes: Indiana, Illinois, Michigan, Ohio, and Wisconsin.  West North Central division includes: Iowa, Kansas, Minnesota, Missouri, Nebraska, North Dakota, and South Dakota.  South Atlantic division includes: Delaware, District of Columbia, Florida, Georgia, Maryland, North Carolina, South Carolina, Virginia, and West Virginia.  East South Central division includes: Alabama, Kentucky, Mississippi, and Tennessee. West South Central division includes: Arkansas, Louisiana, Oklahoma, and Texas.  Mountain division includes: Arizona, Colorado, Idaho, New Mexico, Montana, Utah, Nevada, and Wyoming. Pacific division includes: Alaska, California, Hawaii, Oregon, and Washington.  </w:t>
      </w:r>
    </w:p>
    <w:p w:rsidR="00CC329A" w:rsidRDefault="00CC329A" w:rsidP="00CC329A">
      <w:pPr>
        <w:suppressLineNumbers/>
        <w:rPr>
          <w:rFonts w:ascii="Times New Roman" w:hAnsi="Times New Roman" w:cs="Times New Roman"/>
          <w:sz w:val="20"/>
          <w:szCs w:val="20"/>
        </w:rPr>
      </w:pPr>
    </w:p>
    <w:p w:rsidR="00CC329A" w:rsidRDefault="00CC329A" w:rsidP="00CC329A">
      <w:pPr>
        <w:suppressLineNumbers/>
        <w:rPr>
          <w:rFonts w:ascii="Times New Roman" w:hAnsi="Times New Roman" w:cs="Times New Roman"/>
          <w:sz w:val="20"/>
          <w:szCs w:val="20"/>
        </w:rPr>
      </w:pPr>
    </w:p>
    <w:p w:rsidR="00CC329A" w:rsidRDefault="00CC329A" w:rsidP="00CC329A">
      <w:pPr>
        <w:suppressLineNumbers/>
        <w:rPr>
          <w:rFonts w:ascii="Times New Roman" w:hAnsi="Times New Roman" w:cs="Times New Roman"/>
          <w:sz w:val="20"/>
          <w:szCs w:val="20"/>
        </w:rPr>
      </w:pPr>
    </w:p>
    <w:p w:rsidR="00CC329A" w:rsidRDefault="00CC329A" w:rsidP="00CC329A">
      <w:pPr>
        <w:suppressLineNumbers/>
        <w:rPr>
          <w:rFonts w:ascii="Times New Roman" w:hAnsi="Times New Roman" w:cs="Times New Roman"/>
          <w:sz w:val="20"/>
          <w:szCs w:val="20"/>
        </w:rPr>
      </w:pPr>
    </w:p>
    <w:p w:rsidR="00CC329A" w:rsidRDefault="00CC329A" w:rsidP="00CC329A">
      <w:pPr>
        <w:suppressLineNumbers/>
        <w:rPr>
          <w:rFonts w:ascii="Times New Roman" w:hAnsi="Times New Roman" w:cs="Times New Roman"/>
          <w:sz w:val="20"/>
          <w:szCs w:val="20"/>
        </w:rPr>
      </w:pPr>
    </w:p>
    <w:p w:rsidR="00CC329A" w:rsidRDefault="00CC329A" w:rsidP="00CC329A">
      <w:pPr>
        <w:suppressLineNumbers/>
        <w:rPr>
          <w:rFonts w:ascii="Times New Roman" w:hAnsi="Times New Roman" w:cs="Times New Roman"/>
          <w:sz w:val="20"/>
          <w:szCs w:val="20"/>
        </w:rPr>
      </w:pPr>
    </w:p>
    <w:p w:rsidR="00CC329A" w:rsidRDefault="00CC329A" w:rsidP="00CC329A">
      <w:pPr>
        <w:suppressLineNumbers/>
        <w:rPr>
          <w:rFonts w:ascii="Times New Roman" w:hAnsi="Times New Roman" w:cs="Times New Roman"/>
          <w:sz w:val="20"/>
          <w:szCs w:val="20"/>
        </w:rPr>
      </w:pPr>
    </w:p>
    <w:p w:rsidR="00CC329A" w:rsidRDefault="00CC329A" w:rsidP="00CC329A">
      <w:pPr>
        <w:suppressLineNumbers/>
        <w:rPr>
          <w:rFonts w:ascii="Times New Roman" w:hAnsi="Times New Roman" w:cs="Times New Roman"/>
          <w:sz w:val="20"/>
          <w:szCs w:val="20"/>
        </w:rPr>
      </w:pPr>
    </w:p>
    <w:p w:rsidR="00CC329A" w:rsidRDefault="00CC329A" w:rsidP="00CC329A">
      <w:pPr>
        <w:suppressLineNumbers/>
        <w:rPr>
          <w:rFonts w:ascii="Times New Roman" w:hAnsi="Times New Roman" w:cs="Times New Roman"/>
          <w:sz w:val="20"/>
          <w:szCs w:val="20"/>
        </w:rPr>
      </w:pPr>
    </w:p>
    <w:p w:rsidR="00CC329A" w:rsidRDefault="00CC329A" w:rsidP="00CC329A">
      <w:pPr>
        <w:suppressLineNumbers/>
        <w:rPr>
          <w:rFonts w:ascii="Times New Roman" w:hAnsi="Times New Roman" w:cs="Times New Roman"/>
          <w:sz w:val="20"/>
          <w:szCs w:val="20"/>
        </w:rPr>
      </w:pPr>
    </w:p>
    <w:p w:rsidR="00CC329A" w:rsidRDefault="00CC329A" w:rsidP="00CC329A">
      <w:pPr>
        <w:suppressLineNumbers/>
        <w:rPr>
          <w:rFonts w:ascii="Times New Roman" w:hAnsi="Times New Roman" w:cs="Times New Roman"/>
          <w:sz w:val="20"/>
          <w:szCs w:val="20"/>
        </w:rPr>
      </w:pPr>
    </w:p>
    <w:p w:rsidR="00CC329A" w:rsidRDefault="00CC329A" w:rsidP="00CC329A">
      <w:pPr>
        <w:suppressLineNumbers/>
        <w:rPr>
          <w:rFonts w:ascii="Times New Roman" w:hAnsi="Times New Roman" w:cs="Times New Roman"/>
          <w:sz w:val="20"/>
          <w:szCs w:val="20"/>
        </w:rPr>
      </w:pPr>
    </w:p>
    <w:p w:rsidR="00CC329A" w:rsidRDefault="00CC329A" w:rsidP="00CC329A">
      <w:pPr>
        <w:suppressLineNumbers/>
        <w:rPr>
          <w:rFonts w:ascii="Times New Roman" w:hAnsi="Times New Roman" w:cs="Times New Roman"/>
          <w:sz w:val="20"/>
          <w:szCs w:val="20"/>
        </w:rPr>
      </w:pPr>
    </w:p>
    <w:p w:rsidR="00CC329A" w:rsidRDefault="00CC329A" w:rsidP="00CC329A">
      <w:pPr>
        <w:suppressLineNumbers/>
        <w:rPr>
          <w:rFonts w:ascii="Times New Roman" w:hAnsi="Times New Roman" w:cs="Times New Roman"/>
          <w:sz w:val="20"/>
          <w:szCs w:val="20"/>
        </w:rPr>
      </w:pPr>
    </w:p>
    <w:p w:rsidR="00CC329A" w:rsidRDefault="00CC329A" w:rsidP="00CC329A">
      <w:pPr>
        <w:suppressLineNumbers/>
        <w:rPr>
          <w:rFonts w:ascii="Times New Roman" w:hAnsi="Times New Roman" w:cs="Times New Roman"/>
          <w:sz w:val="20"/>
          <w:szCs w:val="20"/>
        </w:rPr>
      </w:pPr>
    </w:p>
    <w:p w:rsidR="00CC329A" w:rsidRDefault="00CC329A" w:rsidP="00CC329A">
      <w:pPr>
        <w:suppressLineNumbers/>
        <w:rPr>
          <w:rFonts w:ascii="Times New Roman" w:hAnsi="Times New Roman" w:cs="Times New Roman"/>
          <w:sz w:val="20"/>
          <w:szCs w:val="20"/>
        </w:rPr>
      </w:pPr>
    </w:p>
    <w:p w:rsidR="00CC329A" w:rsidRDefault="00CC329A" w:rsidP="00CC329A">
      <w:pPr>
        <w:suppressLineNumbers/>
        <w:rPr>
          <w:rFonts w:ascii="Times New Roman" w:hAnsi="Times New Roman" w:cs="Times New Roman"/>
          <w:sz w:val="20"/>
          <w:szCs w:val="20"/>
        </w:rPr>
      </w:pPr>
    </w:p>
    <w:p w:rsidR="00CC329A" w:rsidRDefault="00CC329A" w:rsidP="00CC329A">
      <w:pPr>
        <w:suppressLineNumbers/>
        <w:rPr>
          <w:rFonts w:ascii="Times New Roman" w:hAnsi="Times New Roman" w:cs="Times New Roman"/>
          <w:sz w:val="20"/>
          <w:szCs w:val="20"/>
        </w:rPr>
      </w:pPr>
    </w:p>
    <w:p w:rsidR="00CC329A" w:rsidRDefault="00CC329A" w:rsidP="00CC329A">
      <w:pPr>
        <w:suppressLineNumbers/>
        <w:rPr>
          <w:rFonts w:ascii="Times New Roman" w:hAnsi="Times New Roman" w:cs="Times New Roman"/>
          <w:sz w:val="20"/>
          <w:szCs w:val="20"/>
        </w:rPr>
      </w:pPr>
    </w:p>
    <w:p w:rsidR="00CC329A" w:rsidRDefault="00CC329A" w:rsidP="00CC329A">
      <w:pPr>
        <w:suppressLineNumbers/>
        <w:rPr>
          <w:rFonts w:ascii="Times New Roman" w:hAnsi="Times New Roman" w:cs="Times New Roman"/>
          <w:sz w:val="20"/>
          <w:szCs w:val="20"/>
        </w:rPr>
      </w:pPr>
    </w:p>
    <w:p w:rsidR="00CC329A" w:rsidRDefault="00CC329A" w:rsidP="00CC329A">
      <w:pPr>
        <w:suppressLineNumbers/>
        <w:rPr>
          <w:rFonts w:ascii="Times New Roman" w:hAnsi="Times New Roman" w:cs="Times New Roman"/>
          <w:sz w:val="20"/>
          <w:szCs w:val="20"/>
        </w:rPr>
      </w:pPr>
    </w:p>
    <w:p w:rsidR="00CC329A" w:rsidRDefault="00CC329A" w:rsidP="00CC329A">
      <w:pPr>
        <w:suppressLineNumbers/>
        <w:rPr>
          <w:rFonts w:ascii="Times New Roman" w:hAnsi="Times New Roman" w:cs="Times New Roman"/>
          <w:sz w:val="20"/>
          <w:szCs w:val="20"/>
        </w:rPr>
      </w:pPr>
    </w:p>
    <w:p w:rsidR="00CC329A" w:rsidRDefault="00CC329A" w:rsidP="00CC329A">
      <w:pPr>
        <w:suppressLineNumbers/>
        <w:rPr>
          <w:rFonts w:ascii="Times New Roman" w:hAnsi="Times New Roman" w:cs="Times New Roman"/>
          <w:sz w:val="20"/>
          <w:szCs w:val="20"/>
        </w:rPr>
      </w:pPr>
    </w:p>
    <w:tbl>
      <w:tblPr>
        <w:tblW w:w="5145" w:type="pct"/>
        <w:jc w:val="center"/>
        <w:tblLook w:val="00A0" w:firstRow="1" w:lastRow="0" w:firstColumn="1" w:lastColumn="0" w:noHBand="0" w:noVBand="0"/>
      </w:tblPr>
      <w:tblGrid>
        <w:gridCol w:w="4045"/>
        <w:gridCol w:w="3151"/>
        <w:gridCol w:w="2429"/>
      </w:tblGrid>
      <w:tr w:rsidR="00CC329A" w:rsidRPr="00F35190" w:rsidTr="00E331F9">
        <w:trPr>
          <w:jc w:val="center"/>
        </w:trPr>
        <w:tc>
          <w:tcPr>
            <w:tcW w:w="5000" w:type="pct"/>
            <w:gridSpan w:val="3"/>
            <w:tcBorders>
              <w:top w:val="single" w:sz="36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77C3C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</w:pPr>
            <w:r w:rsidRPr="00832E1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Table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Pr="00832E19">
              <w:rPr>
                <w:rFonts w:ascii="Times New Roman" w:hAnsi="Times New Roman"/>
                <w:b/>
                <w:sz w:val="24"/>
                <w:szCs w:val="24"/>
              </w:rPr>
              <w:t>. Odds Ratios from Weighted Logistic Regression Predicting Influenza Vaccination for Non-Hispanic White Participants, 2019 BRFSS</w:t>
            </w:r>
            <w:r w:rsidRPr="00977C3C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a</w:t>
            </w:r>
          </w:p>
        </w:tc>
      </w:tr>
      <w:tr w:rsidR="00CC329A" w:rsidRPr="00F35190" w:rsidTr="00E331F9">
        <w:trPr>
          <w:jc w:val="center"/>
        </w:trPr>
        <w:tc>
          <w:tcPr>
            <w:tcW w:w="5000" w:type="pct"/>
            <w:gridSpan w:val="3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77C3C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</w:pPr>
            <w:r w:rsidRPr="00832E19">
              <w:rPr>
                <w:rFonts w:ascii="Times New Roman" w:hAnsi="Times New Roman"/>
                <w:b/>
                <w:sz w:val="24"/>
                <w:szCs w:val="24"/>
              </w:rPr>
              <w:t>Odds Ratio (95% CI)</w:t>
            </w:r>
            <w:r w:rsidRPr="00977C3C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b</w:t>
            </w: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N= 237,658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/>
                <w:sz w:val="24"/>
                <w:szCs w:val="24"/>
              </w:rPr>
              <w:t>Odds Ratio (95% CI)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/>
                <w:sz w:val="24"/>
                <w:szCs w:val="24"/>
              </w:rPr>
              <w:t>P value</w:t>
            </w: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/>
                <w:sz w:val="24"/>
                <w:szCs w:val="24"/>
              </w:rPr>
              <w:t>Age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1.02 (1.02, 1.02)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vertAlign w:val="superscript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/>
                <w:sz w:val="24"/>
                <w:szCs w:val="24"/>
              </w:rPr>
              <w:t>Sex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/>
                <w:sz w:val="24"/>
                <w:szCs w:val="24"/>
              </w:rPr>
              <w:t xml:space="preserve">    </w:t>
            </w:r>
            <w:r w:rsidRPr="00832E19">
              <w:rPr>
                <w:rFonts w:ascii="Times New Roman" w:hAnsi="Times New Roman"/>
                <w:sz w:val="24"/>
                <w:szCs w:val="24"/>
              </w:rPr>
              <w:t xml:space="preserve"> Female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199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/>
                <w:sz w:val="24"/>
                <w:szCs w:val="24"/>
              </w:rPr>
              <w:t xml:space="preserve">     </w:t>
            </w:r>
            <w:r w:rsidRPr="00832E19"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0.82 (0.79, 0.84)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/>
                <w:bCs/>
                <w:sz w:val="24"/>
                <w:szCs w:val="24"/>
              </w:rPr>
              <w:t>Education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Cs/>
                <w:sz w:val="24"/>
                <w:szCs w:val="24"/>
              </w:rPr>
              <w:t xml:space="preserve">     Less than high school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0.46 (0.42, 0.50)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Cs/>
                <w:sz w:val="24"/>
                <w:szCs w:val="24"/>
              </w:rPr>
              <w:t xml:space="preserve">     High school graduate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0.56 (0.53, 0.58)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Cs/>
                <w:sz w:val="24"/>
                <w:szCs w:val="24"/>
              </w:rPr>
              <w:t xml:space="preserve">     Some college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0.66 (0.63, 0.68)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Cs/>
                <w:sz w:val="24"/>
                <w:szCs w:val="24"/>
              </w:rPr>
              <w:t xml:space="preserve">     College graduate or more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/>
                <w:sz w:val="24"/>
                <w:szCs w:val="24"/>
              </w:rPr>
              <w:t>Income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vertAlign w:val="superscript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&lt;0.05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Cs/>
                <w:sz w:val="24"/>
                <w:szCs w:val="24"/>
              </w:rPr>
              <w:t xml:space="preserve">     &lt; $25,000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0.95 (0.91, 0.99)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Cs/>
                <w:sz w:val="24"/>
                <w:szCs w:val="24"/>
              </w:rPr>
              <w:t xml:space="preserve">     $25 – $49,999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0.95 (0.91, 0.99)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Cs/>
                <w:sz w:val="24"/>
                <w:szCs w:val="24"/>
              </w:rPr>
              <w:t xml:space="preserve">     $50 – $74,999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0.95 (0.90, 0.99)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Cs/>
                <w:sz w:val="24"/>
                <w:szCs w:val="24"/>
              </w:rPr>
              <w:t xml:space="preserve">     ≥ $75,000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77C3C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</w:pPr>
            <w:r w:rsidRPr="00832E19">
              <w:rPr>
                <w:rFonts w:ascii="Times New Roman" w:hAnsi="Times New Roman"/>
                <w:b/>
                <w:sz w:val="24"/>
                <w:szCs w:val="24"/>
              </w:rPr>
              <w:t>Divisions</w:t>
            </w:r>
            <w:r w:rsidRPr="00977C3C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Cs/>
                <w:sz w:val="24"/>
                <w:szCs w:val="24"/>
              </w:rPr>
              <w:t xml:space="preserve">     New England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Cs/>
                <w:sz w:val="24"/>
                <w:szCs w:val="24"/>
              </w:rPr>
              <w:t xml:space="preserve">     Middle Atlantic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0.95 (0.88, 1.01)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Cs/>
                <w:sz w:val="24"/>
                <w:szCs w:val="24"/>
              </w:rPr>
              <w:t xml:space="preserve">     East North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0.81 (0.77, 0.85)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Cs/>
                <w:sz w:val="24"/>
                <w:szCs w:val="24"/>
              </w:rPr>
              <w:t xml:space="preserve">     West North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1.03 (0.98, 1.08)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Cs/>
                <w:sz w:val="24"/>
                <w:szCs w:val="24"/>
              </w:rPr>
              <w:t xml:space="preserve">     South Atlantic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0.94 (0.89, 0.99)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Cs/>
                <w:sz w:val="24"/>
                <w:szCs w:val="24"/>
              </w:rPr>
              <w:t xml:space="preserve">     East South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0.89 (0.83, 0.95)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Cs/>
                <w:sz w:val="24"/>
                <w:szCs w:val="24"/>
              </w:rPr>
              <w:t xml:space="preserve">     West South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0.89 (0.82, 0.96)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Cs/>
                <w:sz w:val="24"/>
                <w:szCs w:val="24"/>
              </w:rPr>
              <w:t xml:space="preserve">     Mountain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0.83 (0.79, 0.88)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Cs/>
                <w:sz w:val="24"/>
                <w:szCs w:val="24"/>
              </w:rPr>
              <w:t xml:space="preserve">     Pacific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0.85 (0.79, 0.91)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/>
                <w:bCs/>
                <w:sz w:val="24"/>
                <w:szCs w:val="24"/>
              </w:rPr>
              <w:t>Health Insurance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Cs/>
                <w:sz w:val="24"/>
                <w:szCs w:val="24"/>
              </w:rPr>
              <w:t xml:space="preserve">     Yes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Cs/>
                <w:sz w:val="24"/>
                <w:szCs w:val="24"/>
              </w:rPr>
              <w:t xml:space="preserve">     No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0.40 (0.37, 0.43)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/>
                <w:bCs/>
                <w:sz w:val="24"/>
                <w:szCs w:val="24"/>
              </w:rPr>
              <w:t>Primary Care Doctor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Cs/>
                <w:sz w:val="24"/>
                <w:szCs w:val="24"/>
              </w:rPr>
              <w:t xml:space="preserve">     Yes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Cs/>
                <w:sz w:val="24"/>
                <w:szCs w:val="24"/>
              </w:rPr>
              <w:t xml:space="preserve">     No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0.46 (0.44, 0.49)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/>
                <w:bCs/>
                <w:sz w:val="24"/>
                <w:szCs w:val="24"/>
              </w:rPr>
              <w:t>Delayed Care due to Cost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Cs/>
                <w:sz w:val="24"/>
                <w:szCs w:val="24"/>
              </w:rPr>
              <w:t xml:space="preserve">     No 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832E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32E19">
              <w:rPr>
                <w:rFonts w:ascii="Times New Roman" w:hAnsi="Times New Roman"/>
                <w:bCs/>
                <w:sz w:val="24"/>
                <w:szCs w:val="24"/>
              </w:rPr>
              <w:t xml:space="preserve">     Yes 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E19">
              <w:rPr>
                <w:rFonts w:ascii="Times New Roman" w:hAnsi="Times New Roman"/>
                <w:sz w:val="24"/>
                <w:szCs w:val="24"/>
              </w:rPr>
              <w:t>0.77 (0.72, 0.81)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832E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C329A" w:rsidRDefault="00CC329A" w:rsidP="00CC329A">
      <w:pPr>
        <w:suppressLineNumbers/>
        <w:spacing w:after="0"/>
        <w:rPr>
          <w:rFonts w:ascii="Times New Roman" w:hAnsi="Times New Roman"/>
          <w:sz w:val="20"/>
          <w:szCs w:val="20"/>
        </w:rPr>
      </w:pPr>
      <w:r w:rsidRPr="00832E19">
        <w:rPr>
          <w:rFonts w:ascii="Times New Roman" w:hAnsi="Times New Roman"/>
          <w:sz w:val="20"/>
          <w:szCs w:val="20"/>
        </w:rPr>
        <w:t xml:space="preserve">Notes: </w:t>
      </w:r>
      <w:r>
        <w:rPr>
          <w:rFonts w:ascii="Times New Roman" w:hAnsi="Times New Roman"/>
          <w:sz w:val="20"/>
          <w:szCs w:val="20"/>
        </w:rPr>
        <w:t>Boldface indicates statistical significance (*</w:t>
      </w:r>
      <w:r w:rsidRPr="005A1F9B"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&lt;0.05, **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&lt;0.01, ***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 xml:space="preserve">&lt;0.001). </w:t>
      </w:r>
      <w:r w:rsidRPr="00832E19">
        <w:rPr>
          <w:rFonts w:ascii="Times New Roman" w:hAnsi="Times New Roman"/>
          <w:sz w:val="20"/>
          <w:szCs w:val="20"/>
        </w:rPr>
        <w:t xml:space="preserve">   </w:t>
      </w:r>
    </w:p>
    <w:p w:rsidR="00CC329A" w:rsidRPr="00977C3C" w:rsidRDefault="00CC329A" w:rsidP="00CC329A">
      <w:pPr>
        <w:suppressLineNumbers/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vertAlign w:val="superscript"/>
        </w:rPr>
        <w:t>a</w:t>
      </w:r>
      <w:r>
        <w:rPr>
          <w:rFonts w:ascii="Times New Roman" w:hAnsi="Times New Roman"/>
          <w:sz w:val="20"/>
          <w:szCs w:val="20"/>
        </w:rPr>
        <w:t xml:space="preserve"> </w:t>
      </w:r>
      <w:r w:rsidRPr="00832E19">
        <w:rPr>
          <w:rFonts w:ascii="Times New Roman" w:hAnsi="Times New Roman"/>
          <w:sz w:val="20"/>
          <w:szCs w:val="20"/>
        </w:rPr>
        <w:t>Includes data from the 2019 BRFSS annual survey.</w:t>
      </w:r>
      <w:r>
        <w:rPr>
          <w:rFonts w:ascii="Times New Roman" w:hAnsi="Times New Roman"/>
          <w:sz w:val="20"/>
          <w:szCs w:val="20"/>
        </w:rPr>
        <w:t xml:space="preserve"> </w:t>
      </w:r>
      <w:r w:rsidRPr="00832E19">
        <w:rPr>
          <w:rFonts w:ascii="Times New Roman" w:hAnsi="Times New Roman"/>
          <w:sz w:val="20"/>
          <w:szCs w:val="20"/>
        </w:rPr>
        <w:t xml:space="preserve">Analysis excludes US territories.  </w:t>
      </w:r>
    </w:p>
    <w:p w:rsidR="00CC329A" w:rsidRPr="00977C3C" w:rsidRDefault="00CC329A" w:rsidP="00CC329A">
      <w:pPr>
        <w:suppressLineNumbers/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vertAlign w:val="superscript"/>
        </w:rPr>
        <w:t>b</w:t>
      </w:r>
      <w:r>
        <w:rPr>
          <w:rFonts w:ascii="Times New Roman" w:hAnsi="Times New Roman"/>
          <w:sz w:val="20"/>
          <w:szCs w:val="20"/>
        </w:rPr>
        <w:t xml:space="preserve"> </w:t>
      </w:r>
      <w:r w:rsidRPr="00F52198">
        <w:rPr>
          <w:rFonts w:ascii="Times New Roman" w:hAnsi="Times New Roman"/>
          <w:sz w:val="20"/>
          <w:szCs w:val="20"/>
        </w:rPr>
        <w:t>Data represent odds ratios (95% confidence intervals)</w:t>
      </w:r>
      <w:r>
        <w:rPr>
          <w:rFonts w:ascii="Times New Roman" w:hAnsi="Times New Roman"/>
          <w:sz w:val="20"/>
          <w:szCs w:val="20"/>
        </w:rPr>
        <w:t xml:space="preserve"> for Non-Hispanic White participants</w:t>
      </w:r>
      <w:r w:rsidRPr="00F52198">
        <w:rPr>
          <w:rFonts w:ascii="Times New Roman" w:hAnsi="Times New Roman"/>
          <w:sz w:val="20"/>
          <w:szCs w:val="20"/>
        </w:rPr>
        <w:t xml:space="preserve">.  </w:t>
      </w:r>
    </w:p>
    <w:p w:rsidR="00CC329A" w:rsidRPr="00832E19" w:rsidRDefault="00CC329A" w:rsidP="00CC329A">
      <w:pPr>
        <w:suppressLineNumbers/>
        <w:spacing w:after="0"/>
        <w:rPr>
          <w:rFonts w:ascii="Times New Roman" w:hAnsi="Times New Roman"/>
          <w:sz w:val="20"/>
          <w:szCs w:val="20"/>
        </w:rPr>
      </w:pPr>
      <w:r w:rsidRPr="00977C3C">
        <w:rPr>
          <w:rFonts w:ascii="Times New Roman" w:hAnsi="Times New Roman"/>
          <w:sz w:val="20"/>
          <w:szCs w:val="20"/>
          <w:vertAlign w:val="superscript"/>
        </w:rPr>
        <w:t>c</w:t>
      </w:r>
      <w:r w:rsidRPr="00977C3C">
        <w:rPr>
          <w:rFonts w:ascii="Times New Roman" w:hAnsi="Times New Roman"/>
          <w:sz w:val="20"/>
          <w:szCs w:val="20"/>
        </w:rPr>
        <w:t xml:space="preserve"> </w:t>
      </w:r>
      <w:r w:rsidRPr="00832E19">
        <w:rPr>
          <w:rFonts w:ascii="Times New Roman" w:hAnsi="Times New Roman"/>
          <w:sz w:val="20"/>
          <w:szCs w:val="20"/>
        </w:rPr>
        <w:t xml:space="preserve">New England division includes: Connecticut, Maine, Massachusetts, New Hampshire, Rhode Island, and Vermont. Middle Atlantic includes: New Jersey, New York, and Pennsylvania.  East North Central division includes: Indiana, Illinois, Michigan, Ohio, and Wisconsin.  West North Central division includes: Iowa, Kansas, Minnesota, Missouri, Nebraska, North Dakota, and South Dakota.  South Atlantic division includes: Delaware, District of Columbia, Florida, Georgia, Maryland, North Carolina, South Carolina, Virginia, and West Virginia.  East South Central division includes: Alabama, Kentucky, Mississippi, and Tennessee. West South Central division includes: Arkansas, </w:t>
      </w:r>
      <w:r w:rsidRPr="00832E19">
        <w:rPr>
          <w:rFonts w:ascii="Times New Roman" w:hAnsi="Times New Roman"/>
          <w:sz w:val="20"/>
          <w:szCs w:val="20"/>
        </w:rPr>
        <w:lastRenderedPageBreak/>
        <w:t xml:space="preserve">Louisiana, Oklahoma, and Texas.  Mountain division includes: Arizona, Colorado, Idaho, New Mexico, Montana, Utah, Nevada, and Wyoming. Pacific division includes: Alaska, California, Hawaii, Oregon, and Washington.  </w:t>
      </w:r>
    </w:p>
    <w:p w:rsidR="00CC329A" w:rsidRPr="00977C3C" w:rsidRDefault="00CC329A" w:rsidP="00CC329A">
      <w:pPr>
        <w:suppressLineNumbers/>
        <w:spacing w:after="0"/>
        <w:rPr>
          <w:rFonts w:ascii="Times New Roman" w:hAnsi="Times New Roman"/>
          <w:sz w:val="20"/>
          <w:szCs w:val="20"/>
          <w:vertAlign w:val="superscript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tbl>
      <w:tblPr>
        <w:tblW w:w="5145" w:type="pct"/>
        <w:jc w:val="center"/>
        <w:tblLook w:val="00A0" w:firstRow="1" w:lastRow="0" w:firstColumn="1" w:lastColumn="0" w:noHBand="0" w:noVBand="0"/>
      </w:tblPr>
      <w:tblGrid>
        <w:gridCol w:w="4045"/>
        <w:gridCol w:w="3151"/>
        <w:gridCol w:w="2429"/>
      </w:tblGrid>
      <w:tr w:rsidR="00CC329A" w:rsidRPr="00F35190" w:rsidTr="00E331F9">
        <w:trPr>
          <w:jc w:val="center"/>
        </w:trPr>
        <w:tc>
          <w:tcPr>
            <w:tcW w:w="5000" w:type="pct"/>
            <w:gridSpan w:val="3"/>
            <w:tcBorders>
              <w:top w:val="single" w:sz="36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Table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. Odds Ratios from Weighted Logistic Regression Predicting Influenza Vaccination for Non-Hispanic Black Participants, 2019 BRFSS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a</w:t>
            </w: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CC329A" w:rsidRPr="00F35190" w:rsidTr="00E331F9">
        <w:trPr>
          <w:jc w:val="center"/>
        </w:trPr>
        <w:tc>
          <w:tcPr>
            <w:tcW w:w="5000" w:type="pct"/>
            <w:gridSpan w:val="3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FB218C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Odds Ratio (95% CI)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b</w:t>
            </w: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N= 22,448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Odds Ratio (95% CI)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P value</w:t>
            </w: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Age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1.02 (1.02, 1.03)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vertAlign w:val="superscript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Sex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 xml:space="preserve">    </w:t>
            </w:r>
            <w:r w:rsidRPr="009B1119">
              <w:rPr>
                <w:rFonts w:ascii="Times New Roman" w:hAnsi="Times New Roman"/>
                <w:sz w:val="24"/>
                <w:szCs w:val="24"/>
              </w:rPr>
              <w:t xml:space="preserve"> Female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199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 xml:space="preserve">     </w:t>
            </w:r>
            <w:r w:rsidRPr="009B1119"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0.87 (0.79, 0.97)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Education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Less than high school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0.77 (0.63, 0.95)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High school graduate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0.73 (0.62, 0.84)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Some college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0.81 (0.71, 0.93)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College graduate or more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Income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0.17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&lt; $25,000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1.08 (0.92, 1.27)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$25 – $49,999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1.10 (0.95, 1.28)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$50 – $74,999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0.92 (0.78, 1.10)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≥ $75,000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FB218C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Divisions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New England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Middle Atlantic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0.90 (0.71, 1.15)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East North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0.60 (0.48, 0.75)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West North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0.91 (0.71, 1.16)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South Atlantic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0.77 (0.62, 0.95)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East South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0.75 (0.60, 0.93)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West South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0.81 (0.62, 1.06)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Mountain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0.78 (0.58, 1.06)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Pacific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0.71 (0.53, 0.95)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Health Insurance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Yes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No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0.59 (0.48, 0.73)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Primary Care Doctor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Yes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No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0.52 (0.45, 0.61)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Delayed Care due to Cost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0.05</w:t>
            </w: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No 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Yes 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0.87 (0.75, 1.00)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C329A" w:rsidRDefault="00CC329A" w:rsidP="00CC329A">
      <w:pPr>
        <w:suppressLineNumbers/>
        <w:spacing w:after="0"/>
        <w:rPr>
          <w:rFonts w:ascii="Times New Roman" w:hAnsi="Times New Roman"/>
          <w:sz w:val="20"/>
          <w:szCs w:val="20"/>
        </w:rPr>
      </w:pPr>
      <w:r w:rsidRPr="00832E19">
        <w:rPr>
          <w:rFonts w:ascii="Times New Roman" w:hAnsi="Times New Roman"/>
          <w:sz w:val="20"/>
          <w:szCs w:val="20"/>
        </w:rPr>
        <w:t xml:space="preserve">Notes: </w:t>
      </w:r>
      <w:r>
        <w:rPr>
          <w:rFonts w:ascii="Times New Roman" w:hAnsi="Times New Roman"/>
          <w:sz w:val="20"/>
          <w:szCs w:val="20"/>
        </w:rPr>
        <w:t>Boldface indicates statistical significance (*</w:t>
      </w:r>
      <w:r w:rsidRPr="005A1F9B"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&lt;0.05, **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&lt;0.01, ***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 xml:space="preserve">&lt;0.001). </w:t>
      </w:r>
      <w:r w:rsidRPr="00832E19">
        <w:rPr>
          <w:rFonts w:ascii="Times New Roman" w:hAnsi="Times New Roman"/>
          <w:sz w:val="20"/>
          <w:szCs w:val="20"/>
        </w:rPr>
        <w:t xml:space="preserve">   </w:t>
      </w:r>
    </w:p>
    <w:p w:rsidR="00CC329A" w:rsidRPr="00977C3C" w:rsidRDefault="00CC329A" w:rsidP="00CC329A">
      <w:pPr>
        <w:suppressLineNumbers/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vertAlign w:val="superscript"/>
        </w:rPr>
        <w:t>a</w:t>
      </w:r>
      <w:r>
        <w:rPr>
          <w:rFonts w:ascii="Times New Roman" w:hAnsi="Times New Roman"/>
          <w:sz w:val="20"/>
          <w:szCs w:val="20"/>
        </w:rPr>
        <w:t xml:space="preserve"> </w:t>
      </w:r>
      <w:r w:rsidRPr="00832E19">
        <w:rPr>
          <w:rFonts w:ascii="Times New Roman" w:hAnsi="Times New Roman"/>
          <w:sz w:val="20"/>
          <w:szCs w:val="20"/>
        </w:rPr>
        <w:t>Includes data from the 2019 BRFSS annual survey.</w:t>
      </w:r>
      <w:r>
        <w:rPr>
          <w:rFonts w:ascii="Times New Roman" w:hAnsi="Times New Roman"/>
          <w:sz w:val="20"/>
          <w:szCs w:val="20"/>
        </w:rPr>
        <w:t xml:space="preserve"> </w:t>
      </w:r>
      <w:r w:rsidRPr="00832E19">
        <w:rPr>
          <w:rFonts w:ascii="Times New Roman" w:hAnsi="Times New Roman"/>
          <w:sz w:val="20"/>
          <w:szCs w:val="20"/>
        </w:rPr>
        <w:t xml:space="preserve">Analysis excludes US territories.  </w:t>
      </w:r>
    </w:p>
    <w:p w:rsidR="00CC329A" w:rsidRPr="00977C3C" w:rsidRDefault="00CC329A" w:rsidP="00CC329A">
      <w:pPr>
        <w:suppressLineNumbers/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vertAlign w:val="superscript"/>
        </w:rPr>
        <w:t>b</w:t>
      </w:r>
      <w:r>
        <w:rPr>
          <w:rFonts w:ascii="Times New Roman" w:hAnsi="Times New Roman"/>
          <w:sz w:val="20"/>
          <w:szCs w:val="20"/>
        </w:rPr>
        <w:t xml:space="preserve"> </w:t>
      </w:r>
      <w:r w:rsidRPr="00F52198">
        <w:rPr>
          <w:rFonts w:ascii="Times New Roman" w:hAnsi="Times New Roman"/>
          <w:sz w:val="20"/>
          <w:szCs w:val="20"/>
        </w:rPr>
        <w:t>Data represent odds ratios (95% confidence intervals)</w:t>
      </w:r>
      <w:r>
        <w:rPr>
          <w:rFonts w:ascii="Times New Roman" w:hAnsi="Times New Roman"/>
          <w:sz w:val="20"/>
          <w:szCs w:val="20"/>
        </w:rPr>
        <w:t xml:space="preserve"> for Non-Hispanic Black participants</w:t>
      </w:r>
      <w:r w:rsidRPr="00F52198">
        <w:rPr>
          <w:rFonts w:ascii="Times New Roman" w:hAnsi="Times New Roman"/>
          <w:sz w:val="20"/>
          <w:szCs w:val="20"/>
        </w:rPr>
        <w:t xml:space="preserve">.  </w:t>
      </w:r>
    </w:p>
    <w:p w:rsidR="00CC329A" w:rsidRPr="00FB218C" w:rsidRDefault="00CC329A" w:rsidP="00CC329A">
      <w:pPr>
        <w:suppressLineNumbers/>
        <w:rPr>
          <w:rFonts w:ascii="Times New Roman" w:hAnsi="Times New Roman"/>
          <w:sz w:val="20"/>
          <w:szCs w:val="20"/>
        </w:rPr>
      </w:pPr>
      <w:r w:rsidRPr="00977C3C">
        <w:rPr>
          <w:rFonts w:ascii="Times New Roman" w:hAnsi="Times New Roman"/>
          <w:sz w:val="20"/>
          <w:szCs w:val="20"/>
          <w:vertAlign w:val="superscript"/>
        </w:rPr>
        <w:t>c</w:t>
      </w:r>
      <w:r w:rsidRPr="00977C3C">
        <w:rPr>
          <w:rFonts w:ascii="Times New Roman" w:hAnsi="Times New Roman"/>
          <w:sz w:val="20"/>
          <w:szCs w:val="20"/>
        </w:rPr>
        <w:t xml:space="preserve"> </w:t>
      </w:r>
      <w:r w:rsidRPr="00832E19">
        <w:rPr>
          <w:rFonts w:ascii="Times New Roman" w:hAnsi="Times New Roman"/>
          <w:sz w:val="20"/>
          <w:szCs w:val="20"/>
        </w:rPr>
        <w:t xml:space="preserve">New England division includes: Connecticut, Maine, Massachusetts, New Hampshire, Rhode Island, and Vermont. Middle Atlantic includes: New Jersey, New York, and Pennsylvania.  East North Central division includes: Indiana, Illinois, Michigan, Ohio, and Wisconsin.  West North Central division includes: Iowa, Kansas, Minnesota, Missouri, Nebraska, North Dakota, and South Dakota.  South Atlantic division includes: Delaware, District of Columbia, Florida, Georgia, Maryland, North Carolina, South Carolina, Virginia, and West Virginia.  East South Central division includes: Alabama, Kentucky, Mississippi, and Tennessee. West South Central division includes: Arkansas, </w:t>
      </w:r>
      <w:r w:rsidRPr="00832E19">
        <w:rPr>
          <w:rFonts w:ascii="Times New Roman" w:hAnsi="Times New Roman"/>
          <w:sz w:val="20"/>
          <w:szCs w:val="20"/>
        </w:rPr>
        <w:lastRenderedPageBreak/>
        <w:t xml:space="preserve">Louisiana, Oklahoma, and Texas.  Mountain division includes: Arizona, Colorado, Idaho, New Mexico, Montana, Utah, Nevada, and Wyoming. Pacific division includes: Alaska, California, Hawaii, Oregon, and Washington.  </w:t>
      </w: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tbl>
      <w:tblPr>
        <w:tblW w:w="5145" w:type="pct"/>
        <w:jc w:val="center"/>
        <w:tblLook w:val="00A0" w:firstRow="1" w:lastRow="0" w:firstColumn="1" w:lastColumn="0" w:noHBand="0" w:noVBand="0"/>
      </w:tblPr>
      <w:tblGrid>
        <w:gridCol w:w="4045"/>
        <w:gridCol w:w="3151"/>
        <w:gridCol w:w="2429"/>
      </w:tblGrid>
      <w:tr w:rsidR="00CC329A" w:rsidRPr="00F35190" w:rsidTr="00E331F9">
        <w:trPr>
          <w:jc w:val="center"/>
        </w:trPr>
        <w:tc>
          <w:tcPr>
            <w:tcW w:w="5000" w:type="pct"/>
            <w:gridSpan w:val="3"/>
            <w:tcBorders>
              <w:top w:val="single" w:sz="36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Table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. Odds Ratios from Weighted Logistic Regression Predicting Influenza Vaccination for Hispanic Participants, 2019 BRFSS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a</w:t>
            </w: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CC329A" w:rsidRPr="00F35190" w:rsidTr="00E331F9">
        <w:trPr>
          <w:jc w:val="center"/>
        </w:trPr>
        <w:tc>
          <w:tcPr>
            <w:tcW w:w="5000" w:type="pct"/>
            <w:gridSpan w:val="3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FB218C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Odds Ratio (95% CI)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b</w:t>
            </w: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N= 22,195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Odds Ratio (95% CI)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P value</w:t>
            </w: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Age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1.01 (1.01, 1.02)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38AC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 w:rsidRPr="007D38AC"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Sex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38AC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 w:rsidRPr="007D38AC"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 xml:space="preserve">    </w:t>
            </w:r>
            <w:r w:rsidRPr="009B1119">
              <w:rPr>
                <w:rFonts w:ascii="Times New Roman" w:hAnsi="Times New Roman"/>
                <w:sz w:val="24"/>
                <w:szCs w:val="24"/>
              </w:rPr>
              <w:t xml:space="preserve"> Female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199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 xml:space="preserve">     </w:t>
            </w:r>
            <w:r w:rsidRPr="009B1119"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0.77 (0.69, 0.86)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Education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Less than high school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0.82 (0.69, 0.97)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High school graduate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0.70 (0.60, 0.82)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Some college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0.80 (0.68, 0.93)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College graduate or more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Income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0.07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&lt; $25,000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1.24 (1.05, 1.47)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$25 – $49,999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1.10 (0.93, 1.30)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$50 – $74,999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1.11 (0.90, 1.35)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≥ $75,000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FB218C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Divisions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New England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Middle Atlantic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0.98 (0.79, 1.21)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East North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0.73 (0.59, 0.89)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West North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0.95 (0.77, 1.16)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South Atlantic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0.65 (0.53, 0.81)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East South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1.23 (0.84, 1.79)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West South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0.95 (0.75, 1.18)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Mountain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0.79 (0.66, 0.95)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Pacific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0.77 (0.64, 0.91)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Health Insurance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Yes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No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0.57 (0.49, 0.66)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Primary Care Doctor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Yes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No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0.54 (0.48, 0.62)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Delayed Care due to Cost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No 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Yes 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0.68 (0.59, 0.78)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C329A" w:rsidRDefault="00CC329A" w:rsidP="00CC329A">
      <w:pPr>
        <w:suppressLineNumbers/>
        <w:spacing w:after="0"/>
        <w:rPr>
          <w:rFonts w:ascii="Times New Roman" w:hAnsi="Times New Roman"/>
          <w:sz w:val="20"/>
          <w:szCs w:val="20"/>
        </w:rPr>
      </w:pPr>
      <w:r w:rsidRPr="00832E19">
        <w:rPr>
          <w:rFonts w:ascii="Times New Roman" w:hAnsi="Times New Roman"/>
          <w:sz w:val="20"/>
          <w:szCs w:val="20"/>
        </w:rPr>
        <w:t xml:space="preserve">Notes: </w:t>
      </w:r>
      <w:r>
        <w:rPr>
          <w:rFonts w:ascii="Times New Roman" w:hAnsi="Times New Roman"/>
          <w:sz w:val="20"/>
          <w:szCs w:val="20"/>
        </w:rPr>
        <w:t>Boldface indicates statistical significance (*</w:t>
      </w:r>
      <w:r w:rsidRPr="005A1F9B"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&lt;0.05, **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&lt;0.01, ***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 xml:space="preserve">&lt;0.001). </w:t>
      </w:r>
      <w:r w:rsidRPr="00832E19">
        <w:rPr>
          <w:rFonts w:ascii="Times New Roman" w:hAnsi="Times New Roman"/>
          <w:sz w:val="20"/>
          <w:szCs w:val="20"/>
        </w:rPr>
        <w:t xml:space="preserve">   </w:t>
      </w:r>
    </w:p>
    <w:p w:rsidR="00CC329A" w:rsidRPr="00977C3C" w:rsidRDefault="00CC329A" w:rsidP="00CC329A">
      <w:pPr>
        <w:suppressLineNumbers/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vertAlign w:val="superscript"/>
        </w:rPr>
        <w:t>a</w:t>
      </w:r>
      <w:r>
        <w:rPr>
          <w:rFonts w:ascii="Times New Roman" w:hAnsi="Times New Roman"/>
          <w:sz w:val="20"/>
          <w:szCs w:val="20"/>
        </w:rPr>
        <w:t xml:space="preserve"> </w:t>
      </w:r>
      <w:r w:rsidRPr="00832E19">
        <w:rPr>
          <w:rFonts w:ascii="Times New Roman" w:hAnsi="Times New Roman"/>
          <w:sz w:val="20"/>
          <w:szCs w:val="20"/>
        </w:rPr>
        <w:t>Includes data from the 2019 BRFSS annual survey.</w:t>
      </w:r>
      <w:r>
        <w:rPr>
          <w:rFonts w:ascii="Times New Roman" w:hAnsi="Times New Roman"/>
          <w:sz w:val="20"/>
          <w:szCs w:val="20"/>
        </w:rPr>
        <w:t xml:space="preserve"> </w:t>
      </w:r>
      <w:r w:rsidRPr="00832E19">
        <w:rPr>
          <w:rFonts w:ascii="Times New Roman" w:hAnsi="Times New Roman"/>
          <w:sz w:val="20"/>
          <w:szCs w:val="20"/>
        </w:rPr>
        <w:t xml:space="preserve">Analysis excludes US territories.  </w:t>
      </w:r>
    </w:p>
    <w:p w:rsidR="00CC329A" w:rsidRPr="00977C3C" w:rsidRDefault="00CC329A" w:rsidP="00CC329A">
      <w:pPr>
        <w:suppressLineNumbers/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vertAlign w:val="superscript"/>
        </w:rPr>
        <w:t>b</w:t>
      </w:r>
      <w:r>
        <w:rPr>
          <w:rFonts w:ascii="Times New Roman" w:hAnsi="Times New Roman"/>
          <w:sz w:val="20"/>
          <w:szCs w:val="20"/>
        </w:rPr>
        <w:t xml:space="preserve"> </w:t>
      </w:r>
      <w:r w:rsidRPr="00F52198">
        <w:rPr>
          <w:rFonts w:ascii="Times New Roman" w:hAnsi="Times New Roman"/>
          <w:sz w:val="20"/>
          <w:szCs w:val="20"/>
        </w:rPr>
        <w:t>Data represent odds ratios (95% confidence intervals)</w:t>
      </w:r>
      <w:r>
        <w:rPr>
          <w:rFonts w:ascii="Times New Roman" w:hAnsi="Times New Roman"/>
          <w:sz w:val="20"/>
          <w:szCs w:val="20"/>
        </w:rPr>
        <w:t xml:space="preserve"> for Hispanic participants</w:t>
      </w:r>
      <w:r w:rsidRPr="00F52198">
        <w:rPr>
          <w:rFonts w:ascii="Times New Roman" w:hAnsi="Times New Roman"/>
          <w:sz w:val="20"/>
          <w:szCs w:val="20"/>
        </w:rPr>
        <w:t xml:space="preserve">.  </w:t>
      </w:r>
    </w:p>
    <w:p w:rsidR="00CC329A" w:rsidRDefault="00CC329A" w:rsidP="00CC329A">
      <w:pPr>
        <w:suppressLineNumbers/>
        <w:rPr>
          <w:rFonts w:ascii="Times New Roman" w:hAnsi="Times New Roman"/>
          <w:sz w:val="20"/>
          <w:szCs w:val="20"/>
        </w:rPr>
      </w:pPr>
      <w:r w:rsidRPr="00977C3C">
        <w:rPr>
          <w:rFonts w:ascii="Times New Roman" w:hAnsi="Times New Roman"/>
          <w:sz w:val="20"/>
          <w:szCs w:val="20"/>
          <w:vertAlign w:val="superscript"/>
        </w:rPr>
        <w:t>c</w:t>
      </w:r>
      <w:r w:rsidRPr="00977C3C">
        <w:rPr>
          <w:rFonts w:ascii="Times New Roman" w:hAnsi="Times New Roman"/>
          <w:sz w:val="20"/>
          <w:szCs w:val="20"/>
        </w:rPr>
        <w:t xml:space="preserve"> </w:t>
      </w:r>
      <w:r w:rsidRPr="00832E19">
        <w:rPr>
          <w:rFonts w:ascii="Times New Roman" w:hAnsi="Times New Roman"/>
          <w:sz w:val="20"/>
          <w:szCs w:val="20"/>
        </w:rPr>
        <w:t xml:space="preserve">New England division includes: Connecticut, Maine, Massachusetts, New Hampshire, Rhode Island, and Vermont. Middle Atlantic includes: New Jersey, New York, and Pennsylvania.  East North Central division includes: Indiana, Illinois, Michigan, Ohio, and Wisconsin.  West North Central division includes: Iowa, Kansas, Minnesota, Missouri, Nebraska, North Dakota, and South Dakota.  South Atlantic division includes: Delaware, District of Columbia, Florida, Georgia, Maryland, North Carolina, South Carolina, Virginia, and West Virginia.  East South Central division includes: Alabama, Kentucky, Mississippi, and Tennessee. West South Central division includes: Arkansas, </w:t>
      </w:r>
      <w:r w:rsidRPr="00832E19">
        <w:rPr>
          <w:rFonts w:ascii="Times New Roman" w:hAnsi="Times New Roman"/>
          <w:sz w:val="20"/>
          <w:szCs w:val="20"/>
        </w:rPr>
        <w:lastRenderedPageBreak/>
        <w:t xml:space="preserve">Louisiana, Oklahoma, and Texas.  Mountain division includes: Arizona, Colorado, Idaho, New Mexico, Montana, Utah, Nevada, and Wyoming. Pacific division includes: Alaska, California, Hawaii, Oregon, and Washington.  </w:t>
      </w: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tbl>
      <w:tblPr>
        <w:tblW w:w="5145" w:type="pct"/>
        <w:jc w:val="center"/>
        <w:tblLook w:val="00A0" w:firstRow="1" w:lastRow="0" w:firstColumn="1" w:lastColumn="0" w:noHBand="0" w:noVBand="0"/>
      </w:tblPr>
      <w:tblGrid>
        <w:gridCol w:w="4045"/>
        <w:gridCol w:w="3151"/>
        <w:gridCol w:w="2429"/>
      </w:tblGrid>
      <w:tr w:rsidR="00CC329A" w:rsidRPr="00F35190" w:rsidTr="00E331F9">
        <w:trPr>
          <w:jc w:val="center"/>
        </w:trPr>
        <w:tc>
          <w:tcPr>
            <w:tcW w:w="5000" w:type="pct"/>
            <w:gridSpan w:val="3"/>
            <w:tcBorders>
              <w:top w:val="single" w:sz="36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Table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. Odds Ratios from Weighted Logistic Regression Predicting Influenza Vaccination for Asian Participants, 2019 BRFSS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a</w:t>
            </w: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CC329A" w:rsidRPr="00F35190" w:rsidTr="00E331F9">
        <w:trPr>
          <w:jc w:val="center"/>
        </w:trPr>
        <w:tc>
          <w:tcPr>
            <w:tcW w:w="5000" w:type="pct"/>
            <w:gridSpan w:val="3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FB218C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Odds Ratio (95% CI)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b</w:t>
            </w: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N= 6,082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Odds Ratio (95% CI)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P value</w:t>
            </w: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Age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1.02 (1.01, 1.02)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Sex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0.25</w:t>
            </w: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 xml:space="preserve">    </w:t>
            </w:r>
            <w:r w:rsidRPr="009B1119">
              <w:rPr>
                <w:rFonts w:ascii="Times New Roman" w:hAnsi="Times New Roman"/>
                <w:sz w:val="24"/>
                <w:szCs w:val="24"/>
              </w:rPr>
              <w:t xml:space="preserve"> Female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199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 xml:space="preserve">     </w:t>
            </w:r>
            <w:r w:rsidRPr="009B1119"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0.89 (0.72, 1.09)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Education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0.21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Less than high school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1.30 (0.64, 2.65)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High school graduate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0.73 (0.59, 1.08)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Some college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0.81 (0.61, 1.08)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College graduate or more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Income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0.34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&lt; $25,000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0.85 (0.63, 1.14)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$25 – $49,999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0.77 (0.57, 1.05)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$50 – $74,999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0.83 (0.61, 1.13)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≥ $75,000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FB218C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Divisions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0.85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New England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Middle Atlantic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0.89 (0.61, 1.32)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East North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1.18 (0.81, 1.74)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West North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1.14 (0.78, 1.66)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South Atlantic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1.09 (0.74, 1.61)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East South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0.83 (0.36, 1.91)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West South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0.89 (0.54, 1.46)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Mountain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 (0.64, 1.55)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Pacific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1.08 (0.78, 1.49)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Health Insurance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vertAlign w:val="superscript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&lt;0.05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</w:t>
            </w: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Yes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No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0.61 (0.40, 0.93)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Primary Care Doctor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Yes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No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0.53 (0.41, 0.69)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Delayed Care due to Cost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0.07</w:t>
            </w: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No 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Yes 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0.73 (0.52, 1.03)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C329A" w:rsidRDefault="00CC329A" w:rsidP="00CC329A">
      <w:pPr>
        <w:suppressLineNumbers/>
        <w:spacing w:after="0"/>
        <w:rPr>
          <w:rFonts w:ascii="Times New Roman" w:hAnsi="Times New Roman"/>
          <w:sz w:val="20"/>
          <w:szCs w:val="20"/>
        </w:rPr>
      </w:pPr>
      <w:r w:rsidRPr="00832E19">
        <w:rPr>
          <w:rFonts w:ascii="Times New Roman" w:hAnsi="Times New Roman"/>
          <w:sz w:val="20"/>
          <w:szCs w:val="20"/>
        </w:rPr>
        <w:t xml:space="preserve">Notes: </w:t>
      </w:r>
      <w:r>
        <w:rPr>
          <w:rFonts w:ascii="Times New Roman" w:hAnsi="Times New Roman"/>
          <w:sz w:val="20"/>
          <w:szCs w:val="20"/>
        </w:rPr>
        <w:t>Boldface indicates statistical significance (*</w:t>
      </w:r>
      <w:r w:rsidRPr="005A1F9B"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&lt;0.05, **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&lt;0.01, ***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 xml:space="preserve">&lt;0.001). </w:t>
      </w:r>
      <w:r w:rsidRPr="00832E19">
        <w:rPr>
          <w:rFonts w:ascii="Times New Roman" w:hAnsi="Times New Roman"/>
          <w:sz w:val="20"/>
          <w:szCs w:val="20"/>
        </w:rPr>
        <w:t xml:space="preserve">   </w:t>
      </w:r>
    </w:p>
    <w:p w:rsidR="00CC329A" w:rsidRPr="00977C3C" w:rsidRDefault="00CC329A" w:rsidP="00CC329A">
      <w:pPr>
        <w:suppressLineNumbers/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vertAlign w:val="superscript"/>
        </w:rPr>
        <w:t>a</w:t>
      </w:r>
      <w:r>
        <w:rPr>
          <w:rFonts w:ascii="Times New Roman" w:hAnsi="Times New Roman"/>
          <w:sz w:val="20"/>
          <w:szCs w:val="20"/>
        </w:rPr>
        <w:t xml:space="preserve"> </w:t>
      </w:r>
      <w:r w:rsidRPr="00832E19">
        <w:rPr>
          <w:rFonts w:ascii="Times New Roman" w:hAnsi="Times New Roman"/>
          <w:sz w:val="20"/>
          <w:szCs w:val="20"/>
        </w:rPr>
        <w:t>Includes data from the 2019 BRFSS annual survey.</w:t>
      </w:r>
      <w:r>
        <w:rPr>
          <w:rFonts w:ascii="Times New Roman" w:hAnsi="Times New Roman"/>
          <w:sz w:val="20"/>
          <w:szCs w:val="20"/>
        </w:rPr>
        <w:t xml:space="preserve"> </w:t>
      </w:r>
      <w:r w:rsidRPr="00832E19">
        <w:rPr>
          <w:rFonts w:ascii="Times New Roman" w:hAnsi="Times New Roman"/>
          <w:sz w:val="20"/>
          <w:szCs w:val="20"/>
        </w:rPr>
        <w:t xml:space="preserve">Analysis excludes US territories.  </w:t>
      </w:r>
    </w:p>
    <w:p w:rsidR="00CC329A" w:rsidRPr="00977C3C" w:rsidRDefault="00CC329A" w:rsidP="00CC329A">
      <w:pPr>
        <w:suppressLineNumbers/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vertAlign w:val="superscript"/>
        </w:rPr>
        <w:t>b</w:t>
      </w:r>
      <w:r>
        <w:rPr>
          <w:rFonts w:ascii="Times New Roman" w:hAnsi="Times New Roman"/>
          <w:sz w:val="20"/>
          <w:szCs w:val="20"/>
        </w:rPr>
        <w:t xml:space="preserve"> </w:t>
      </w:r>
      <w:r w:rsidRPr="00F52198">
        <w:rPr>
          <w:rFonts w:ascii="Times New Roman" w:hAnsi="Times New Roman"/>
          <w:sz w:val="20"/>
          <w:szCs w:val="20"/>
        </w:rPr>
        <w:t>Data represent odds ratios (95% confidence intervals)</w:t>
      </w:r>
      <w:r>
        <w:rPr>
          <w:rFonts w:ascii="Times New Roman" w:hAnsi="Times New Roman"/>
          <w:sz w:val="20"/>
          <w:szCs w:val="20"/>
        </w:rPr>
        <w:t xml:space="preserve"> for Asian participants</w:t>
      </w:r>
      <w:r w:rsidRPr="00F52198">
        <w:rPr>
          <w:rFonts w:ascii="Times New Roman" w:hAnsi="Times New Roman"/>
          <w:sz w:val="20"/>
          <w:szCs w:val="20"/>
        </w:rPr>
        <w:t xml:space="preserve">.  </w:t>
      </w:r>
    </w:p>
    <w:p w:rsidR="00CC329A" w:rsidRDefault="00CC329A" w:rsidP="00CC329A">
      <w:pPr>
        <w:suppressLineNumbers/>
        <w:rPr>
          <w:rFonts w:ascii="Times New Roman" w:hAnsi="Times New Roman"/>
          <w:sz w:val="20"/>
          <w:szCs w:val="20"/>
        </w:rPr>
      </w:pPr>
      <w:r w:rsidRPr="00977C3C">
        <w:rPr>
          <w:rFonts w:ascii="Times New Roman" w:hAnsi="Times New Roman"/>
          <w:sz w:val="20"/>
          <w:szCs w:val="20"/>
          <w:vertAlign w:val="superscript"/>
        </w:rPr>
        <w:t>c</w:t>
      </w:r>
      <w:r w:rsidRPr="00977C3C">
        <w:rPr>
          <w:rFonts w:ascii="Times New Roman" w:hAnsi="Times New Roman"/>
          <w:sz w:val="20"/>
          <w:szCs w:val="20"/>
        </w:rPr>
        <w:t xml:space="preserve"> </w:t>
      </w:r>
      <w:r w:rsidRPr="00832E19">
        <w:rPr>
          <w:rFonts w:ascii="Times New Roman" w:hAnsi="Times New Roman"/>
          <w:sz w:val="20"/>
          <w:szCs w:val="20"/>
        </w:rPr>
        <w:t xml:space="preserve">New England division includes: Connecticut, Maine, Massachusetts, New Hampshire, Rhode Island, and Vermont. Middle Atlantic includes: New Jersey, New York, and Pennsylvania.  East North Central division includes: Indiana, Illinois, Michigan, Ohio, and Wisconsin.  West North Central division includes: Iowa, Kansas, Minnesota, Missouri, Nebraska, North Dakota, and South Dakota.  South Atlantic division includes: Delaware, District of Columbia, Florida, Georgia, Maryland, North Carolina, South Carolina, Virginia, and West Virginia.  East South Central division includes: Alabama, Kentucky, Mississippi, and Tennessee. West South Central division includes: Arkansas, </w:t>
      </w:r>
      <w:r w:rsidRPr="00832E19">
        <w:rPr>
          <w:rFonts w:ascii="Times New Roman" w:hAnsi="Times New Roman"/>
          <w:sz w:val="20"/>
          <w:szCs w:val="20"/>
        </w:rPr>
        <w:lastRenderedPageBreak/>
        <w:t xml:space="preserve">Louisiana, Oklahoma, and Texas.  Mountain division includes: Arizona, Colorado, Idaho, New Mexico, Montana, Utah, Nevada, and Wyoming. Pacific division includes: Alaska, California, Hawaii, Oregon, and Washington.  </w:t>
      </w:r>
    </w:p>
    <w:p w:rsidR="00CC329A" w:rsidRDefault="00CC329A" w:rsidP="00CC329A">
      <w:pPr>
        <w:suppressLineNumbers/>
        <w:spacing w:line="480" w:lineRule="auto"/>
        <w:rPr>
          <w:rFonts w:ascii="Times New Roman" w:hAnsi="Times New Roman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Times New Roman" w:hAnsi="Times New Roman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Times New Roman" w:hAnsi="Times New Roman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Times New Roman" w:hAnsi="Times New Roman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Times New Roman" w:hAnsi="Times New Roman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Times New Roman" w:hAnsi="Times New Roman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Times New Roman" w:hAnsi="Times New Roman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Times New Roman" w:hAnsi="Times New Roman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Times New Roman" w:hAnsi="Times New Roman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Times New Roman" w:hAnsi="Times New Roman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Times New Roman" w:hAnsi="Times New Roman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Times New Roman" w:hAnsi="Times New Roman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Times New Roman" w:hAnsi="Times New Roman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Times New Roman" w:hAnsi="Times New Roman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Times New Roman" w:hAnsi="Times New Roman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Times New Roman" w:hAnsi="Times New Roman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Times New Roman" w:hAnsi="Times New Roman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Times New Roman" w:hAnsi="Times New Roman"/>
          <w:sz w:val="20"/>
          <w:szCs w:val="20"/>
        </w:rPr>
      </w:pPr>
    </w:p>
    <w:p w:rsidR="00CC329A" w:rsidRPr="00FB218C" w:rsidRDefault="00CC329A" w:rsidP="00CC329A">
      <w:pPr>
        <w:suppressLineNumbers/>
        <w:spacing w:line="480" w:lineRule="auto"/>
        <w:rPr>
          <w:rFonts w:ascii="Times New Roman" w:hAnsi="Times New Roman"/>
          <w:sz w:val="20"/>
          <w:szCs w:val="20"/>
        </w:rPr>
      </w:pPr>
    </w:p>
    <w:tbl>
      <w:tblPr>
        <w:tblW w:w="5145" w:type="pct"/>
        <w:jc w:val="center"/>
        <w:tblLook w:val="00A0" w:firstRow="1" w:lastRow="0" w:firstColumn="1" w:lastColumn="0" w:noHBand="0" w:noVBand="0"/>
      </w:tblPr>
      <w:tblGrid>
        <w:gridCol w:w="4045"/>
        <w:gridCol w:w="3151"/>
        <w:gridCol w:w="2429"/>
      </w:tblGrid>
      <w:tr w:rsidR="00CC329A" w:rsidRPr="00F35190" w:rsidTr="00E331F9">
        <w:trPr>
          <w:jc w:val="center"/>
        </w:trPr>
        <w:tc>
          <w:tcPr>
            <w:tcW w:w="5000" w:type="pct"/>
            <w:gridSpan w:val="3"/>
            <w:tcBorders>
              <w:top w:val="single" w:sz="36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Table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. Odds Ratios from Weighted Logistic Regression Predicting Influenza Vaccination for American Indian and Alaska Native Participants, 2019 BRFSS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a</w:t>
            </w: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CC329A" w:rsidRPr="00F35190" w:rsidTr="00E331F9">
        <w:trPr>
          <w:jc w:val="center"/>
        </w:trPr>
        <w:tc>
          <w:tcPr>
            <w:tcW w:w="5000" w:type="pct"/>
            <w:gridSpan w:val="3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FB218C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Odds Ratio (95% CI)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b</w:t>
            </w: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N= 4,818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Odds Ratio (95% CI)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P value</w:t>
            </w: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Age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1.02 (1.01, 1.02)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Sex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&lt;0.05</w:t>
            </w:r>
            <w:r w:rsidRPr="009B1119">
              <w:rPr>
                <w:rFonts w:ascii="Times New Roman" w:hAnsi="Times New Roman"/>
                <w:b/>
                <w:bCs/>
                <w:vertAlign w:val="superscript"/>
              </w:rPr>
              <w:t>*</w:t>
            </w: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 xml:space="preserve">    </w:t>
            </w:r>
            <w:r w:rsidRPr="009B1119">
              <w:rPr>
                <w:rFonts w:ascii="Times New Roman" w:hAnsi="Times New Roman"/>
                <w:sz w:val="24"/>
                <w:szCs w:val="24"/>
              </w:rPr>
              <w:t xml:space="preserve"> Female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199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 xml:space="preserve">     </w:t>
            </w:r>
            <w:r w:rsidRPr="009B1119"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0.72 (0.55, 0.93)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Education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0.06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Less than high school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0.77 (0.47, 1.24)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High school graduate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0.60 (0.40, 0.90)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Some college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0.64 (0.44, 0.92)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College graduate or more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Income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0.65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&lt; $25,000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1.25 (0.88, 1.76)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$25 – $49,999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1.14 (0.75, 1.72)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$50 – $74,999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1.16 (0.69, 1.97)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≥ $75,000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FB218C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Divisions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vertAlign w:val="superscript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New England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Middle Atlantic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1.20 (0.53, 2.74)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East North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1.11 (0.52, 2.35)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West North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1.68 (0.90, 3.13)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South Atlantic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1.10 (0.58, 2.08)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East South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1.04 (0.52, 2.09)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West South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1.48 (0.74, 2.97)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Mountain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2.06 (1.12, 3.79)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Pacific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1.31 (0.67, 2.58)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Health Insurance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Yes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No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0.46 (0.30, 0.71)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Primary Care Doctor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Yes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No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0.56 (0.42, 0.73)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Delayed Care due to Cost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0.21</w:t>
            </w: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No 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Yes 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0.81 (0.59, 1.12)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C329A" w:rsidRDefault="00CC329A" w:rsidP="00CC329A">
      <w:pPr>
        <w:suppressLineNumbers/>
        <w:spacing w:after="0"/>
        <w:rPr>
          <w:rFonts w:ascii="Times New Roman" w:hAnsi="Times New Roman"/>
          <w:sz w:val="20"/>
          <w:szCs w:val="20"/>
        </w:rPr>
      </w:pPr>
      <w:r w:rsidRPr="00832E19">
        <w:rPr>
          <w:rFonts w:ascii="Times New Roman" w:hAnsi="Times New Roman"/>
          <w:sz w:val="20"/>
          <w:szCs w:val="20"/>
        </w:rPr>
        <w:t xml:space="preserve">Notes: </w:t>
      </w:r>
      <w:r>
        <w:rPr>
          <w:rFonts w:ascii="Times New Roman" w:hAnsi="Times New Roman"/>
          <w:sz w:val="20"/>
          <w:szCs w:val="20"/>
        </w:rPr>
        <w:t>Boldface indicates statistical significance (*</w:t>
      </w:r>
      <w:r w:rsidRPr="005A1F9B"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&lt;0.05, **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&lt;0.01, ***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 xml:space="preserve">&lt;0.001). </w:t>
      </w:r>
      <w:r w:rsidRPr="00832E19">
        <w:rPr>
          <w:rFonts w:ascii="Times New Roman" w:hAnsi="Times New Roman"/>
          <w:sz w:val="20"/>
          <w:szCs w:val="20"/>
        </w:rPr>
        <w:t xml:space="preserve">   </w:t>
      </w:r>
    </w:p>
    <w:p w:rsidR="00CC329A" w:rsidRPr="00977C3C" w:rsidRDefault="00CC329A" w:rsidP="00CC329A">
      <w:pPr>
        <w:suppressLineNumbers/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vertAlign w:val="superscript"/>
        </w:rPr>
        <w:t>a</w:t>
      </w:r>
      <w:r>
        <w:rPr>
          <w:rFonts w:ascii="Times New Roman" w:hAnsi="Times New Roman"/>
          <w:sz w:val="20"/>
          <w:szCs w:val="20"/>
        </w:rPr>
        <w:t xml:space="preserve"> </w:t>
      </w:r>
      <w:r w:rsidRPr="00832E19">
        <w:rPr>
          <w:rFonts w:ascii="Times New Roman" w:hAnsi="Times New Roman"/>
          <w:sz w:val="20"/>
          <w:szCs w:val="20"/>
        </w:rPr>
        <w:t>Includes data from the 2019 BRFSS annual survey.</w:t>
      </w:r>
      <w:r>
        <w:rPr>
          <w:rFonts w:ascii="Times New Roman" w:hAnsi="Times New Roman"/>
          <w:sz w:val="20"/>
          <w:szCs w:val="20"/>
        </w:rPr>
        <w:t xml:space="preserve"> </w:t>
      </w:r>
      <w:r w:rsidRPr="00832E19">
        <w:rPr>
          <w:rFonts w:ascii="Times New Roman" w:hAnsi="Times New Roman"/>
          <w:sz w:val="20"/>
          <w:szCs w:val="20"/>
        </w:rPr>
        <w:t xml:space="preserve">Analysis excludes US territories.  </w:t>
      </w:r>
    </w:p>
    <w:p w:rsidR="00CC329A" w:rsidRPr="00977C3C" w:rsidRDefault="00CC329A" w:rsidP="00CC329A">
      <w:pPr>
        <w:suppressLineNumbers/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vertAlign w:val="superscript"/>
        </w:rPr>
        <w:t>b</w:t>
      </w:r>
      <w:r>
        <w:rPr>
          <w:rFonts w:ascii="Times New Roman" w:hAnsi="Times New Roman"/>
          <w:sz w:val="20"/>
          <w:szCs w:val="20"/>
        </w:rPr>
        <w:t xml:space="preserve"> </w:t>
      </w:r>
      <w:r w:rsidRPr="00F52198">
        <w:rPr>
          <w:rFonts w:ascii="Times New Roman" w:hAnsi="Times New Roman"/>
          <w:sz w:val="20"/>
          <w:szCs w:val="20"/>
        </w:rPr>
        <w:t>Data represent odds ratios (95% confidence intervals)</w:t>
      </w:r>
      <w:r>
        <w:rPr>
          <w:rFonts w:ascii="Times New Roman" w:hAnsi="Times New Roman"/>
          <w:sz w:val="20"/>
          <w:szCs w:val="20"/>
        </w:rPr>
        <w:t xml:space="preserve"> for American Indian and Alaska Native participants</w:t>
      </w:r>
      <w:r w:rsidRPr="00F52198">
        <w:rPr>
          <w:rFonts w:ascii="Times New Roman" w:hAnsi="Times New Roman"/>
          <w:sz w:val="20"/>
          <w:szCs w:val="20"/>
        </w:rPr>
        <w:t xml:space="preserve">.  </w:t>
      </w:r>
    </w:p>
    <w:p w:rsidR="00CC329A" w:rsidRDefault="00CC329A" w:rsidP="00CC329A">
      <w:pPr>
        <w:suppressLineNumbers/>
        <w:rPr>
          <w:rFonts w:ascii="Times New Roman" w:hAnsi="Times New Roman"/>
          <w:sz w:val="20"/>
          <w:szCs w:val="20"/>
        </w:rPr>
      </w:pPr>
      <w:r w:rsidRPr="00977C3C">
        <w:rPr>
          <w:rFonts w:ascii="Times New Roman" w:hAnsi="Times New Roman"/>
          <w:sz w:val="20"/>
          <w:szCs w:val="20"/>
          <w:vertAlign w:val="superscript"/>
        </w:rPr>
        <w:t>c</w:t>
      </w:r>
      <w:r w:rsidRPr="00977C3C">
        <w:rPr>
          <w:rFonts w:ascii="Times New Roman" w:hAnsi="Times New Roman"/>
          <w:sz w:val="20"/>
          <w:szCs w:val="20"/>
        </w:rPr>
        <w:t xml:space="preserve"> </w:t>
      </w:r>
      <w:r w:rsidRPr="00832E19">
        <w:rPr>
          <w:rFonts w:ascii="Times New Roman" w:hAnsi="Times New Roman"/>
          <w:sz w:val="20"/>
          <w:szCs w:val="20"/>
        </w:rPr>
        <w:t xml:space="preserve">New England division includes: Connecticut, Maine, Massachusetts, New Hampshire, Rhode Island, and Vermont. Middle Atlantic includes: New Jersey, New York, and Pennsylvania.  East North Central division includes: Indiana, Illinois, Michigan, Ohio, and Wisconsin.  West North Central division includes: Iowa, Kansas, Minnesota, Missouri, Nebraska, North Dakota, and South Dakota.  South Atlantic division includes: Delaware, District of Columbia, Florida, Georgia, Maryland, North Carolina, South Carolina, Virginia, and West Virginia.  East South Central division includes: Alabama, Kentucky, Mississippi, and Tennessee. West South Central division includes: Arkansas, </w:t>
      </w:r>
      <w:r w:rsidRPr="00832E19">
        <w:rPr>
          <w:rFonts w:ascii="Times New Roman" w:hAnsi="Times New Roman"/>
          <w:sz w:val="20"/>
          <w:szCs w:val="20"/>
        </w:rPr>
        <w:lastRenderedPageBreak/>
        <w:t xml:space="preserve">Louisiana, Oklahoma, and Texas.  Mountain division includes: Arizona, Colorado, Idaho, New Mexico, Montana, Utah, Nevada, and Wyoming. Pacific division includes: Alaska, California, Hawaii, Oregon, and Washington.  </w:t>
      </w: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p w:rsidR="00CC329A" w:rsidRDefault="00CC329A" w:rsidP="00CC329A">
      <w:pPr>
        <w:suppressLineNumbers/>
        <w:spacing w:line="480" w:lineRule="auto"/>
        <w:rPr>
          <w:rFonts w:ascii="Arial" w:hAnsi="Arial" w:cs="Arial"/>
          <w:sz w:val="20"/>
          <w:szCs w:val="20"/>
        </w:rPr>
      </w:pPr>
    </w:p>
    <w:tbl>
      <w:tblPr>
        <w:tblW w:w="5145" w:type="pct"/>
        <w:jc w:val="center"/>
        <w:tblLook w:val="00A0" w:firstRow="1" w:lastRow="0" w:firstColumn="1" w:lastColumn="0" w:noHBand="0" w:noVBand="0"/>
      </w:tblPr>
      <w:tblGrid>
        <w:gridCol w:w="4045"/>
        <w:gridCol w:w="3151"/>
        <w:gridCol w:w="2429"/>
      </w:tblGrid>
      <w:tr w:rsidR="00CC329A" w:rsidRPr="00F35190" w:rsidTr="00E331F9">
        <w:trPr>
          <w:jc w:val="center"/>
        </w:trPr>
        <w:tc>
          <w:tcPr>
            <w:tcW w:w="5000" w:type="pct"/>
            <w:gridSpan w:val="3"/>
            <w:tcBorders>
              <w:top w:val="single" w:sz="36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Table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. Odds Ratios from Weighted Logistic Regression Predicting Influenza Vaccination for Native Hawaiian or Other Pacific Islander Participants, 2019 BRFSS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a</w:t>
            </w: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CC329A" w:rsidRPr="00F35190" w:rsidTr="00E331F9">
        <w:trPr>
          <w:jc w:val="center"/>
        </w:trPr>
        <w:tc>
          <w:tcPr>
            <w:tcW w:w="5000" w:type="pct"/>
            <w:gridSpan w:val="3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FB218C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Odds Ratio (95% CI)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b</w:t>
            </w: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N= 1,033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Odds Ratio (95% CI)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P value</w:t>
            </w: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Age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1.01 (0.99, 1.02)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0.37</w:t>
            </w: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Sex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0.06</w:t>
            </w:r>
          </w:p>
        </w:tc>
      </w:tr>
      <w:tr w:rsidR="00CC329A" w:rsidRPr="00F35190" w:rsidTr="00E331F9">
        <w:trPr>
          <w:trHeight w:val="157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 xml:space="preserve">    </w:t>
            </w:r>
            <w:r w:rsidRPr="009B1119">
              <w:rPr>
                <w:rFonts w:ascii="Times New Roman" w:hAnsi="Times New Roman"/>
                <w:sz w:val="24"/>
                <w:szCs w:val="24"/>
              </w:rPr>
              <w:t xml:space="preserve"> Female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199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 xml:space="preserve">     </w:t>
            </w:r>
            <w:r w:rsidRPr="009B1119"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0.62 (0.38, 1.03)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Education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0.81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Less than high school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0.88 (0.28, 2.72)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High school graduate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1.14 (0.53, 2.45)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Some college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0.86 (0.42, 1.75)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College graduate or more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Income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0.84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&lt; $25,000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0.98 (0.50, 1.93)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$25 – $49,999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1.24 (0.63, 2.42)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$50 – $74,999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1.31 (0.53, 3.24)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≥ $75,000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</w:tcPr>
          <w:p w:rsidR="00CC329A" w:rsidRPr="00FB218C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B1119">
              <w:rPr>
                <w:rFonts w:ascii="Times New Roman" w:hAnsi="Times New Roman"/>
                <w:b/>
                <w:sz w:val="24"/>
                <w:szCs w:val="24"/>
              </w:rPr>
              <w:t>Divisions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0.25</w:t>
            </w: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New England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Middle Atlantic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0.42 (0.10, 1.69)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East North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0.53 (0.11, 2.65)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West North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2.64 (0.66, 10.61)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trHeight w:val="202"/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South Atlantic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0.95 (0.27, 3.33)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East South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0.61 (0.16, 2.28)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West South Central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0.91 (0.21, 4.03)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Mountain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0.40 (0.13, 1.24)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Pacific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0.80 (0.32, 2.01)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Health Insurance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0.08</w:t>
            </w: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Yes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No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0.45 (0.18, 1.09)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Primary Care Doctor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>
              <w:rPr>
                <w:rFonts w:ascii="Times New Roman" w:hAnsi="Times New Roman"/>
                <w:b/>
                <w:bCs/>
                <w:vertAlign w:val="superscript"/>
              </w:rPr>
              <w:t>***</w:t>
            </w:r>
          </w:p>
        </w:tc>
      </w:tr>
      <w:tr w:rsidR="00CC329A" w:rsidRPr="00F35190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Yes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No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0.23 (0.12, 0.45)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/>
                <w:bCs/>
                <w:sz w:val="24"/>
                <w:szCs w:val="24"/>
              </w:rPr>
              <w:t>Delayed Care due to Cost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0.21</w:t>
            </w: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No 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29A" w:rsidRPr="00E3386D" w:rsidTr="00E331F9">
        <w:trPr>
          <w:jc w:val="center"/>
        </w:trPr>
        <w:tc>
          <w:tcPr>
            <w:tcW w:w="2101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</w:tcBorders>
            <w:vAlign w:val="center"/>
          </w:tcPr>
          <w:p w:rsidR="00CC329A" w:rsidRPr="009B1119" w:rsidRDefault="00CC329A" w:rsidP="00E331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119">
              <w:rPr>
                <w:rFonts w:ascii="Times New Roman" w:hAnsi="Times New Roman"/>
                <w:bCs/>
                <w:sz w:val="24"/>
                <w:szCs w:val="24"/>
              </w:rPr>
              <w:t xml:space="preserve">     Yes </w:t>
            </w:r>
          </w:p>
        </w:tc>
        <w:tc>
          <w:tcPr>
            <w:tcW w:w="1637" w:type="pct"/>
            <w:tcBorders>
              <w:top w:val="single" w:sz="2" w:space="0" w:color="auto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19">
              <w:rPr>
                <w:rFonts w:ascii="Times New Roman" w:hAnsi="Times New Roman"/>
                <w:sz w:val="24"/>
                <w:szCs w:val="24"/>
              </w:rPr>
              <w:t>1.68 (0.75, 3.78)</w:t>
            </w:r>
          </w:p>
        </w:tc>
        <w:tc>
          <w:tcPr>
            <w:tcW w:w="1262" w:type="pct"/>
            <w:tcBorders>
              <w:top w:val="single" w:sz="2" w:space="0" w:color="auto"/>
              <w:left w:val="single" w:sz="2" w:space="0" w:color="D9D9D9"/>
              <w:bottom w:val="single" w:sz="2" w:space="0" w:color="auto"/>
              <w:right w:val="single" w:sz="2" w:space="0" w:color="D9D9D9"/>
            </w:tcBorders>
          </w:tcPr>
          <w:p w:rsidR="00CC329A" w:rsidRPr="009B1119" w:rsidRDefault="00CC329A" w:rsidP="00E331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C329A" w:rsidRDefault="00CC329A" w:rsidP="00CC329A">
      <w:pPr>
        <w:suppressLineNumbers/>
        <w:spacing w:after="0"/>
        <w:rPr>
          <w:rFonts w:ascii="Times New Roman" w:hAnsi="Times New Roman"/>
          <w:sz w:val="20"/>
          <w:szCs w:val="20"/>
        </w:rPr>
      </w:pPr>
      <w:r w:rsidRPr="00832E19">
        <w:rPr>
          <w:rFonts w:ascii="Times New Roman" w:hAnsi="Times New Roman"/>
          <w:sz w:val="20"/>
          <w:szCs w:val="20"/>
        </w:rPr>
        <w:t xml:space="preserve">Notes: </w:t>
      </w:r>
      <w:r>
        <w:rPr>
          <w:rFonts w:ascii="Times New Roman" w:hAnsi="Times New Roman"/>
          <w:sz w:val="20"/>
          <w:szCs w:val="20"/>
        </w:rPr>
        <w:t>Boldface indicates statistical significance (*</w:t>
      </w:r>
      <w:r w:rsidRPr="005A1F9B"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&lt;0.05, **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&lt;0.01, ***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 xml:space="preserve">&lt;0.001). </w:t>
      </w:r>
      <w:r w:rsidRPr="00832E19">
        <w:rPr>
          <w:rFonts w:ascii="Times New Roman" w:hAnsi="Times New Roman"/>
          <w:sz w:val="20"/>
          <w:szCs w:val="20"/>
        </w:rPr>
        <w:t xml:space="preserve">   </w:t>
      </w:r>
    </w:p>
    <w:p w:rsidR="00CC329A" w:rsidRPr="00977C3C" w:rsidRDefault="00CC329A" w:rsidP="00CC329A">
      <w:pPr>
        <w:suppressLineNumbers/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vertAlign w:val="superscript"/>
        </w:rPr>
        <w:t>a</w:t>
      </w:r>
      <w:r>
        <w:rPr>
          <w:rFonts w:ascii="Times New Roman" w:hAnsi="Times New Roman"/>
          <w:sz w:val="20"/>
          <w:szCs w:val="20"/>
        </w:rPr>
        <w:t xml:space="preserve"> </w:t>
      </w:r>
      <w:r w:rsidRPr="00832E19">
        <w:rPr>
          <w:rFonts w:ascii="Times New Roman" w:hAnsi="Times New Roman"/>
          <w:sz w:val="20"/>
          <w:szCs w:val="20"/>
        </w:rPr>
        <w:t>Includes data from the 2019 BRFSS annual survey.</w:t>
      </w:r>
      <w:r>
        <w:rPr>
          <w:rFonts w:ascii="Times New Roman" w:hAnsi="Times New Roman"/>
          <w:sz w:val="20"/>
          <w:szCs w:val="20"/>
        </w:rPr>
        <w:t xml:space="preserve"> </w:t>
      </w:r>
      <w:r w:rsidRPr="00832E19">
        <w:rPr>
          <w:rFonts w:ascii="Times New Roman" w:hAnsi="Times New Roman"/>
          <w:sz w:val="20"/>
          <w:szCs w:val="20"/>
        </w:rPr>
        <w:t xml:space="preserve">Analysis excludes US territories.  </w:t>
      </w:r>
    </w:p>
    <w:p w:rsidR="00CC329A" w:rsidRPr="00977C3C" w:rsidRDefault="00CC329A" w:rsidP="00CC329A">
      <w:pPr>
        <w:suppressLineNumbers/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vertAlign w:val="superscript"/>
        </w:rPr>
        <w:t>b</w:t>
      </w:r>
      <w:r>
        <w:rPr>
          <w:rFonts w:ascii="Times New Roman" w:hAnsi="Times New Roman"/>
          <w:sz w:val="20"/>
          <w:szCs w:val="20"/>
        </w:rPr>
        <w:t xml:space="preserve"> </w:t>
      </w:r>
      <w:r w:rsidRPr="00F52198">
        <w:rPr>
          <w:rFonts w:ascii="Times New Roman" w:hAnsi="Times New Roman"/>
          <w:sz w:val="20"/>
          <w:szCs w:val="20"/>
        </w:rPr>
        <w:t>Data represent odds ratios (95% confidence intervals)</w:t>
      </w:r>
      <w:r>
        <w:rPr>
          <w:rFonts w:ascii="Times New Roman" w:hAnsi="Times New Roman"/>
          <w:sz w:val="20"/>
          <w:szCs w:val="20"/>
        </w:rPr>
        <w:t xml:space="preserve"> for Native Hawaiian or Other Pacific Islander participants</w:t>
      </w:r>
      <w:r w:rsidRPr="00F52198">
        <w:rPr>
          <w:rFonts w:ascii="Times New Roman" w:hAnsi="Times New Roman"/>
          <w:sz w:val="20"/>
          <w:szCs w:val="20"/>
        </w:rPr>
        <w:t xml:space="preserve">.  </w:t>
      </w:r>
    </w:p>
    <w:p w:rsidR="00CC329A" w:rsidRDefault="00CC329A" w:rsidP="00CC329A">
      <w:pPr>
        <w:suppressLineNumbers/>
        <w:rPr>
          <w:rFonts w:ascii="Times New Roman" w:hAnsi="Times New Roman"/>
          <w:sz w:val="20"/>
          <w:szCs w:val="20"/>
        </w:rPr>
      </w:pPr>
      <w:r w:rsidRPr="00977C3C">
        <w:rPr>
          <w:rFonts w:ascii="Times New Roman" w:hAnsi="Times New Roman"/>
          <w:sz w:val="20"/>
          <w:szCs w:val="20"/>
          <w:vertAlign w:val="superscript"/>
        </w:rPr>
        <w:t>c</w:t>
      </w:r>
      <w:r w:rsidRPr="00977C3C">
        <w:rPr>
          <w:rFonts w:ascii="Times New Roman" w:hAnsi="Times New Roman"/>
          <w:sz w:val="20"/>
          <w:szCs w:val="20"/>
        </w:rPr>
        <w:t xml:space="preserve"> </w:t>
      </w:r>
      <w:r w:rsidRPr="00832E19">
        <w:rPr>
          <w:rFonts w:ascii="Times New Roman" w:hAnsi="Times New Roman"/>
          <w:sz w:val="20"/>
          <w:szCs w:val="20"/>
        </w:rPr>
        <w:t xml:space="preserve">New England division includes: Connecticut, Maine, Massachusetts, New Hampshire, Rhode Island, and Vermont. Middle Atlantic includes: New Jersey, New York, and Pennsylvania.  East North Central division includes: Indiana, Illinois, Michigan, Ohio, and Wisconsin.  West North Central division includes: Iowa, Kansas, Minnesota, Missouri, Nebraska, North Dakota, and South Dakota.  South Atlantic division includes: Delaware, District of Columbia, Florida, Georgia, Maryland, North Carolina, South Carolina, Virginia, and West Virginia.  East South Central division includes: Alabama, Kentucky, Mississippi, and Tennessee. West South Central division includes: Arkansas, </w:t>
      </w:r>
      <w:r w:rsidRPr="00832E19">
        <w:rPr>
          <w:rFonts w:ascii="Times New Roman" w:hAnsi="Times New Roman"/>
          <w:sz w:val="20"/>
          <w:szCs w:val="20"/>
        </w:rPr>
        <w:lastRenderedPageBreak/>
        <w:t xml:space="preserve">Louisiana, Oklahoma, and Texas.  Mountain division includes: Arizona, Colorado, Idaho, New Mexico, Montana, Utah, Nevada, and Wyoming. Pacific division includes: Alaska, California, Hawaii, Oregon, and Washington.  </w:t>
      </w:r>
    </w:p>
    <w:p w:rsidR="005F01F9" w:rsidRDefault="00262828">
      <w:r>
        <w:t>s</w:t>
      </w:r>
      <w:bookmarkStart w:id="1" w:name="_GoBack"/>
      <w:bookmarkEnd w:id="1"/>
    </w:p>
    <w:sectPr w:rsidR="005F01F9" w:rsidSect="00A6043F">
      <w:headerReference w:type="even" r:id="rId5"/>
      <w:headerReference w:type="default" r:id="rId6"/>
      <w:footnotePr>
        <w:pos w:val="beneathText"/>
        <w:numFmt w:val="lowerLetter"/>
      </w:footnotePr>
      <w:endnotePr>
        <w:numFmt w:val="decimal"/>
      </w:endnotePr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675076335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:rsidR="00DA07D1" w:rsidRDefault="00262828" w:rsidP="00826CCF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DA07D1" w:rsidRDefault="00262828" w:rsidP="00AA0072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621452200"/>
      <w:docPartObj>
        <w:docPartGallery w:val="Page Numbers (Top of Page)"/>
        <w:docPartUnique/>
      </w:docPartObj>
    </w:sdtPr>
    <w:sdtEndPr>
      <w:rPr>
        <w:rStyle w:val="PageNumber"/>
        <w:rFonts w:ascii="Times New Roman" w:hAnsi="Times New Roman" w:cs="Times New Roman"/>
      </w:rPr>
    </w:sdtEndPr>
    <w:sdtContent>
      <w:p w:rsidR="00DA07D1" w:rsidRPr="00826CCF" w:rsidRDefault="00262828" w:rsidP="00DA07D1">
        <w:pPr>
          <w:pStyle w:val="Head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826CCF">
          <w:rPr>
            <w:rStyle w:val="PageNumber"/>
            <w:rFonts w:ascii="Times New Roman" w:hAnsi="Times New Roman" w:cs="Times New Roman"/>
          </w:rPr>
          <w:fldChar w:fldCharType="begin"/>
        </w:r>
        <w:r w:rsidRPr="00826CCF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826CCF">
          <w:rPr>
            <w:rStyle w:val="PageNumber"/>
            <w:rFonts w:ascii="Times New Roman" w:hAnsi="Times New Roman" w:cs="Times New Roman"/>
          </w:rPr>
          <w:fldChar w:fldCharType="separate"/>
        </w:r>
        <w:r>
          <w:rPr>
            <w:rStyle w:val="PageNumber"/>
            <w:rFonts w:ascii="Times New Roman" w:hAnsi="Times New Roman" w:cs="Times New Roman"/>
            <w:noProof/>
          </w:rPr>
          <w:t>16</w:t>
        </w:r>
        <w:r w:rsidRPr="00826CCF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:rsidR="00DA07D1" w:rsidRPr="00826CCF" w:rsidRDefault="00262828" w:rsidP="00AA0072">
    <w:pPr>
      <w:pStyle w:val="Header"/>
      <w:ind w:right="360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8E5996"/>
    <w:multiLevelType w:val="hybridMultilevel"/>
    <w:tmpl w:val="DED64914"/>
    <w:lvl w:ilvl="0" w:tplc="1AB87FC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B64034DA">
      <w:start w:val="1"/>
      <w:numFmt w:val="lowerLetter"/>
      <w:lvlText w:val="%2."/>
      <w:lvlJc w:val="left"/>
      <w:pPr>
        <w:ind w:left="1440" w:hanging="360"/>
      </w:pPr>
    </w:lvl>
    <w:lvl w:ilvl="2" w:tplc="F88CAC60">
      <w:start w:val="1"/>
      <w:numFmt w:val="lowerRoman"/>
      <w:lvlText w:val="%3."/>
      <w:lvlJc w:val="right"/>
      <w:pPr>
        <w:ind w:left="2160" w:hanging="180"/>
      </w:pPr>
    </w:lvl>
    <w:lvl w:ilvl="3" w:tplc="85EAC0EE">
      <w:start w:val="1"/>
      <w:numFmt w:val="decimal"/>
      <w:lvlText w:val="%4."/>
      <w:lvlJc w:val="left"/>
      <w:pPr>
        <w:ind w:left="2880" w:hanging="360"/>
      </w:pPr>
    </w:lvl>
    <w:lvl w:ilvl="4" w:tplc="E9EA601E">
      <w:start w:val="1"/>
      <w:numFmt w:val="lowerLetter"/>
      <w:lvlText w:val="%5."/>
      <w:lvlJc w:val="left"/>
      <w:pPr>
        <w:ind w:left="3600" w:hanging="360"/>
      </w:pPr>
    </w:lvl>
    <w:lvl w:ilvl="5" w:tplc="C592E8AE">
      <w:start w:val="1"/>
      <w:numFmt w:val="lowerRoman"/>
      <w:lvlText w:val="%6."/>
      <w:lvlJc w:val="right"/>
      <w:pPr>
        <w:ind w:left="4320" w:hanging="180"/>
      </w:pPr>
    </w:lvl>
    <w:lvl w:ilvl="6" w:tplc="E962EF24">
      <w:start w:val="1"/>
      <w:numFmt w:val="decimal"/>
      <w:lvlText w:val="%7."/>
      <w:lvlJc w:val="left"/>
      <w:pPr>
        <w:ind w:left="5040" w:hanging="360"/>
      </w:pPr>
    </w:lvl>
    <w:lvl w:ilvl="7" w:tplc="DE10B12E">
      <w:start w:val="1"/>
      <w:numFmt w:val="lowerLetter"/>
      <w:lvlText w:val="%8."/>
      <w:lvlJc w:val="left"/>
      <w:pPr>
        <w:ind w:left="5760" w:hanging="360"/>
      </w:pPr>
    </w:lvl>
    <w:lvl w:ilvl="8" w:tplc="D1C4EA3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007548"/>
    <w:multiLevelType w:val="hybridMultilevel"/>
    <w:tmpl w:val="ABD6C168"/>
    <w:lvl w:ilvl="0" w:tplc="4C4EDCD0">
      <w:start w:val="1"/>
      <w:numFmt w:val="decimal"/>
      <w:lvlText w:val="%1."/>
      <w:lvlJc w:val="left"/>
      <w:pPr>
        <w:ind w:left="720" w:hanging="720"/>
      </w:pPr>
      <w:rPr>
        <w:rFonts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pos w:val="beneathText"/>
    <w:numFmt w:val="lowerLetter"/>
  </w:footnotePr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29A"/>
    <w:rsid w:val="00262828"/>
    <w:rsid w:val="005F01F9"/>
    <w:rsid w:val="00CC3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9A93DF"/>
  <w15:chartTrackingRefBased/>
  <w15:docId w15:val="{BA0D3447-E758-4459-8E0E-8F163B60B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32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C329A"/>
    <w:rPr>
      <w:color w:val="000000" w:themeColor="text1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32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329A"/>
  </w:style>
  <w:style w:type="paragraph" w:styleId="Footer">
    <w:name w:val="footer"/>
    <w:basedOn w:val="Normal"/>
    <w:link w:val="FooterChar"/>
    <w:uiPriority w:val="99"/>
    <w:unhideWhenUsed/>
    <w:rsid w:val="00CC32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329A"/>
  </w:style>
  <w:style w:type="paragraph" w:styleId="ListParagraph">
    <w:name w:val="List Paragraph"/>
    <w:basedOn w:val="Normal"/>
    <w:uiPriority w:val="34"/>
    <w:qFormat/>
    <w:rsid w:val="00CC329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C3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C329A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C329A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CC329A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329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29A"/>
    <w:rPr>
      <w:rFonts w:ascii="Times New Roman" w:hAnsi="Times New Roman" w:cs="Times New Roman"/>
      <w:sz w:val="18"/>
      <w:szCs w:val="18"/>
    </w:rPr>
  </w:style>
  <w:style w:type="character" w:customStyle="1" w:styleId="UnresolvedMention">
    <w:name w:val="Unresolved Mention"/>
    <w:basedOn w:val="DefaultParagraphFont"/>
    <w:uiPriority w:val="99"/>
    <w:rsid w:val="00CC329A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CC329A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C329A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CC329A"/>
    <w:pPr>
      <w:spacing w:line="240" w:lineRule="auto"/>
    </w:pPr>
    <w:rPr>
      <w:rFonts w:ascii="Times New Roman" w:hAnsi="Times New Roman" w:cs="Calibri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CC329A"/>
    <w:rPr>
      <w:rFonts w:ascii="Times New Roman" w:hAnsi="Times New Roman" w:cs="Calibri"/>
      <w:noProof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C32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32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32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32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329A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329A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CC329A"/>
    <w:rPr>
      <w:b/>
      <w:bCs/>
    </w:rPr>
  </w:style>
  <w:style w:type="character" w:styleId="PageNumber">
    <w:name w:val="page number"/>
    <w:basedOn w:val="DefaultParagraphFont"/>
    <w:uiPriority w:val="99"/>
    <w:semiHidden/>
    <w:unhideWhenUsed/>
    <w:rsid w:val="00CC329A"/>
  </w:style>
  <w:style w:type="paragraph" w:styleId="FootnoteText">
    <w:name w:val="footnote text"/>
    <w:basedOn w:val="Normal"/>
    <w:link w:val="FootnoteTextChar"/>
    <w:uiPriority w:val="99"/>
    <w:semiHidden/>
    <w:unhideWhenUsed/>
    <w:rsid w:val="00CC329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C329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C329A"/>
    <w:rPr>
      <w:vertAlign w:val="superscript"/>
    </w:rPr>
  </w:style>
  <w:style w:type="character" w:styleId="LineNumber">
    <w:name w:val="line number"/>
    <w:basedOn w:val="DefaultParagraphFont"/>
    <w:uiPriority w:val="99"/>
    <w:unhideWhenUsed/>
    <w:rsid w:val="00CC329A"/>
    <w:rPr>
      <w:rFonts w:ascii="Arial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3100</Words>
  <Characters>17675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20734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2020-12-23T17:38:00Z</dcterms:created>
  <dcterms:modified xsi:type="dcterms:W3CDTF">2020-12-23T17:39:00Z</dcterms:modified>
</cp:coreProperties>
</file>