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2D99" w:rsidRPr="00792A87" w:rsidRDefault="00A867C6" w:rsidP="00312D99">
      <w:pPr>
        <w:rPr>
          <w:b/>
          <w:lang w:val="en-ZA"/>
        </w:rPr>
      </w:pPr>
      <w:bookmarkStart w:id="0" w:name="_Hlk81187314"/>
      <w:r>
        <w:rPr>
          <w:rFonts w:ascii="Calibri" w:eastAsia="Calibri" w:hAnsi="Calibri" w:cs="Times New Roman"/>
          <w:b/>
          <w:lang w:val="en-ZA"/>
        </w:rPr>
        <w:t xml:space="preserve">Supplementary figures: </w:t>
      </w:r>
      <w:r w:rsidR="00312D99">
        <w:rPr>
          <w:b/>
          <w:lang w:val="en-ZA"/>
        </w:rPr>
        <w:t>A phylogeographic assessment</w:t>
      </w:r>
      <w:r w:rsidR="00312D99" w:rsidRPr="00792A87">
        <w:rPr>
          <w:b/>
          <w:lang w:val="en-ZA"/>
        </w:rPr>
        <w:t xml:space="preserve"> of the greater kudu (</w:t>
      </w:r>
      <w:r w:rsidR="00312D99" w:rsidRPr="00792A87">
        <w:rPr>
          <w:b/>
          <w:i/>
          <w:lang w:val="en-ZA"/>
        </w:rPr>
        <w:t>Tragelaphus strepsiceros</w:t>
      </w:r>
      <w:r w:rsidR="00312D99" w:rsidRPr="00792A87">
        <w:rPr>
          <w:b/>
          <w:lang w:val="en-ZA"/>
        </w:rPr>
        <w:t>) across South Africa</w:t>
      </w:r>
    </w:p>
    <w:p w:rsidR="00A867C6" w:rsidRPr="000A2F08" w:rsidRDefault="00A867C6" w:rsidP="00A867C6">
      <w:pPr>
        <w:rPr>
          <w:lang w:val="en-ZA"/>
        </w:rPr>
      </w:pPr>
      <w:r w:rsidRPr="000A2F08">
        <w:rPr>
          <w:lang w:val="en-ZA"/>
        </w:rPr>
        <w:t>R. Jacobs, W.G. Coetzer* and J.P. Grobler</w:t>
      </w:r>
    </w:p>
    <w:p w:rsidR="00A867C6" w:rsidRPr="000A2F08" w:rsidRDefault="00A867C6" w:rsidP="00A867C6">
      <w:pPr>
        <w:rPr>
          <w:lang w:val="en-ZA"/>
        </w:rPr>
      </w:pPr>
      <w:r w:rsidRPr="000A2F08">
        <w:rPr>
          <w:lang w:val="en-ZA"/>
        </w:rPr>
        <w:t>Department of Genetics, University of the Free State, Bloemfontein, South Africa</w:t>
      </w:r>
    </w:p>
    <w:p w:rsidR="00A867C6" w:rsidRDefault="00A867C6" w:rsidP="00A867C6">
      <w:pPr>
        <w:rPr>
          <w:lang w:val="en-ZA"/>
        </w:rPr>
      </w:pPr>
    </w:p>
    <w:p w:rsidR="00A867C6" w:rsidRDefault="00A867C6" w:rsidP="00A867C6">
      <w:pPr>
        <w:rPr>
          <w:lang w:val="en-ZA"/>
        </w:rPr>
      </w:pPr>
      <w:r>
        <w:rPr>
          <w:lang w:val="en-ZA"/>
        </w:rPr>
        <w:t xml:space="preserve">*Corresponding author: </w:t>
      </w:r>
    </w:p>
    <w:p w:rsidR="00A867C6" w:rsidRDefault="00A867C6" w:rsidP="00A867C6">
      <w:pPr>
        <w:rPr>
          <w:lang w:val="en-ZA"/>
        </w:rPr>
      </w:pPr>
      <w:r>
        <w:rPr>
          <w:lang w:val="en-ZA"/>
        </w:rPr>
        <w:t>W.G. Coetzer</w:t>
      </w:r>
    </w:p>
    <w:p w:rsidR="00A867C6" w:rsidRDefault="00A867C6" w:rsidP="00A867C6">
      <w:pPr>
        <w:rPr>
          <w:lang w:val="en-ZA"/>
        </w:rPr>
      </w:pPr>
      <w:r>
        <w:rPr>
          <w:lang w:val="en-ZA"/>
        </w:rPr>
        <w:t xml:space="preserve">Email: </w:t>
      </w:r>
      <w:hyperlink r:id="rId4" w:history="1">
        <w:r w:rsidR="00752762" w:rsidRPr="00592994">
          <w:rPr>
            <w:rStyle w:val="Hyperlink"/>
            <w:lang w:val="en-ZA"/>
          </w:rPr>
          <w:t>coetzerwg@outlook.com</w:t>
        </w:r>
      </w:hyperlink>
      <w:bookmarkStart w:id="1" w:name="_GoBack"/>
      <w:bookmarkEnd w:id="1"/>
    </w:p>
    <w:p w:rsidR="00A867C6" w:rsidRDefault="00A867C6" w:rsidP="00A867C6">
      <w:pPr>
        <w:rPr>
          <w:rStyle w:val="orcid-id-https"/>
        </w:rPr>
      </w:pPr>
      <w:r>
        <w:rPr>
          <w:lang w:val="en-ZA"/>
        </w:rPr>
        <w:t xml:space="preserve">ORCID: </w:t>
      </w:r>
      <w:hyperlink r:id="rId5" w:history="1">
        <w:r w:rsidRPr="001D323B">
          <w:rPr>
            <w:rStyle w:val="Hyperlink"/>
          </w:rPr>
          <w:t>https://orcid.org/0000-0003-2189-5539</w:t>
        </w:r>
      </w:hyperlink>
    </w:p>
    <w:p w:rsidR="00A867C6" w:rsidRDefault="00A867C6" w:rsidP="005B2B81">
      <w:pPr>
        <w:spacing w:line="360" w:lineRule="auto"/>
        <w:rPr>
          <w:rFonts w:ascii="Calibri" w:eastAsia="Calibri" w:hAnsi="Calibri" w:cs="Times New Roman"/>
          <w:b/>
          <w:lang w:val="en-ZA"/>
        </w:rPr>
      </w:pPr>
    </w:p>
    <w:p w:rsidR="00A867C6" w:rsidRDefault="00A867C6" w:rsidP="005B2B81">
      <w:pPr>
        <w:spacing w:line="360" w:lineRule="auto"/>
        <w:rPr>
          <w:rFonts w:ascii="Calibri" w:eastAsia="Calibri" w:hAnsi="Calibri" w:cs="Times New Roman"/>
          <w:b/>
          <w:lang w:val="en-ZA"/>
        </w:rPr>
      </w:pPr>
    </w:p>
    <w:p w:rsidR="00A867C6" w:rsidRDefault="00A867C6" w:rsidP="005B2B81">
      <w:pPr>
        <w:spacing w:line="360" w:lineRule="auto"/>
        <w:rPr>
          <w:rFonts w:ascii="Calibri" w:eastAsia="Calibri" w:hAnsi="Calibri" w:cs="Times New Roman"/>
          <w:b/>
          <w:lang w:val="en-ZA"/>
        </w:rPr>
        <w:sectPr w:rsidR="00A867C6" w:rsidSect="00A867C6">
          <w:pgSz w:w="11906" w:h="16838"/>
          <w:pgMar w:top="1440" w:right="1440" w:bottom="1440" w:left="1440" w:header="708" w:footer="708" w:gutter="0"/>
          <w:cols w:space="708"/>
          <w:docGrid w:linePitch="360"/>
        </w:sectPr>
      </w:pPr>
    </w:p>
    <w:bookmarkEnd w:id="0"/>
    <w:p w:rsidR="005B2B81" w:rsidRDefault="00752762" w:rsidP="005B2B81">
      <w:pPr>
        <w:rPr>
          <w:noProof/>
          <w:lang w:val="en-ZA" w:eastAsia="en-ZA"/>
        </w:rPr>
      </w:pPr>
      <w:r>
        <w:rPr>
          <w:noProof/>
          <w:lang w:val="en-ZA" w:eastAsia="en-ZA"/>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0.25pt;height:358.5pt">
            <v:imagedata r:id="rId6" o:title="SupFig S1"/>
          </v:shape>
        </w:pict>
      </w:r>
    </w:p>
    <w:p w:rsidR="00A867C6" w:rsidRDefault="00A867C6" w:rsidP="005B2B81">
      <w:pPr>
        <w:spacing w:line="360" w:lineRule="auto"/>
        <w:rPr>
          <w:rFonts w:ascii="Calibri" w:eastAsia="Calibri" w:hAnsi="Calibri" w:cs="Times New Roman"/>
          <w:b/>
          <w:lang w:val="en-ZA"/>
        </w:rPr>
      </w:pPr>
    </w:p>
    <w:p w:rsidR="00C409F6" w:rsidRDefault="00C409F6" w:rsidP="00C409F6">
      <w:pPr>
        <w:spacing w:line="240" w:lineRule="auto"/>
        <w:rPr>
          <w:rFonts w:ascii="Calibri" w:eastAsia="Calibri" w:hAnsi="Calibri" w:cs="Times New Roman"/>
          <w:lang w:val="en-ZA"/>
        </w:rPr>
      </w:pPr>
      <w:r w:rsidRPr="00CC3279">
        <w:rPr>
          <w:rFonts w:ascii="Calibri" w:eastAsia="Calibri" w:hAnsi="Calibri" w:cs="Times New Roman"/>
          <w:b/>
          <w:lang w:val="en-ZA"/>
        </w:rPr>
        <w:t xml:space="preserve">Supplementary Figure S1. </w:t>
      </w:r>
      <w:r>
        <w:rPr>
          <w:rFonts w:ascii="Calibri" w:eastAsia="Calibri" w:hAnsi="Calibri" w:cs="Times New Roman"/>
          <w:lang w:val="en-ZA"/>
        </w:rPr>
        <w:t>The median joining haplotype</w:t>
      </w:r>
      <w:r w:rsidRPr="00C47F35">
        <w:rPr>
          <w:rFonts w:ascii="Calibri" w:eastAsia="Calibri" w:hAnsi="Calibri" w:cs="Times New Roman"/>
          <w:lang w:val="en-ZA"/>
        </w:rPr>
        <w:t xml:space="preserve"> network </w:t>
      </w:r>
      <w:r>
        <w:rPr>
          <w:rFonts w:ascii="Calibri" w:eastAsia="Calibri" w:hAnsi="Calibri" w:cs="Times New Roman"/>
          <w:lang w:val="en-ZA"/>
        </w:rPr>
        <w:t xml:space="preserve">representing </w:t>
      </w:r>
      <w:r w:rsidRPr="00C47F35">
        <w:rPr>
          <w:rFonts w:ascii="Calibri" w:eastAsia="Calibri" w:hAnsi="Calibri" w:cs="Times New Roman"/>
          <w:lang w:val="en-ZA"/>
        </w:rPr>
        <w:t>the mitochondrial control region (CR) sequence</w:t>
      </w:r>
      <w:r>
        <w:rPr>
          <w:rFonts w:ascii="Calibri" w:eastAsia="Calibri" w:hAnsi="Calibri" w:cs="Times New Roman"/>
          <w:lang w:val="en-ZA"/>
        </w:rPr>
        <w:t xml:space="preserve"> data</w:t>
      </w:r>
      <w:r w:rsidRPr="00C47F35">
        <w:rPr>
          <w:rFonts w:ascii="Calibri" w:eastAsia="Calibri" w:hAnsi="Calibri" w:cs="Times New Roman"/>
          <w:lang w:val="en-ZA"/>
        </w:rPr>
        <w:t xml:space="preserve"> for </w:t>
      </w:r>
      <w:r>
        <w:rPr>
          <w:rFonts w:ascii="Calibri" w:eastAsia="Calibri" w:hAnsi="Calibri" w:cs="Times New Roman"/>
          <w:lang w:val="en-ZA"/>
        </w:rPr>
        <w:t xml:space="preserve">108 </w:t>
      </w:r>
      <w:r w:rsidRPr="00C47F35">
        <w:rPr>
          <w:rFonts w:ascii="Calibri" w:eastAsia="Calibri" w:hAnsi="Calibri" w:cs="Times New Roman"/>
          <w:lang w:val="en-ZA"/>
        </w:rPr>
        <w:t>kudu</w:t>
      </w:r>
      <w:r>
        <w:rPr>
          <w:rFonts w:ascii="Calibri" w:eastAsia="Calibri" w:hAnsi="Calibri" w:cs="Times New Roman"/>
          <w:lang w:val="en-ZA"/>
        </w:rPr>
        <w:t xml:space="preserve"> </w:t>
      </w:r>
      <w:r w:rsidRPr="00C47F35">
        <w:rPr>
          <w:rFonts w:ascii="Calibri" w:eastAsia="Calibri" w:hAnsi="Calibri" w:cs="Times New Roman"/>
          <w:lang w:val="en-ZA"/>
        </w:rPr>
        <w:t>s</w:t>
      </w:r>
      <w:r>
        <w:rPr>
          <w:rFonts w:ascii="Calibri" w:eastAsia="Calibri" w:hAnsi="Calibri" w:cs="Times New Roman"/>
          <w:lang w:val="en-ZA"/>
        </w:rPr>
        <w:t>amples</w:t>
      </w:r>
      <w:r w:rsidRPr="00C47F35">
        <w:rPr>
          <w:rFonts w:ascii="Calibri" w:eastAsia="Calibri" w:hAnsi="Calibri" w:cs="Times New Roman"/>
          <w:lang w:val="en-ZA"/>
        </w:rPr>
        <w:t>. The hatch marks between the various nodes is an indication of the number of mutational steps between each haplotype observed.</w:t>
      </w:r>
      <w:r>
        <w:rPr>
          <w:rFonts w:ascii="Calibri" w:eastAsia="Calibri" w:hAnsi="Calibri" w:cs="Times New Roman"/>
          <w:lang w:val="en-ZA"/>
        </w:rPr>
        <w:t xml:space="preserve"> The black nodes represent possible haplotypes not sampled during the current study.</w:t>
      </w:r>
      <w:r w:rsidRPr="00C47F35">
        <w:rPr>
          <w:rFonts w:ascii="Calibri" w:eastAsia="Calibri" w:hAnsi="Calibri" w:cs="Times New Roman"/>
          <w:lang w:val="en-ZA"/>
        </w:rPr>
        <w:t xml:space="preserve"> The size of the circles indicates the number of individuals associated with that specific haplotype.</w:t>
      </w:r>
    </w:p>
    <w:p w:rsidR="00C409F6" w:rsidRDefault="00C409F6" w:rsidP="005B2B81">
      <w:pPr>
        <w:spacing w:line="360" w:lineRule="auto"/>
        <w:rPr>
          <w:rFonts w:ascii="Calibri" w:eastAsia="Calibri" w:hAnsi="Calibri" w:cs="Times New Roman"/>
          <w:b/>
          <w:lang w:val="en-ZA"/>
        </w:rPr>
        <w:sectPr w:rsidR="00C409F6" w:rsidSect="00A867C6">
          <w:pgSz w:w="16838" w:h="11906" w:orient="landscape"/>
          <w:pgMar w:top="1440" w:right="1440" w:bottom="1440" w:left="1440" w:header="708" w:footer="708" w:gutter="0"/>
          <w:cols w:space="708"/>
          <w:docGrid w:linePitch="360"/>
        </w:sectPr>
      </w:pPr>
    </w:p>
    <w:p w:rsidR="005B2B81" w:rsidRDefault="00752762" w:rsidP="005B2B81">
      <w:r>
        <w:lastRenderedPageBreak/>
        <w:pict>
          <v:shape id="_x0000_i1026" type="#_x0000_t75" style="width:450.75pt;height:549pt">
            <v:imagedata r:id="rId7" o:title="SupFig S2"/>
          </v:shape>
        </w:pict>
      </w:r>
    </w:p>
    <w:p w:rsidR="00C409F6" w:rsidRDefault="00C409F6" w:rsidP="00C409F6">
      <w:pPr>
        <w:spacing w:line="360" w:lineRule="auto"/>
        <w:rPr>
          <w:rFonts w:ascii="Calibri" w:eastAsia="Calibri" w:hAnsi="Calibri" w:cs="Times New Roman"/>
          <w:lang w:val="en-ZA"/>
        </w:rPr>
      </w:pPr>
      <w:r w:rsidRPr="00CC3279">
        <w:rPr>
          <w:rFonts w:ascii="Calibri" w:eastAsia="Calibri" w:hAnsi="Calibri" w:cs="Times New Roman"/>
          <w:b/>
          <w:lang w:val="en-ZA"/>
        </w:rPr>
        <w:t>Supplementary Figure S2.</w:t>
      </w:r>
      <w:r w:rsidRPr="00C47F35">
        <w:rPr>
          <w:rFonts w:ascii="Calibri" w:eastAsia="Calibri" w:hAnsi="Calibri" w:cs="Times New Roman"/>
          <w:lang w:val="en-ZA"/>
        </w:rPr>
        <w:t xml:space="preserve"> </w:t>
      </w:r>
      <w:r>
        <w:rPr>
          <w:rFonts w:ascii="Calibri" w:eastAsia="Calibri" w:hAnsi="Calibri" w:cs="Times New Roman"/>
          <w:lang w:val="en-ZA"/>
        </w:rPr>
        <w:t xml:space="preserve">The median joining haplotype network for </w:t>
      </w:r>
      <w:r w:rsidRPr="00C47F35">
        <w:rPr>
          <w:rFonts w:ascii="Calibri" w:eastAsia="Calibri" w:hAnsi="Calibri" w:cs="Times New Roman"/>
          <w:lang w:val="en-ZA"/>
        </w:rPr>
        <w:t>the heat shock protein sub-unit 5 (HSPA5) sequence</w:t>
      </w:r>
      <w:r>
        <w:rPr>
          <w:rFonts w:ascii="Calibri" w:eastAsia="Calibri" w:hAnsi="Calibri" w:cs="Times New Roman"/>
          <w:lang w:val="en-ZA"/>
        </w:rPr>
        <w:t xml:space="preserve"> data obtained from 100 kudu samples</w:t>
      </w:r>
      <w:r w:rsidRPr="00C47F35">
        <w:rPr>
          <w:rFonts w:ascii="Calibri" w:eastAsia="Calibri" w:hAnsi="Calibri" w:cs="Times New Roman"/>
          <w:lang w:val="en-ZA"/>
        </w:rPr>
        <w:t>. The hatch marks between the various nodes is an indication of the number of mutational steps between each haplotype observed. The size of the circles indicates the number of individuals associated with that specific haplotype.</w:t>
      </w:r>
    </w:p>
    <w:p w:rsidR="005B2B81" w:rsidRDefault="005B2B81" w:rsidP="005B2B81"/>
    <w:p w:rsidR="005B2B81" w:rsidRDefault="005B2B81" w:rsidP="005B2B81"/>
    <w:p w:rsidR="00F274B4" w:rsidRDefault="00F274B4">
      <w:pPr>
        <w:sectPr w:rsidR="00F274B4">
          <w:pgSz w:w="11906" w:h="16838"/>
          <w:pgMar w:top="1440" w:right="1440" w:bottom="1440" w:left="1440" w:header="708" w:footer="708" w:gutter="0"/>
          <w:cols w:space="708"/>
          <w:docGrid w:linePitch="360"/>
        </w:sectPr>
      </w:pPr>
    </w:p>
    <w:p w:rsidR="00F274B4" w:rsidRDefault="00D55BCD" w:rsidP="00F274B4">
      <w:r>
        <w:lastRenderedPageBreak/>
        <w:t>a)</w:t>
      </w:r>
    </w:p>
    <w:p w:rsidR="00F274B4" w:rsidRDefault="00F274B4" w:rsidP="00F274B4">
      <w:pPr>
        <w:rPr>
          <w:noProof/>
        </w:rPr>
      </w:pPr>
      <w:r>
        <w:rPr>
          <w:noProof/>
          <w:lang w:val="en-ZA" w:eastAsia="en-ZA"/>
        </w:rPr>
        <w:drawing>
          <wp:inline distT="0" distB="0" distL="0" distR="0" wp14:anchorId="2C682665" wp14:editId="3295AFC8">
            <wp:extent cx="5743575" cy="2324100"/>
            <wp:effectExtent l="0" t="0" r="9525" b="0"/>
            <wp:docPr id="1" name="Chart 1">
              <a:extLst xmlns:a="http://schemas.openxmlformats.org/drawingml/2006/main">
                <a:ext uri="{FF2B5EF4-FFF2-40B4-BE49-F238E27FC236}">
                  <a16:creationId xmlns:a16="http://schemas.microsoft.com/office/drawing/2014/main" id="{567EA440-6C4B-4AF9-A9A5-609CB2AA86D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F274B4" w:rsidRPr="007C6625" w:rsidRDefault="00D55BCD" w:rsidP="00F274B4">
      <w:r>
        <w:t>b)</w:t>
      </w:r>
    </w:p>
    <w:p w:rsidR="00F274B4" w:rsidRDefault="00F274B4" w:rsidP="00F274B4">
      <w:pPr>
        <w:rPr>
          <w:noProof/>
        </w:rPr>
      </w:pPr>
      <w:r>
        <w:rPr>
          <w:noProof/>
          <w:lang w:val="en-ZA" w:eastAsia="en-ZA"/>
        </w:rPr>
        <w:drawing>
          <wp:inline distT="0" distB="0" distL="0" distR="0" wp14:anchorId="33856340" wp14:editId="1F3D4EB1">
            <wp:extent cx="5724525" cy="2628900"/>
            <wp:effectExtent l="0" t="0" r="9525" b="0"/>
            <wp:docPr id="2" name="Chart 2">
              <a:extLst xmlns:a="http://schemas.openxmlformats.org/drawingml/2006/main">
                <a:ext uri="{FF2B5EF4-FFF2-40B4-BE49-F238E27FC236}">
                  <a16:creationId xmlns:a16="http://schemas.microsoft.com/office/drawing/2014/main" id="{3641B17F-ECEB-46BA-9332-A864B6F5A1F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274B4" w:rsidRPr="007C6625" w:rsidRDefault="00F274B4" w:rsidP="00F274B4">
      <w:pPr>
        <w:ind w:firstLine="720"/>
      </w:pPr>
    </w:p>
    <w:p w:rsidR="00C409F6" w:rsidRDefault="00C409F6" w:rsidP="00C409F6">
      <w:r w:rsidRPr="00D55BCD">
        <w:rPr>
          <w:b/>
          <w:bCs/>
        </w:rPr>
        <w:t>Supplementary Figure S3</w:t>
      </w:r>
      <w:r w:rsidRPr="00D55BCD">
        <w:rPr>
          <w:b/>
          <w:sz w:val="23"/>
          <w:szCs w:val="23"/>
        </w:rPr>
        <w:t>.</w:t>
      </w:r>
      <w:r w:rsidRPr="00D55BCD">
        <w:rPr>
          <w:sz w:val="23"/>
          <w:szCs w:val="23"/>
        </w:rPr>
        <w:t xml:space="preserve"> </w:t>
      </w:r>
      <w:bookmarkStart w:id="2" w:name="_Hlk64265647"/>
      <w:r w:rsidRPr="00D55BCD">
        <w:rPr>
          <w:sz w:val="23"/>
          <w:szCs w:val="23"/>
        </w:rPr>
        <w:t>Results of the BMP4 population a) pairwise F</w:t>
      </w:r>
      <w:r w:rsidRPr="00D55BCD">
        <w:rPr>
          <w:sz w:val="23"/>
          <w:szCs w:val="23"/>
          <w:vertAlign w:val="subscript"/>
        </w:rPr>
        <w:t>ST</w:t>
      </w:r>
      <w:r w:rsidRPr="00D55BCD">
        <w:rPr>
          <w:sz w:val="23"/>
          <w:szCs w:val="23"/>
        </w:rPr>
        <w:t xml:space="preserve"> results and b) Nei’s D presented by a Principal Coordinates Analysis (PCoA) </w:t>
      </w:r>
      <w:r w:rsidRPr="00D55BCD">
        <w:t>(KZN = KwaZulu-Natal; Lim = Limpopo; EC = Eastern Cape; NC = Northern Cape; FS = Free State; NW = North West)</w:t>
      </w:r>
      <w:bookmarkEnd w:id="2"/>
    </w:p>
    <w:p w:rsidR="00EB73EB" w:rsidRDefault="00752762"/>
    <w:sectPr w:rsidR="00EB73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B81"/>
    <w:rsid w:val="002B09BD"/>
    <w:rsid w:val="00312D99"/>
    <w:rsid w:val="003A030E"/>
    <w:rsid w:val="003C7B33"/>
    <w:rsid w:val="005B0D5F"/>
    <w:rsid w:val="005B2B81"/>
    <w:rsid w:val="00752762"/>
    <w:rsid w:val="00765802"/>
    <w:rsid w:val="00A867C6"/>
    <w:rsid w:val="00C409F6"/>
    <w:rsid w:val="00CC3279"/>
    <w:rsid w:val="00D55BCD"/>
    <w:rsid w:val="00F274B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A24D9"/>
  <w15:chartTrackingRefBased/>
  <w15:docId w15:val="{0506C445-7E4F-4118-89DB-791C3187D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2B81"/>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867C6"/>
    <w:rPr>
      <w:color w:val="0563C1" w:themeColor="hyperlink"/>
      <w:u w:val="single"/>
    </w:rPr>
  </w:style>
  <w:style w:type="character" w:customStyle="1" w:styleId="orcid-id-https">
    <w:name w:val="orcid-id-https"/>
    <w:basedOn w:val="DefaultParagraphFont"/>
    <w:rsid w:val="00A867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orcid.org/0000-0003-2189-5539" TargetMode="External"/><Relationship Id="rId10" Type="http://schemas.openxmlformats.org/officeDocument/2006/relationships/fontTable" Target="fontTable.xml"/><Relationship Id="rId4" Type="http://schemas.openxmlformats.org/officeDocument/2006/relationships/hyperlink" Target="mailto:coetzerwg@outlook.com" TargetMode="Externa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oleObject" Target="file:///D:\Documents\UFS\MSc\UFS%202020\BMP4%20Microsats\GenAlEx\Sample%20List.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Documents\UFS\MSc\UFS%202020\BMP4%20Microsats\GenAlEx\Sample%20List.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cap="rnd">
              <a:noFill/>
              <a:round/>
            </a:ln>
            <a:effectLst/>
          </c:spPr>
          <c:marker>
            <c:symbol val="circle"/>
            <c:size val="5"/>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w="9525">
                <a:solidFill>
                  <a:schemeClr val="accent1"/>
                </a:solidFill>
                <a:round/>
              </a:ln>
              <a:effectLst/>
            </c:spPr>
          </c:marker>
          <c:dLbls>
            <c:dLbl>
              <c:idx val="0"/>
              <c:tx>
                <c:rich>
                  <a:bodyPr/>
                  <a:lstStyle/>
                  <a:p>
                    <a:r>
                      <a:rPr lang="en-US"/>
                      <a:t>Limpopo</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903-4F7E-8A02-375EE7145AB8}"/>
                </c:ext>
              </c:extLst>
            </c:dLbl>
            <c:dLbl>
              <c:idx val="1"/>
              <c:tx>
                <c:rich>
                  <a:bodyPr/>
                  <a:lstStyle/>
                  <a:p>
                    <a:r>
                      <a:rPr lang="en-US"/>
                      <a:t>NC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903-4F7E-8A02-375EE7145AB8}"/>
                </c:ext>
              </c:extLst>
            </c:dLbl>
            <c:dLbl>
              <c:idx val="2"/>
              <c:tx>
                <c:rich>
                  <a:bodyPr/>
                  <a:lstStyle/>
                  <a:p>
                    <a:r>
                      <a:rPr lang="en-US"/>
                      <a:t>EC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903-4F7E-8A02-375EE7145AB8}"/>
                </c:ext>
              </c:extLst>
            </c:dLbl>
            <c:dLbl>
              <c:idx val="3"/>
              <c:tx>
                <c:rich>
                  <a:bodyPr/>
                  <a:lstStyle/>
                  <a:p>
                    <a:r>
                      <a:rPr lang="en-US"/>
                      <a:t>KZN</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903-4F7E-8A02-375EE7145AB8}"/>
                </c:ext>
              </c:extLst>
            </c:dLbl>
            <c:dLbl>
              <c:idx val="4"/>
              <c:tx>
                <c:rich>
                  <a:bodyPr/>
                  <a:lstStyle/>
                  <a:p>
                    <a:r>
                      <a:rPr lang="en-US"/>
                      <a:t>FS</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3903-4F7E-8A02-375EE7145AB8}"/>
                </c:ext>
              </c:extLst>
            </c:dLbl>
            <c:dLbl>
              <c:idx val="5"/>
              <c:tx>
                <c:rich>
                  <a:bodyPr/>
                  <a:lstStyle/>
                  <a:p>
                    <a:r>
                      <a:rPr lang="en-US"/>
                      <a:t>NW</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3903-4F7E-8A02-375EE7145AB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xVal>
            <c:numRef>
              <c:f>'PCoA (2)'!$B$33:$B$38</c:f>
              <c:numCache>
                <c:formatCode>0.000</c:formatCode>
                <c:ptCount val="6"/>
                <c:pt idx="0">
                  <c:v>-7.6166463780167337E-2</c:v>
                </c:pt>
                <c:pt idx="1">
                  <c:v>0.13855843640659976</c:v>
                </c:pt>
                <c:pt idx="2">
                  <c:v>-6.7883786790278039E-2</c:v>
                </c:pt>
                <c:pt idx="3">
                  <c:v>-4.8230422218333222E-2</c:v>
                </c:pt>
                <c:pt idx="4">
                  <c:v>-0.14201589717015287</c:v>
                </c:pt>
                <c:pt idx="5">
                  <c:v>0.19573813333140253</c:v>
                </c:pt>
              </c:numCache>
            </c:numRef>
          </c:xVal>
          <c:yVal>
            <c:numRef>
              <c:f>'PCoA (2)'!$C$33:$C$38</c:f>
              <c:numCache>
                <c:formatCode>0.000</c:formatCode>
                <c:ptCount val="6"/>
                <c:pt idx="0">
                  <c:v>-0.11138683890358507</c:v>
                </c:pt>
                <c:pt idx="1">
                  <c:v>5.1042889199660484E-2</c:v>
                </c:pt>
                <c:pt idx="2">
                  <c:v>-1.4507885342554445E-2</c:v>
                </c:pt>
                <c:pt idx="3">
                  <c:v>-9.0256526058993772E-2</c:v>
                </c:pt>
                <c:pt idx="4">
                  <c:v>0.15754757219165721</c:v>
                </c:pt>
                <c:pt idx="5">
                  <c:v>7.5607889138158309E-3</c:v>
                </c:pt>
              </c:numCache>
            </c:numRef>
          </c:yVal>
          <c:smooth val="0"/>
          <c:extLst>
            <c:ext xmlns:c16="http://schemas.microsoft.com/office/drawing/2014/chart" uri="{C3380CC4-5D6E-409C-BE32-E72D297353CC}">
              <c16:uniqueId val="{00000006-3903-4F7E-8A02-375EE7145AB8}"/>
            </c:ext>
          </c:extLst>
        </c:ser>
        <c:dLbls>
          <c:showLegendKey val="0"/>
          <c:showVal val="0"/>
          <c:showCatName val="0"/>
          <c:showSerName val="0"/>
          <c:showPercent val="0"/>
          <c:showBubbleSize val="0"/>
        </c:dLbls>
        <c:axId val="475755503"/>
        <c:axId val="385116479"/>
      </c:scatterChart>
      <c:valAx>
        <c:axId val="475755503"/>
        <c:scaling>
          <c:orientation val="minMax"/>
        </c:scaling>
        <c:delete val="0"/>
        <c:axPos val="b"/>
        <c:majorGridlines>
          <c:spPr>
            <a:ln w="9525" cap="flat" cmpd="sng" algn="ctr">
              <a:solidFill>
                <a:schemeClr val="tx2">
                  <a:lumMod val="15000"/>
                  <a:lumOff val="85000"/>
                </a:schemeClr>
              </a:solidFill>
              <a:round/>
            </a:ln>
            <a:effectLst/>
          </c:spPr>
        </c:majorGridlines>
        <c:title>
          <c:tx>
            <c:rich>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ZA"/>
                  <a:t>Vertical</a:t>
                </a:r>
                <a:r>
                  <a:rPr lang="en-ZA" baseline="0"/>
                  <a:t> Axis</a:t>
                </a:r>
                <a:endParaRPr lang="en-ZA"/>
              </a:p>
            </c:rich>
          </c:tx>
          <c:overlay val="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0.000" sourceLinked="1"/>
        <c:majorTickMark val="none"/>
        <c:minorTickMark val="none"/>
        <c:tickLblPos val="none"/>
        <c:spPr>
          <a:noFill/>
          <a:ln>
            <a:solidFill>
              <a:schemeClr val="tx2">
                <a:lumMod val="40000"/>
                <a:lumOff val="60000"/>
              </a:schemeClr>
            </a:solid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385116479"/>
        <c:crosses val="autoZero"/>
        <c:crossBetween val="midCat"/>
      </c:valAx>
      <c:valAx>
        <c:axId val="385116479"/>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ZA"/>
                  <a:t>Horizontal</a:t>
                </a:r>
                <a:r>
                  <a:rPr lang="en-ZA" baseline="0"/>
                  <a:t> Axis</a:t>
                </a:r>
                <a:endParaRPr lang="en-ZA"/>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0.000" sourceLinked="1"/>
        <c:majorTickMark val="none"/>
        <c:minorTickMark val="none"/>
        <c:tickLblPos val="none"/>
        <c:spPr>
          <a:noFill/>
          <a:ln>
            <a:solidFill>
              <a:schemeClr val="tx2">
                <a:lumMod val="40000"/>
                <a:lumOff val="60000"/>
              </a:schemeClr>
            </a:solid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475755503"/>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v>Limpopo</c:v>
          </c:tx>
          <c:spPr>
            <a:ln w="25400" cap="rnd">
              <a:noFill/>
              <a:round/>
            </a:ln>
            <a:effectLst/>
          </c:spPr>
          <c:marker>
            <c:symbol val="circle"/>
            <c:size val="5"/>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w="9525">
                <a:solidFill>
                  <a:schemeClr val="accent1"/>
                </a:solidFill>
                <a:round/>
              </a:ln>
              <a:effectLst/>
            </c:spPr>
          </c:marker>
          <c:xVal>
            <c:numRef>
              <c:f>PCoA!$B$33:$B$52</c:f>
              <c:numCache>
                <c:formatCode>0.000</c:formatCode>
                <c:ptCount val="20"/>
                <c:pt idx="0">
                  <c:v>0.20033253376892973</c:v>
                </c:pt>
                <c:pt idx="1">
                  <c:v>-0.10799168240498755</c:v>
                </c:pt>
                <c:pt idx="2">
                  <c:v>-9.5172336698525831E-2</c:v>
                </c:pt>
                <c:pt idx="3">
                  <c:v>8.5297506561496678E-2</c:v>
                </c:pt>
                <c:pt idx="4">
                  <c:v>-4.1335309046809134E-2</c:v>
                </c:pt>
                <c:pt idx="5">
                  <c:v>8.3924964565045196E-2</c:v>
                </c:pt>
                <c:pt idx="6">
                  <c:v>8.5297506559635861E-2</c:v>
                </c:pt>
                <c:pt idx="7">
                  <c:v>-0.10799168240610256</c:v>
                </c:pt>
                <c:pt idx="8">
                  <c:v>-5.9638483052252819E-2</c:v>
                </c:pt>
                <c:pt idx="9">
                  <c:v>0.20033253377687327</c:v>
                </c:pt>
                <c:pt idx="10">
                  <c:v>8.5297506564903383E-2</c:v>
                </c:pt>
                <c:pt idx="11">
                  <c:v>8.1005831986525473E-2</c:v>
                </c:pt>
                <c:pt idx="12">
                  <c:v>0.20033253377178173</c:v>
                </c:pt>
                <c:pt idx="13">
                  <c:v>-3.8151527972275653E-2</c:v>
                </c:pt>
                <c:pt idx="14">
                  <c:v>8.5297506561697142E-2</c:v>
                </c:pt>
                <c:pt idx="15">
                  <c:v>8.5297506561754638E-2</c:v>
                </c:pt>
                <c:pt idx="16">
                  <c:v>0.20033253376722701</c:v>
                </c:pt>
                <c:pt idx="17">
                  <c:v>-4.1335309051430666E-2</c:v>
                </c:pt>
                <c:pt idx="18">
                  <c:v>0.20033253377490956</c:v>
                </c:pt>
                <c:pt idx="19">
                  <c:v>8.5297506561359496E-2</c:v>
                </c:pt>
              </c:numCache>
            </c:numRef>
          </c:xVal>
          <c:yVal>
            <c:numRef>
              <c:f>PCoA!$C$33:$C$52</c:f>
              <c:numCache>
                <c:formatCode>0.000</c:formatCode>
                <c:ptCount val="20"/>
                <c:pt idx="0">
                  <c:v>6.3220553637463395E-3</c:v>
                </c:pt>
                <c:pt idx="1">
                  <c:v>-0.21887530065518115</c:v>
                </c:pt>
                <c:pt idx="2">
                  <c:v>6.7446357188026759E-2</c:v>
                </c:pt>
                <c:pt idx="3">
                  <c:v>2.1040844182790442E-2</c:v>
                </c:pt>
                <c:pt idx="4">
                  <c:v>9.1621296852100586E-3</c:v>
                </c:pt>
                <c:pt idx="5">
                  <c:v>6.2891339543159931E-3</c:v>
                </c:pt>
                <c:pt idx="6">
                  <c:v>2.1040844160706128E-2</c:v>
                </c:pt>
                <c:pt idx="7">
                  <c:v>-0.21887530074933015</c:v>
                </c:pt>
                <c:pt idx="8">
                  <c:v>-9.6745628437151093E-2</c:v>
                </c:pt>
                <c:pt idx="9">
                  <c:v>6.3220553242518476E-3</c:v>
                </c:pt>
                <c:pt idx="10">
                  <c:v>2.1040844071122462E-2</c:v>
                </c:pt>
                <c:pt idx="11">
                  <c:v>-2.1071365967594746E-2</c:v>
                </c:pt>
                <c:pt idx="12">
                  <c:v>6.3220552685987726E-3</c:v>
                </c:pt>
                <c:pt idx="13">
                  <c:v>2.8691127972721706E-2</c:v>
                </c:pt>
                <c:pt idx="14">
                  <c:v>2.1040844008283769E-2</c:v>
                </c:pt>
                <c:pt idx="15">
                  <c:v>2.1040844364771698E-2</c:v>
                </c:pt>
                <c:pt idx="16">
                  <c:v>6.3220553319764993E-3</c:v>
                </c:pt>
                <c:pt idx="17">
                  <c:v>9.1621297411205588E-3</c:v>
                </c:pt>
                <c:pt idx="18">
                  <c:v>6.3220553452132703E-3</c:v>
                </c:pt>
                <c:pt idx="19">
                  <c:v>2.1040844042718044E-2</c:v>
                </c:pt>
              </c:numCache>
            </c:numRef>
          </c:yVal>
          <c:smooth val="0"/>
          <c:extLst>
            <c:ext xmlns:c16="http://schemas.microsoft.com/office/drawing/2014/chart" uri="{C3380CC4-5D6E-409C-BE32-E72D297353CC}">
              <c16:uniqueId val="{00000000-6037-4235-B53A-2FB853C3E5BC}"/>
            </c:ext>
          </c:extLst>
        </c:ser>
        <c:ser>
          <c:idx val="1"/>
          <c:order val="1"/>
          <c:tx>
            <c:v>NC</c:v>
          </c:tx>
          <c:spPr>
            <a:ln w="25400" cap="rnd">
              <a:noFill/>
              <a:round/>
            </a:ln>
            <a:effectLst/>
          </c:spPr>
          <c:marker>
            <c:symbol val="circle"/>
            <c:size val="5"/>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w="9525">
                <a:solidFill>
                  <a:schemeClr val="accent2"/>
                </a:solidFill>
                <a:round/>
              </a:ln>
              <a:effectLst/>
            </c:spPr>
          </c:marker>
          <c:xVal>
            <c:numRef>
              <c:f>PCoA!$B$53:$B$69</c:f>
              <c:numCache>
                <c:formatCode>0.000</c:formatCode>
                <c:ptCount val="17"/>
                <c:pt idx="0">
                  <c:v>8.5297506559202443E-2</c:v>
                </c:pt>
                <c:pt idx="1">
                  <c:v>6.7646236827794873E-2</c:v>
                </c:pt>
                <c:pt idx="2">
                  <c:v>-8.3317805771938938E-2</c:v>
                </c:pt>
                <c:pt idx="3">
                  <c:v>-8.4095345841147334E-2</c:v>
                </c:pt>
                <c:pt idx="4">
                  <c:v>-8.4095345846566832E-2</c:v>
                </c:pt>
                <c:pt idx="5">
                  <c:v>-5.749518071885075E-2</c:v>
                </c:pt>
                <c:pt idx="6">
                  <c:v>-0.13446641841175411</c:v>
                </c:pt>
                <c:pt idx="7">
                  <c:v>-6.422109596340396E-2</c:v>
                </c:pt>
                <c:pt idx="8">
                  <c:v>-6.7669107522983135E-2</c:v>
                </c:pt>
                <c:pt idx="9">
                  <c:v>-3.7308643899092879E-2</c:v>
                </c:pt>
                <c:pt idx="10">
                  <c:v>-7.2055930647182811E-2</c:v>
                </c:pt>
                <c:pt idx="11">
                  <c:v>-7.3423558825645913E-2</c:v>
                </c:pt>
                <c:pt idx="12">
                  <c:v>-7.3423558825672058E-2</c:v>
                </c:pt>
                <c:pt idx="13">
                  <c:v>-0.13446641841050716</c:v>
                </c:pt>
                <c:pt idx="14">
                  <c:v>-7.2055930642987417E-2</c:v>
                </c:pt>
                <c:pt idx="15">
                  <c:v>-7.2055930642229121E-2</c:v>
                </c:pt>
                <c:pt idx="16">
                  <c:v>-7.2055930642125482E-2</c:v>
                </c:pt>
              </c:numCache>
            </c:numRef>
          </c:xVal>
          <c:yVal>
            <c:numRef>
              <c:f>PCoA!$C$53:$C$69</c:f>
              <c:numCache>
                <c:formatCode>0.000</c:formatCode>
                <c:ptCount val="17"/>
                <c:pt idx="0">
                  <c:v>2.1040844073985293E-2</c:v>
                </c:pt>
                <c:pt idx="1">
                  <c:v>-9.4641734418932436E-2</c:v>
                </c:pt>
                <c:pt idx="2">
                  <c:v>3.9679011303320133E-2</c:v>
                </c:pt>
                <c:pt idx="3">
                  <c:v>-4.5644026384526262E-2</c:v>
                </c:pt>
                <c:pt idx="4">
                  <c:v>-4.5644026477445573E-2</c:v>
                </c:pt>
                <c:pt idx="5">
                  <c:v>6.1894161632351459E-2</c:v>
                </c:pt>
                <c:pt idx="6">
                  <c:v>0.12750150446927322</c:v>
                </c:pt>
                <c:pt idx="7">
                  <c:v>7.7897257383038987E-2</c:v>
                </c:pt>
                <c:pt idx="8">
                  <c:v>5.849508524084028E-2</c:v>
                </c:pt>
                <c:pt idx="9">
                  <c:v>6.0731508826559043E-3</c:v>
                </c:pt>
                <c:pt idx="10">
                  <c:v>6.4667857695811723E-2</c:v>
                </c:pt>
                <c:pt idx="11">
                  <c:v>1.8108741518046898E-2</c:v>
                </c:pt>
                <c:pt idx="12">
                  <c:v>1.8108741518700965E-2</c:v>
                </c:pt>
                <c:pt idx="13">
                  <c:v>0.12750150446306391</c:v>
                </c:pt>
                <c:pt idx="14">
                  <c:v>6.4667857698250286E-2</c:v>
                </c:pt>
                <c:pt idx="15">
                  <c:v>6.4667857836228915E-2</c:v>
                </c:pt>
                <c:pt idx="16">
                  <c:v>6.4667857767514589E-2</c:v>
                </c:pt>
              </c:numCache>
            </c:numRef>
          </c:yVal>
          <c:smooth val="0"/>
          <c:extLst>
            <c:ext xmlns:c16="http://schemas.microsoft.com/office/drawing/2014/chart" uri="{C3380CC4-5D6E-409C-BE32-E72D297353CC}">
              <c16:uniqueId val="{00000001-6037-4235-B53A-2FB853C3E5BC}"/>
            </c:ext>
          </c:extLst>
        </c:ser>
        <c:ser>
          <c:idx val="2"/>
          <c:order val="2"/>
          <c:tx>
            <c:v>EC</c:v>
          </c:tx>
          <c:spPr>
            <a:ln w="25400" cap="rnd">
              <a:noFill/>
              <a:round/>
            </a:ln>
            <a:effectLst/>
          </c:spPr>
          <c:marker>
            <c:symbol val="circle"/>
            <c:size val="5"/>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w="9525">
                <a:solidFill>
                  <a:schemeClr val="accent3"/>
                </a:solidFill>
                <a:round/>
              </a:ln>
              <a:effectLst/>
            </c:spPr>
          </c:marker>
          <c:xVal>
            <c:numRef>
              <c:f>PCoA!$B$70:$B$95</c:f>
              <c:numCache>
                <c:formatCode>0.000</c:formatCode>
                <c:ptCount val="26"/>
                <c:pt idx="0">
                  <c:v>0.2003325337724112</c:v>
                </c:pt>
                <c:pt idx="1">
                  <c:v>8.1005831986264931E-2</c:v>
                </c:pt>
                <c:pt idx="2">
                  <c:v>0.20033253376542795</c:v>
                </c:pt>
                <c:pt idx="3">
                  <c:v>-0.13446641841517429</c:v>
                </c:pt>
                <c:pt idx="4">
                  <c:v>-7.6834451696045677E-2</c:v>
                </c:pt>
                <c:pt idx="5">
                  <c:v>-8.4095345850366043E-2</c:v>
                </c:pt>
                <c:pt idx="6">
                  <c:v>-5.9519594112658968E-2</c:v>
                </c:pt>
                <c:pt idx="7">
                  <c:v>-7.6834451696199915E-2</c:v>
                </c:pt>
                <c:pt idx="8">
                  <c:v>0.2003325337706755</c:v>
                </c:pt>
                <c:pt idx="9">
                  <c:v>6.7646236831342826E-2</c:v>
                </c:pt>
                <c:pt idx="10">
                  <c:v>-7.5742855890182523E-2</c:v>
                </c:pt>
                <c:pt idx="11">
                  <c:v>0.20033253377005714</c:v>
                </c:pt>
                <c:pt idx="12">
                  <c:v>6.7646236825228662E-2</c:v>
                </c:pt>
                <c:pt idx="13">
                  <c:v>-0.13446641841471357</c:v>
                </c:pt>
                <c:pt idx="14">
                  <c:v>-8.4095345840614164E-2</c:v>
                </c:pt>
                <c:pt idx="15">
                  <c:v>6.764623682903452E-2</c:v>
                </c:pt>
                <c:pt idx="16">
                  <c:v>8.1005831986143376E-2</c:v>
                </c:pt>
                <c:pt idx="17">
                  <c:v>8.1005831991845439E-2</c:v>
                </c:pt>
                <c:pt idx="18">
                  <c:v>8.1005831987770144E-2</c:v>
                </c:pt>
                <c:pt idx="19">
                  <c:v>-5.9519594115131212E-2</c:v>
                </c:pt>
                <c:pt idx="20">
                  <c:v>8.3924964555193257E-2</c:v>
                </c:pt>
                <c:pt idx="21">
                  <c:v>-7.5742855889447291E-2</c:v>
                </c:pt>
                <c:pt idx="22">
                  <c:v>-7.683445169890453E-2</c:v>
                </c:pt>
                <c:pt idx="23">
                  <c:v>6.764623682986004E-2</c:v>
                </c:pt>
                <c:pt idx="24">
                  <c:v>0.20033253377156604</c:v>
                </c:pt>
                <c:pt idx="25">
                  <c:v>8.3924964561558429E-2</c:v>
                </c:pt>
              </c:numCache>
            </c:numRef>
          </c:xVal>
          <c:yVal>
            <c:numRef>
              <c:f>PCoA!$C$70:$C$95</c:f>
              <c:numCache>
                <c:formatCode>0.000</c:formatCode>
                <c:ptCount val="26"/>
                <c:pt idx="0">
                  <c:v>6.3220552310608667E-3</c:v>
                </c:pt>
                <c:pt idx="1">
                  <c:v>-2.1071365926591413E-2</c:v>
                </c:pt>
                <c:pt idx="2">
                  <c:v>6.3220553193279114E-3</c:v>
                </c:pt>
                <c:pt idx="3">
                  <c:v>0.12750150446529634</c:v>
                </c:pt>
                <c:pt idx="4">
                  <c:v>-4.8117024879593323E-2</c:v>
                </c:pt>
                <c:pt idx="5">
                  <c:v>-4.5644026438001646E-2</c:v>
                </c:pt>
                <c:pt idx="6">
                  <c:v>-0.11914178949145685</c:v>
                </c:pt>
                <c:pt idx="7">
                  <c:v>-4.8117024876509165E-2</c:v>
                </c:pt>
                <c:pt idx="8">
                  <c:v>6.3220553283664391E-3</c:v>
                </c:pt>
                <c:pt idx="9">
                  <c:v>-9.4641734437500943E-2</c:v>
                </c:pt>
                <c:pt idx="10">
                  <c:v>2.1471192531101149E-2</c:v>
                </c:pt>
                <c:pt idx="11">
                  <c:v>6.3220553620626811E-3</c:v>
                </c:pt>
                <c:pt idx="12">
                  <c:v>-9.4641734459517943E-2</c:v>
                </c:pt>
                <c:pt idx="13">
                  <c:v>0.12750150441952482</c:v>
                </c:pt>
                <c:pt idx="14">
                  <c:v>-4.5644026421103399E-2</c:v>
                </c:pt>
                <c:pt idx="15">
                  <c:v>-9.464173441793014E-2</c:v>
                </c:pt>
                <c:pt idx="16">
                  <c:v>-2.1071365973255658E-2</c:v>
                </c:pt>
                <c:pt idx="17">
                  <c:v>-2.1071365952176804E-2</c:v>
                </c:pt>
                <c:pt idx="18">
                  <c:v>-2.1071365946007198E-2</c:v>
                </c:pt>
                <c:pt idx="19">
                  <c:v>-0.11914178953099989</c:v>
                </c:pt>
                <c:pt idx="20">
                  <c:v>6.2891340555141124E-3</c:v>
                </c:pt>
                <c:pt idx="21">
                  <c:v>2.14711925361399E-2</c:v>
                </c:pt>
                <c:pt idx="22">
                  <c:v>-4.8117024890513553E-2</c:v>
                </c:pt>
                <c:pt idx="23">
                  <c:v>-9.4641734360574978E-2</c:v>
                </c:pt>
                <c:pt idx="24">
                  <c:v>6.3220553267876213E-3</c:v>
                </c:pt>
                <c:pt idx="25">
                  <c:v>6.2891340579669681E-3</c:v>
                </c:pt>
              </c:numCache>
            </c:numRef>
          </c:yVal>
          <c:smooth val="0"/>
          <c:extLst>
            <c:ext xmlns:c16="http://schemas.microsoft.com/office/drawing/2014/chart" uri="{C3380CC4-5D6E-409C-BE32-E72D297353CC}">
              <c16:uniqueId val="{00000002-6037-4235-B53A-2FB853C3E5BC}"/>
            </c:ext>
          </c:extLst>
        </c:ser>
        <c:ser>
          <c:idx val="3"/>
          <c:order val="3"/>
          <c:tx>
            <c:v>KZN</c:v>
          </c:tx>
          <c:spPr>
            <a:ln w="25400" cap="rnd">
              <a:noFill/>
              <a:round/>
            </a:ln>
            <a:effectLst/>
          </c:spPr>
          <c:marker>
            <c:symbol val="circle"/>
            <c:size val="5"/>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w="9525">
                <a:solidFill>
                  <a:schemeClr val="accent4"/>
                </a:solidFill>
                <a:round/>
              </a:ln>
              <a:effectLst/>
            </c:spPr>
          </c:marker>
          <c:xVal>
            <c:numRef>
              <c:f>PCoA!$B$96:$B$129</c:f>
              <c:numCache>
                <c:formatCode>0.000</c:formatCode>
                <c:ptCount val="34"/>
                <c:pt idx="0">
                  <c:v>-6.9131147993035852E-2</c:v>
                </c:pt>
                <c:pt idx="1">
                  <c:v>0.20033253376964211</c:v>
                </c:pt>
                <c:pt idx="2">
                  <c:v>0.20033253376953097</c:v>
                </c:pt>
                <c:pt idx="3">
                  <c:v>-0.10799168240780102</c:v>
                </c:pt>
                <c:pt idx="4">
                  <c:v>-9.5172336702185334E-2</c:v>
                </c:pt>
                <c:pt idx="5">
                  <c:v>0.20033253377527535</c:v>
                </c:pt>
                <c:pt idx="6">
                  <c:v>-5.9519594113013281E-2</c:v>
                </c:pt>
                <c:pt idx="7">
                  <c:v>-0.10799168240734125</c:v>
                </c:pt>
                <c:pt idx="8">
                  <c:v>0.20033253377388224</c:v>
                </c:pt>
                <c:pt idx="9">
                  <c:v>-7.6834451699267753E-2</c:v>
                </c:pt>
                <c:pt idx="10">
                  <c:v>0.20033253377223711</c:v>
                </c:pt>
                <c:pt idx="11">
                  <c:v>0.20033253377176127</c:v>
                </c:pt>
                <c:pt idx="12">
                  <c:v>0.20033253376881791</c:v>
                </c:pt>
                <c:pt idx="13">
                  <c:v>-5.3341116024922579E-2</c:v>
                </c:pt>
                <c:pt idx="14">
                  <c:v>-9.517233669563642E-2</c:v>
                </c:pt>
                <c:pt idx="15">
                  <c:v>-4.1458913010315471E-2</c:v>
                </c:pt>
                <c:pt idx="16">
                  <c:v>-9.5172336698280027E-2</c:v>
                </c:pt>
                <c:pt idx="17">
                  <c:v>-9.5172336698048893E-2</c:v>
                </c:pt>
                <c:pt idx="18">
                  <c:v>8.5297506564046277E-2</c:v>
                </c:pt>
                <c:pt idx="19">
                  <c:v>8.5297506562283534E-2</c:v>
                </c:pt>
                <c:pt idx="20">
                  <c:v>0.20033253376279775</c:v>
                </c:pt>
                <c:pt idx="21">
                  <c:v>8.5297506561918215E-2</c:v>
                </c:pt>
                <c:pt idx="22">
                  <c:v>-5.7495180715097537E-2</c:v>
                </c:pt>
                <c:pt idx="23">
                  <c:v>-5.6681197434307669E-2</c:v>
                </c:pt>
                <c:pt idx="24">
                  <c:v>0.200332533771195</c:v>
                </c:pt>
                <c:pt idx="25">
                  <c:v>-8.3317805771315284E-2</c:v>
                </c:pt>
                <c:pt idx="26">
                  <c:v>0.20033253377306817</c:v>
                </c:pt>
                <c:pt idx="27">
                  <c:v>8.7987905028750688E-2</c:v>
                </c:pt>
                <c:pt idx="28">
                  <c:v>-5.7495180715856561E-2</c:v>
                </c:pt>
                <c:pt idx="29">
                  <c:v>-4.746453870485013E-2</c:v>
                </c:pt>
                <c:pt idx="30">
                  <c:v>-5.7495180714261546E-2</c:v>
                </c:pt>
                <c:pt idx="31">
                  <c:v>8.5297506561521463E-2</c:v>
                </c:pt>
                <c:pt idx="32">
                  <c:v>-4.0185584990183876E-2</c:v>
                </c:pt>
                <c:pt idx="33">
                  <c:v>8.5297506554563335E-2</c:v>
                </c:pt>
              </c:numCache>
            </c:numRef>
          </c:xVal>
          <c:yVal>
            <c:numRef>
              <c:f>PCoA!$C$96:$C$129</c:f>
              <c:numCache>
                <c:formatCode>0.000</c:formatCode>
                <c:ptCount val="34"/>
                <c:pt idx="0">
                  <c:v>1.8455612096632573E-2</c:v>
                </c:pt>
                <c:pt idx="1">
                  <c:v>6.3220553299370456E-3</c:v>
                </c:pt>
                <c:pt idx="2">
                  <c:v>6.322055344218906E-3</c:v>
                </c:pt>
                <c:pt idx="3">
                  <c:v>-0.21887530067503858</c:v>
                </c:pt>
                <c:pt idx="4">
                  <c:v>6.7446357194157772E-2</c:v>
                </c:pt>
                <c:pt idx="5">
                  <c:v>6.322055353785795E-3</c:v>
                </c:pt>
                <c:pt idx="6">
                  <c:v>-0.11914178951648328</c:v>
                </c:pt>
                <c:pt idx="7">
                  <c:v>-0.21887530066779359</c:v>
                </c:pt>
                <c:pt idx="8">
                  <c:v>6.3220553524238323E-3</c:v>
                </c:pt>
                <c:pt idx="9">
                  <c:v>-4.8117024875625601E-2</c:v>
                </c:pt>
                <c:pt idx="10">
                  <c:v>6.3220553434666666E-3</c:v>
                </c:pt>
                <c:pt idx="11">
                  <c:v>6.3220553469164973E-3</c:v>
                </c:pt>
                <c:pt idx="12">
                  <c:v>6.3220553447363168E-3</c:v>
                </c:pt>
                <c:pt idx="13">
                  <c:v>-7.896421176168518E-2</c:v>
                </c:pt>
                <c:pt idx="14">
                  <c:v>6.7446357205963633E-2</c:v>
                </c:pt>
                <c:pt idx="15">
                  <c:v>9.4555658238013544E-3</c:v>
                </c:pt>
                <c:pt idx="16">
                  <c:v>6.7446357198185966E-2</c:v>
                </c:pt>
                <c:pt idx="17">
                  <c:v>6.744635720018452E-2</c:v>
                </c:pt>
                <c:pt idx="18">
                  <c:v>2.1040844116741314E-2</c:v>
                </c:pt>
                <c:pt idx="19">
                  <c:v>2.1040844144292688E-2</c:v>
                </c:pt>
                <c:pt idx="20">
                  <c:v>6.3220553386556903E-3</c:v>
                </c:pt>
                <c:pt idx="21">
                  <c:v>2.1040844156908944E-2</c:v>
                </c:pt>
                <c:pt idx="22">
                  <c:v>6.189416172913631E-2</c:v>
                </c:pt>
                <c:pt idx="23">
                  <c:v>3.9222923017994897E-2</c:v>
                </c:pt>
                <c:pt idx="24">
                  <c:v>6.3220553235799528E-3</c:v>
                </c:pt>
                <c:pt idx="25">
                  <c:v>3.9679011423787866E-2</c:v>
                </c:pt>
                <c:pt idx="26">
                  <c:v>6.3220553403005248E-3</c:v>
                </c:pt>
                <c:pt idx="27">
                  <c:v>5.0091023514686837E-3</c:v>
                </c:pt>
                <c:pt idx="28">
                  <c:v>6.1894161686421867E-2</c:v>
                </c:pt>
                <c:pt idx="29">
                  <c:v>4.9766841929830843E-2</c:v>
                </c:pt>
                <c:pt idx="30">
                  <c:v>6.1894161671066192E-2</c:v>
                </c:pt>
                <c:pt idx="31">
                  <c:v>2.104084416725464E-2</c:v>
                </c:pt>
                <c:pt idx="32">
                  <c:v>7.7282726992047588E-3</c:v>
                </c:pt>
                <c:pt idx="33">
                  <c:v>2.1040844163757882E-2</c:v>
                </c:pt>
              </c:numCache>
            </c:numRef>
          </c:yVal>
          <c:smooth val="0"/>
          <c:extLst>
            <c:ext xmlns:c16="http://schemas.microsoft.com/office/drawing/2014/chart" uri="{C3380CC4-5D6E-409C-BE32-E72D297353CC}">
              <c16:uniqueId val="{00000003-6037-4235-B53A-2FB853C3E5BC}"/>
            </c:ext>
          </c:extLst>
        </c:ser>
        <c:ser>
          <c:idx val="4"/>
          <c:order val="4"/>
          <c:tx>
            <c:v>FS</c:v>
          </c:tx>
          <c:spPr>
            <a:ln w="25400" cap="rnd">
              <a:noFill/>
              <a:round/>
            </a:ln>
            <a:effectLst/>
          </c:spPr>
          <c:marker>
            <c:symbol val="circle"/>
            <c:size val="5"/>
            <c:spPr>
              <a:solidFill>
                <a:srgbClr val="FF0000"/>
              </a:solidFill>
              <a:ln w="9525">
                <a:solidFill>
                  <a:srgbClr val="FF0000"/>
                </a:solidFill>
                <a:round/>
              </a:ln>
              <a:effectLst/>
            </c:spPr>
          </c:marker>
          <c:xVal>
            <c:numRef>
              <c:f>PCoA!$B$130:$B$135</c:f>
              <c:numCache>
                <c:formatCode>0.000</c:formatCode>
                <c:ptCount val="6"/>
                <c:pt idx="0">
                  <c:v>-0.10799168240844173</c:v>
                </c:pt>
                <c:pt idx="1">
                  <c:v>-5.9519594114139068E-2</c:v>
                </c:pt>
                <c:pt idx="2">
                  <c:v>-5.9519594110577917E-2</c:v>
                </c:pt>
                <c:pt idx="3">
                  <c:v>6.7646236831486989E-2</c:v>
                </c:pt>
                <c:pt idx="4">
                  <c:v>8.1005831985493049E-2</c:v>
                </c:pt>
                <c:pt idx="5">
                  <c:v>-0.10799168240155958</c:v>
                </c:pt>
              </c:numCache>
            </c:numRef>
          </c:xVal>
          <c:yVal>
            <c:numRef>
              <c:f>PCoA!$C$130:$C$135</c:f>
              <c:numCache>
                <c:formatCode>0.000</c:formatCode>
                <c:ptCount val="6"/>
                <c:pt idx="0">
                  <c:v>-0.2188753005971206</c:v>
                </c:pt>
                <c:pt idx="1">
                  <c:v>-0.11914178953211473</c:v>
                </c:pt>
                <c:pt idx="2">
                  <c:v>-0.11914178952624721</c:v>
                </c:pt>
                <c:pt idx="3">
                  <c:v>-9.4641734390038604E-2</c:v>
                </c:pt>
                <c:pt idx="4">
                  <c:v>-2.1071365895470883E-2</c:v>
                </c:pt>
                <c:pt idx="5">
                  <c:v>-0.21887530065671645</c:v>
                </c:pt>
              </c:numCache>
            </c:numRef>
          </c:yVal>
          <c:smooth val="0"/>
          <c:extLst>
            <c:ext xmlns:c16="http://schemas.microsoft.com/office/drawing/2014/chart" uri="{C3380CC4-5D6E-409C-BE32-E72D297353CC}">
              <c16:uniqueId val="{00000004-6037-4235-B53A-2FB853C3E5BC}"/>
            </c:ext>
          </c:extLst>
        </c:ser>
        <c:ser>
          <c:idx val="5"/>
          <c:order val="5"/>
          <c:tx>
            <c:v>NW</c:v>
          </c:tx>
          <c:spPr>
            <a:ln w="25400" cap="rnd">
              <a:noFill/>
              <a:round/>
            </a:ln>
            <a:effectLst/>
          </c:spPr>
          <c:marker>
            <c:symbol val="circle"/>
            <c:size val="5"/>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w="9525">
                <a:solidFill>
                  <a:schemeClr val="accent6"/>
                </a:solidFill>
                <a:round/>
              </a:ln>
              <a:effectLst/>
            </c:spPr>
          </c:marker>
          <c:xVal>
            <c:numRef>
              <c:f>PCoA!$B$136:$B$143</c:f>
              <c:numCache>
                <c:formatCode>0.000</c:formatCode>
                <c:ptCount val="8"/>
                <c:pt idx="0">
                  <c:v>-7.932440291378888E-2</c:v>
                </c:pt>
                <c:pt idx="1">
                  <c:v>7.5684912344102726E-2</c:v>
                </c:pt>
                <c:pt idx="2">
                  <c:v>-0.13446641841643525</c:v>
                </c:pt>
                <c:pt idx="3">
                  <c:v>-7.0518462962627648E-2</c:v>
                </c:pt>
                <c:pt idx="4">
                  <c:v>-3.5161546012646289E-2</c:v>
                </c:pt>
                <c:pt idx="5">
                  <c:v>-7.9324402908197117E-2</c:v>
                </c:pt>
                <c:pt idx="6">
                  <c:v>-0.13446641841294832</c:v>
                </c:pt>
                <c:pt idx="7">
                  <c:v>-6.6507542430264341E-2</c:v>
                </c:pt>
              </c:numCache>
            </c:numRef>
          </c:xVal>
          <c:yVal>
            <c:numRef>
              <c:f>PCoA!$C$136:$C$143</c:f>
              <c:numCache>
                <c:formatCode>0.000</c:formatCode>
                <c:ptCount val="8"/>
                <c:pt idx="0">
                  <c:v>8.0083011221778994E-2</c:v>
                </c:pt>
                <c:pt idx="1">
                  <c:v>2.7538961782436849E-2</c:v>
                </c:pt>
                <c:pt idx="2">
                  <c:v>0.12750150443487521</c:v>
                </c:pt>
                <c:pt idx="3">
                  <c:v>6.0115840703493122E-2</c:v>
                </c:pt>
                <c:pt idx="4">
                  <c:v>2.7236982497069347E-2</c:v>
                </c:pt>
                <c:pt idx="5">
                  <c:v>8.0083011247819635E-2</c:v>
                </c:pt>
                <c:pt idx="6">
                  <c:v>0.12750150440523378</c:v>
                </c:pt>
                <c:pt idx="7">
                  <c:v>5.7977764651951168E-2</c:v>
                </c:pt>
              </c:numCache>
            </c:numRef>
          </c:yVal>
          <c:smooth val="0"/>
          <c:extLst>
            <c:ext xmlns:c16="http://schemas.microsoft.com/office/drawing/2014/chart" uri="{C3380CC4-5D6E-409C-BE32-E72D297353CC}">
              <c16:uniqueId val="{00000005-6037-4235-B53A-2FB853C3E5BC}"/>
            </c:ext>
          </c:extLst>
        </c:ser>
        <c:dLbls>
          <c:showLegendKey val="0"/>
          <c:showVal val="0"/>
          <c:showCatName val="0"/>
          <c:showSerName val="0"/>
          <c:showPercent val="0"/>
          <c:showBubbleSize val="0"/>
        </c:dLbls>
        <c:axId val="484290207"/>
        <c:axId val="485132815"/>
      </c:scatterChart>
      <c:valAx>
        <c:axId val="484290207"/>
        <c:scaling>
          <c:orientation val="minMax"/>
        </c:scaling>
        <c:delete val="0"/>
        <c:axPos val="b"/>
        <c:majorGridlines>
          <c:spPr>
            <a:ln w="9525" cap="flat" cmpd="sng" algn="ctr">
              <a:solidFill>
                <a:schemeClr val="tx2">
                  <a:lumMod val="15000"/>
                  <a:lumOff val="85000"/>
                </a:schemeClr>
              </a:solidFill>
              <a:round/>
            </a:ln>
            <a:effectLst/>
          </c:spPr>
        </c:majorGridlines>
        <c:title>
          <c:tx>
            <c:rich>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ZA"/>
                  <a:t>Vertical</a:t>
                </a:r>
                <a:r>
                  <a:rPr lang="en-ZA" baseline="0"/>
                  <a:t> Axis</a:t>
                </a:r>
                <a:endParaRPr lang="en-ZA"/>
              </a:p>
            </c:rich>
          </c:tx>
          <c:overlay val="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0.000" sourceLinked="1"/>
        <c:majorTickMark val="none"/>
        <c:minorTickMark val="none"/>
        <c:tickLblPos val="none"/>
        <c:spPr>
          <a:noFill/>
          <a:ln>
            <a:solidFill>
              <a:schemeClr val="tx2">
                <a:lumMod val="40000"/>
                <a:lumOff val="60000"/>
              </a:schemeClr>
            </a:solid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485132815"/>
        <c:crosses val="autoZero"/>
        <c:crossBetween val="midCat"/>
      </c:valAx>
      <c:valAx>
        <c:axId val="485132815"/>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ZA"/>
                  <a:t>Horizontal</a:t>
                </a:r>
                <a:r>
                  <a:rPr lang="en-ZA" baseline="0"/>
                  <a:t> Axis</a:t>
                </a:r>
                <a:endParaRPr lang="en-ZA"/>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0.000" sourceLinked="1"/>
        <c:majorTickMark val="none"/>
        <c:minorTickMark val="none"/>
        <c:tickLblPos val="none"/>
        <c:spPr>
          <a:noFill/>
          <a:ln>
            <a:solidFill>
              <a:schemeClr val="tx2">
                <a:lumMod val="40000"/>
                <a:lumOff val="60000"/>
              </a:schemeClr>
            </a:solid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484290207"/>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2">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9525" cap="rnd">
        <a:solidFill>
          <a:schemeClr val="phClr"/>
        </a:solidFill>
        <a:round/>
      </a:ln>
    </cs:spPr>
  </cs:dataPointLine>
  <cs:dataPointMarker>
    <cs:lnRef idx="0">
      <cs:styleClr val="auto"/>
    </cs:lnRef>
    <cs:fillRef idx="3">
      <cs:styleClr val="auto"/>
    </cs:fillRef>
    <cs:effectRef idx="2"/>
    <cs:fontRef idx="minor">
      <a:schemeClr val="tx2"/>
    </cs:fontRef>
    <cs:spPr>
      <a:ln w="9525">
        <a:solidFill>
          <a:schemeClr val="phClr"/>
        </a:solidFill>
        <a:round/>
      </a:ln>
    </cs:spPr>
  </cs:dataPointMarker>
  <cs:dataPointMarkerLayout symbol="circle" size="5"/>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9525" cap="rnd">
        <a:solidFill>
          <a:schemeClr val="phClr"/>
        </a:solidFill>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spPr>
      <a:ln>
        <a:solidFill>
          <a:schemeClr val="tx2">
            <a:lumMod val="40000"/>
            <a:lumOff val="60000"/>
          </a:schemeClr>
        </a:solidFill>
      </a:ln>
    </cs:spPr>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42">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9525" cap="rnd">
        <a:solidFill>
          <a:schemeClr val="phClr"/>
        </a:solidFill>
        <a:round/>
      </a:ln>
    </cs:spPr>
  </cs:dataPointLine>
  <cs:dataPointMarker>
    <cs:lnRef idx="0">
      <cs:styleClr val="auto"/>
    </cs:lnRef>
    <cs:fillRef idx="3">
      <cs:styleClr val="auto"/>
    </cs:fillRef>
    <cs:effectRef idx="2"/>
    <cs:fontRef idx="minor">
      <a:schemeClr val="tx2"/>
    </cs:fontRef>
    <cs:spPr>
      <a:ln w="9525">
        <a:solidFill>
          <a:schemeClr val="phClr"/>
        </a:solidFill>
        <a:round/>
      </a:ln>
    </cs:spPr>
  </cs:dataPointMarker>
  <cs:dataPointMarkerLayout symbol="circle" size="5"/>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9525" cap="rnd">
        <a:solidFill>
          <a:schemeClr val="phClr"/>
        </a:solidFill>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spPr>
      <a:ln>
        <a:solidFill>
          <a:schemeClr val="tx2">
            <a:lumMod val="40000"/>
            <a:lumOff val="60000"/>
          </a:schemeClr>
        </a:solidFill>
      </a:ln>
    </cs:spPr>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4</Pages>
  <Words>235</Words>
  <Characters>1341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the Free State</Company>
  <LinksUpToDate>false</LinksUpToDate>
  <CharactersWithSpaces>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Willem Coetzer</dc:creator>
  <cp:keywords/>
  <dc:description/>
  <cp:lastModifiedBy>Willem Coetzer</cp:lastModifiedBy>
  <cp:revision>11</cp:revision>
  <dcterms:created xsi:type="dcterms:W3CDTF">2021-09-13T11:38:00Z</dcterms:created>
  <dcterms:modified xsi:type="dcterms:W3CDTF">2021-11-17T07:27:00Z</dcterms:modified>
</cp:coreProperties>
</file>