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2B6B" w:rsidRPr="002429FE" w:rsidRDefault="00032B6B" w:rsidP="00032B6B">
      <w:pPr>
        <w:spacing w:line="480" w:lineRule="auto"/>
        <w:rPr>
          <w:rFonts w:ascii="Times New Roman" w:hAnsi="Times New Roman" w:cs="Times New Roman"/>
          <w:color w:val="000000" w:themeColor="text1"/>
          <w:sz w:val="24"/>
        </w:rPr>
      </w:pPr>
      <w:r w:rsidRPr="002429FE">
        <w:rPr>
          <w:rFonts w:ascii="Times New Roman" w:hAnsi="Times New Roman" w:cs="Times New Roman"/>
          <w:b/>
          <w:bCs/>
          <w:color w:val="000000" w:themeColor="text1"/>
          <w:sz w:val="24"/>
        </w:rPr>
        <w:t xml:space="preserve">Figure S1. TOC inhibits HCC cell growth. </w:t>
      </w:r>
      <w:r w:rsidRPr="002429FE">
        <w:rPr>
          <w:rFonts w:ascii="Times New Roman" w:hAnsi="Times New Roman" w:cs="Times New Roman"/>
          <w:color w:val="000000" w:themeColor="text1"/>
          <w:sz w:val="24"/>
        </w:rPr>
        <w:t>(A) The MTT assay of HCC cells treated with 10μM TOC for indicated times. (B) Representative images of EdU incorporation assay for Fig 1D. Scale bar, 50μm. (C) Flow cytometric analysis of cell cycle in HCC cells</w:t>
      </w:r>
      <w:r w:rsidRPr="002429FE">
        <w:rPr>
          <w:rFonts w:ascii="Times New Roman" w:hAnsi="Times New Roman" w:cs="Times New Roman" w:hint="eastAsia"/>
          <w:color w:val="000000" w:themeColor="text1"/>
          <w:sz w:val="24"/>
        </w:rPr>
        <w:t xml:space="preserve"> incubated with </w:t>
      </w:r>
      <w:r w:rsidRPr="002429FE">
        <w:rPr>
          <w:rFonts w:ascii="Times New Roman" w:hAnsi="Times New Roman" w:cs="Times New Roman"/>
          <w:color w:val="000000" w:themeColor="text1"/>
          <w:sz w:val="24"/>
        </w:rPr>
        <w:t>indicated concentrations of TOC for 24 h.</w:t>
      </w:r>
      <w:r w:rsidRPr="002429FE">
        <w:rPr>
          <w:rFonts w:ascii="Times New Roman" w:hAnsi="Times New Roman" w:cs="Times New Roman" w:hint="eastAsia"/>
          <w:color w:val="000000" w:themeColor="text1"/>
          <w:sz w:val="24"/>
        </w:rPr>
        <w:t xml:space="preserve"> (D) </w:t>
      </w:r>
      <w:r w:rsidRPr="002429FE">
        <w:rPr>
          <w:rFonts w:ascii="Times New Roman" w:hAnsi="Times New Roman" w:cs="Times New Roman"/>
          <w:color w:val="000000" w:themeColor="text1"/>
          <w:sz w:val="24"/>
        </w:rPr>
        <w:t>TUNEL assay in Huh7 and Hep3B cells</w:t>
      </w:r>
      <w:r w:rsidRPr="002429FE">
        <w:rPr>
          <w:rFonts w:ascii="Times New Roman" w:hAnsi="Times New Roman" w:cs="Times New Roman" w:hint="eastAsia"/>
          <w:color w:val="000000" w:themeColor="text1"/>
          <w:sz w:val="24"/>
        </w:rPr>
        <w:t xml:space="preserve"> with or without TOC treatment</w:t>
      </w:r>
      <w:r w:rsidRPr="002429FE">
        <w:rPr>
          <w:rFonts w:ascii="Times New Roman" w:hAnsi="Times New Roman" w:cs="Times New Roman"/>
          <w:color w:val="000000" w:themeColor="text1"/>
          <w:sz w:val="24"/>
        </w:rPr>
        <w:t xml:space="preserve"> (</w:t>
      </w:r>
      <w:r w:rsidRPr="002429FE">
        <w:rPr>
          <w:rFonts w:ascii="Times New Roman" w:hAnsi="Times New Roman" w:cs="Times New Roman" w:hint="eastAsia"/>
          <w:color w:val="000000" w:themeColor="text1"/>
          <w:sz w:val="24"/>
        </w:rPr>
        <w:t xml:space="preserve">10 </w:t>
      </w:r>
      <w:r w:rsidRPr="002429FE">
        <w:rPr>
          <w:rFonts w:ascii="Times New Roman" w:hAnsi="Times New Roman" w:cs="Times New Roman"/>
          <w:color w:val="000000" w:themeColor="text1"/>
          <w:sz w:val="24"/>
        </w:rPr>
        <w:t xml:space="preserve">μM) were performed to detect apoptosis. (*, </w:t>
      </w:r>
      <w:r w:rsidRPr="002429FE">
        <w:rPr>
          <w:rFonts w:ascii="Times New Roman" w:hAnsi="Times New Roman" w:cs="Times New Roman"/>
          <w:i/>
          <w:iCs/>
          <w:color w:val="000000" w:themeColor="text1"/>
          <w:sz w:val="24"/>
        </w:rPr>
        <w:t>P</w:t>
      </w:r>
      <w:r w:rsidRPr="002429FE">
        <w:rPr>
          <w:rFonts w:ascii="Times New Roman" w:hAnsi="Times New Roman" w:cs="Times New Roman"/>
          <w:color w:val="000000" w:themeColor="text1"/>
          <w:sz w:val="24"/>
        </w:rPr>
        <w:t xml:space="preserve"> &lt;0.05; **, </w:t>
      </w:r>
      <w:r w:rsidRPr="002429FE">
        <w:rPr>
          <w:rFonts w:ascii="Times New Roman" w:hAnsi="Times New Roman" w:cs="Times New Roman"/>
          <w:i/>
          <w:iCs/>
          <w:color w:val="000000" w:themeColor="text1"/>
          <w:sz w:val="24"/>
        </w:rPr>
        <w:t>P</w:t>
      </w:r>
      <w:r w:rsidRPr="002429FE">
        <w:rPr>
          <w:rFonts w:ascii="Times New Roman" w:hAnsi="Times New Roman" w:cs="Times New Roman"/>
          <w:color w:val="000000" w:themeColor="text1"/>
          <w:sz w:val="24"/>
        </w:rPr>
        <w:t xml:space="preserve">&lt; 0.01; ***, </w:t>
      </w:r>
      <w:r w:rsidRPr="002429FE">
        <w:rPr>
          <w:rFonts w:ascii="Times New Roman" w:hAnsi="Times New Roman" w:cs="Times New Roman"/>
          <w:i/>
          <w:iCs/>
          <w:color w:val="000000" w:themeColor="text1"/>
          <w:sz w:val="24"/>
        </w:rPr>
        <w:t>P</w:t>
      </w:r>
      <w:r w:rsidRPr="002429FE">
        <w:rPr>
          <w:rFonts w:ascii="Times New Roman" w:hAnsi="Times New Roman" w:cs="Times New Roman"/>
          <w:color w:val="000000" w:themeColor="text1"/>
          <w:sz w:val="24"/>
        </w:rPr>
        <w:t xml:space="preserve"> &lt; 0.001).</w:t>
      </w:r>
    </w:p>
    <w:p w:rsidR="00032B6B" w:rsidRPr="002429FE" w:rsidRDefault="00032B6B" w:rsidP="00032B6B">
      <w:pPr>
        <w:spacing w:line="480" w:lineRule="auto"/>
        <w:rPr>
          <w:rFonts w:ascii="Times New Roman" w:hAnsi="Times New Roman" w:cs="Times New Roman"/>
          <w:color w:val="000000" w:themeColor="text1"/>
          <w:sz w:val="24"/>
        </w:rPr>
      </w:pPr>
    </w:p>
    <w:p w:rsidR="00032B6B" w:rsidRPr="002429FE" w:rsidRDefault="00032B6B" w:rsidP="00032B6B">
      <w:pPr>
        <w:spacing w:line="480" w:lineRule="auto"/>
        <w:rPr>
          <w:rFonts w:ascii="Times New Roman" w:eastAsia="DengXian" w:hAnsi="Times New Roman" w:cs="Times New Roman"/>
          <w:color w:val="000000" w:themeColor="text1"/>
          <w:sz w:val="24"/>
        </w:rPr>
      </w:pPr>
      <w:r w:rsidRPr="002429FE">
        <w:rPr>
          <w:rFonts w:ascii="Times New Roman" w:eastAsia="DengXian" w:hAnsi="Times New Roman" w:cs="Times New Roman"/>
          <w:b/>
          <w:bCs/>
          <w:color w:val="000000" w:themeColor="text1"/>
          <w:sz w:val="24"/>
        </w:rPr>
        <w:t xml:space="preserve">Figure S2. TOC induces autophagy in HCC cells. </w:t>
      </w:r>
      <w:r w:rsidRPr="002429FE">
        <w:rPr>
          <w:rFonts w:ascii="Times New Roman" w:eastAsia="DengXian" w:hAnsi="Times New Roman" w:cs="Times New Roman"/>
          <w:color w:val="000000" w:themeColor="text1"/>
          <w:sz w:val="24"/>
        </w:rPr>
        <w:t>(A) Immunofluorescence analysis of LC3</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in Huh7 and Hep3B cells transfected with si</w:t>
      </w:r>
      <w:r w:rsidRPr="002429FE">
        <w:rPr>
          <w:rFonts w:ascii="Times New Roman" w:eastAsia="DengXian" w:hAnsi="Times New Roman" w:cs="Times New Roman"/>
          <w:i/>
          <w:iCs/>
          <w:color w:val="000000" w:themeColor="text1"/>
          <w:sz w:val="24"/>
        </w:rPr>
        <w:t>Scramble</w:t>
      </w:r>
      <w:r w:rsidRPr="002429FE">
        <w:rPr>
          <w:rFonts w:ascii="Times New Roman" w:eastAsia="DengXian" w:hAnsi="Times New Roman" w:cs="Times New Roman"/>
          <w:color w:val="000000" w:themeColor="text1"/>
          <w:sz w:val="24"/>
        </w:rPr>
        <w:t>, si</w:t>
      </w:r>
      <w:r w:rsidRPr="002429FE">
        <w:rPr>
          <w:rFonts w:ascii="Times New Roman" w:eastAsia="DengXian" w:hAnsi="Times New Roman" w:cs="Times New Roman"/>
          <w:i/>
          <w:iCs/>
          <w:color w:val="000000" w:themeColor="text1"/>
          <w:sz w:val="24"/>
        </w:rPr>
        <w:t>ATG5</w:t>
      </w:r>
      <w:r w:rsidRPr="002429FE">
        <w:rPr>
          <w:rFonts w:ascii="Times New Roman" w:eastAsia="DengXian" w:hAnsi="Times New Roman" w:cs="Times New Roman"/>
          <w:color w:val="000000" w:themeColor="text1"/>
          <w:sz w:val="24"/>
        </w:rPr>
        <w:t xml:space="preserve"> for 24 h, followed by treatment with or without TOC </w:t>
      </w:r>
      <w:r w:rsidRPr="002429FE">
        <w:rPr>
          <w:rFonts w:ascii="Times New Roman" w:eastAsia="DengXian" w:hAnsi="Times New Roman" w:cs="Times New Roman" w:hint="eastAsia"/>
          <w:color w:val="000000" w:themeColor="text1"/>
          <w:sz w:val="24"/>
        </w:rPr>
        <w:t>(</w:t>
      </w:r>
      <w:r w:rsidRPr="002429FE">
        <w:rPr>
          <w:rFonts w:ascii="Times New Roman" w:eastAsia="DengXian" w:hAnsi="Times New Roman" w:cs="Times New Roman"/>
          <w:color w:val="000000" w:themeColor="text1"/>
          <w:sz w:val="24"/>
        </w:rPr>
        <w:t>10</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μM</w:t>
      </w:r>
      <w:r w:rsidRPr="002429FE">
        <w:rPr>
          <w:rFonts w:ascii="Times New Roman" w:eastAsia="DengXian" w:hAnsi="Times New Roman" w:cs="Times New Roman" w:hint="eastAsia"/>
          <w:color w:val="000000" w:themeColor="text1"/>
          <w:sz w:val="24"/>
        </w:rPr>
        <w:t>, 24 h)</w:t>
      </w:r>
      <w:r w:rsidRPr="002429FE">
        <w:rPr>
          <w:rFonts w:ascii="Times New Roman" w:eastAsia="DengXian" w:hAnsi="Times New Roman" w:cs="Times New Roman"/>
          <w:color w:val="000000" w:themeColor="text1"/>
          <w:sz w:val="24"/>
        </w:rPr>
        <w:t xml:space="preserve"> (</w:t>
      </w:r>
      <w:r w:rsidRPr="002429FE">
        <w:rPr>
          <w:rFonts w:ascii="Times New Roman" w:eastAsia="DengXian" w:hAnsi="Times New Roman" w:cs="Times New Roman" w:hint="eastAsia"/>
          <w:color w:val="000000" w:themeColor="text1"/>
          <w:sz w:val="24"/>
        </w:rPr>
        <w:t>left</w:t>
      </w:r>
      <w:r w:rsidRPr="002429FE">
        <w:rPr>
          <w:rFonts w:ascii="Times New Roman" w:eastAsia="DengXian" w:hAnsi="Times New Roman" w:cs="Times New Roman"/>
          <w:color w:val="000000" w:themeColor="text1"/>
          <w:sz w:val="24"/>
        </w:rPr>
        <w:t>). The number of LC3 puncta was shown (right). Scale bar, 20μm. (B) Co-immunoprecipitation analysis of the interaction between Beclin1 and Bcl-2, interaction between Beclin1 and Atg14L in HCC cells incubated with or without TOC</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10</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μM</w:t>
      </w:r>
      <w:r w:rsidRPr="002429FE">
        <w:rPr>
          <w:rFonts w:ascii="Times New Roman" w:eastAsia="DengXian" w:hAnsi="Times New Roman" w:cs="Times New Roman" w:hint="eastAsia"/>
          <w:color w:val="000000" w:themeColor="text1"/>
          <w:sz w:val="24"/>
        </w:rPr>
        <w:t>, 24 h)</w:t>
      </w:r>
      <w:r w:rsidRPr="002429FE">
        <w:rPr>
          <w:rFonts w:ascii="Times New Roman" w:eastAsia="DengXian" w:hAnsi="Times New Roman" w:cs="Times New Roman"/>
          <w:color w:val="000000" w:themeColor="text1"/>
          <w:sz w:val="24"/>
        </w:rPr>
        <w:t xml:space="preserve">. (*, </w:t>
      </w:r>
      <w:r w:rsidRPr="002429FE">
        <w:rPr>
          <w:rFonts w:ascii="Times New Roman" w:eastAsia="DengXian" w:hAnsi="Times New Roman" w:cs="Times New Roman"/>
          <w:i/>
          <w:iCs/>
          <w:color w:val="000000" w:themeColor="text1"/>
          <w:sz w:val="24"/>
        </w:rPr>
        <w:t>P</w:t>
      </w:r>
      <w:r w:rsidRPr="002429FE">
        <w:rPr>
          <w:rFonts w:ascii="Times New Roman" w:eastAsia="DengXian" w:hAnsi="Times New Roman" w:cs="Times New Roman"/>
          <w:color w:val="000000" w:themeColor="text1"/>
          <w:sz w:val="24"/>
        </w:rPr>
        <w:t xml:space="preserve"> &lt;0.05; **, </w:t>
      </w:r>
      <w:r w:rsidRPr="002429FE">
        <w:rPr>
          <w:rFonts w:ascii="Times New Roman" w:eastAsia="DengXian" w:hAnsi="Times New Roman" w:cs="Times New Roman"/>
          <w:i/>
          <w:iCs/>
          <w:color w:val="000000" w:themeColor="text1"/>
          <w:sz w:val="24"/>
        </w:rPr>
        <w:t>P</w:t>
      </w:r>
      <w:r w:rsidRPr="002429FE">
        <w:rPr>
          <w:rFonts w:ascii="Times New Roman" w:eastAsia="DengXian" w:hAnsi="Times New Roman" w:cs="Times New Roman"/>
          <w:color w:val="000000" w:themeColor="text1"/>
          <w:sz w:val="24"/>
        </w:rPr>
        <w:t xml:space="preserve">&lt; 0.01; ***, </w:t>
      </w:r>
      <w:r w:rsidRPr="002429FE">
        <w:rPr>
          <w:rFonts w:ascii="Times New Roman" w:eastAsia="DengXian" w:hAnsi="Times New Roman" w:cs="Times New Roman"/>
          <w:i/>
          <w:iCs/>
          <w:color w:val="000000" w:themeColor="text1"/>
          <w:sz w:val="24"/>
        </w:rPr>
        <w:t>P</w:t>
      </w:r>
      <w:r w:rsidRPr="002429FE">
        <w:rPr>
          <w:rFonts w:ascii="Times New Roman" w:eastAsia="DengXian" w:hAnsi="Times New Roman" w:cs="Times New Roman"/>
          <w:color w:val="000000" w:themeColor="text1"/>
          <w:sz w:val="24"/>
        </w:rPr>
        <w:t xml:space="preserve"> &lt; 0.001). (C) Immunoblotting analysis of LC3, p62 and ATG5 expression in LO2 cells treated with indicated concentrations of TOC. (D) Immunofluorescence analysis of LC3 puncta in LO2 cells treated with DMSO or 10μM TOC. Scale bar, 20μm.</w:t>
      </w:r>
    </w:p>
    <w:p w:rsidR="00032B6B" w:rsidRPr="002429FE" w:rsidRDefault="00032B6B" w:rsidP="00032B6B">
      <w:pPr>
        <w:spacing w:line="480" w:lineRule="auto"/>
        <w:rPr>
          <w:rFonts w:ascii="Times New Roman" w:hAnsi="Times New Roman" w:cs="Times New Roman"/>
          <w:color w:val="000000" w:themeColor="text1"/>
          <w:sz w:val="24"/>
        </w:rPr>
      </w:pPr>
    </w:p>
    <w:p w:rsidR="00032B6B" w:rsidRPr="002429FE" w:rsidRDefault="00032B6B" w:rsidP="00032B6B">
      <w:pPr>
        <w:spacing w:line="480" w:lineRule="auto"/>
        <w:rPr>
          <w:rFonts w:ascii="Times New Roman" w:eastAsia="DengXian" w:hAnsi="Times New Roman" w:cs="Times New Roman"/>
          <w:color w:val="000000" w:themeColor="text1"/>
          <w:sz w:val="24"/>
        </w:rPr>
      </w:pPr>
      <w:r w:rsidRPr="002429FE">
        <w:rPr>
          <w:rFonts w:ascii="Times New Roman" w:eastAsia="DengXian" w:hAnsi="Times New Roman" w:cs="Times New Roman"/>
          <w:b/>
          <w:bCs/>
          <w:color w:val="000000" w:themeColor="text1"/>
          <w:sz w:val="24"/>
        </w:rPr>
        <w:t>Figure S3. TOC promotes autophagy flux in HCC cells.</w:t>
      </w:r>
      <w:r w:rsidRPr="002429FE">
        <w:rPr>
          <w:rFonts w:ascii="Times New Roman" w:eastAsia="DengXian" w:hAnsi="Times New Roman" w:cs="Times New Roman"/>
          <w:color w:val="000000" w:themeColor="text1"/>
          <w:sz w:val="24"/>
        </w:rPr>
        <w:t xml:space="preserve"> (A) Immunoblotting analysis of colocalization of LC3 and lysotracker in Huh7 and Hep3B cells treated with or without TOC</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10</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μM</w:t>
      </w:r>
      <w:r w:rsidRPr="002429FE">
        <w:rPr>
          <w:rFonts w:ascii="Times New Roman" w:eastAsia="DengXian" w:hAnsi="Times New Roman" w:cs="Times New Roman" w:hint="eastAsia"/>
          <w:color w:val="000000" w:themeColor="text1"/>
          <w:sz w:val="24"/>
        </w:rPr>
        <w:t>, 24 h)</w:t>
      </w:r>
      <w:r w:rsidRPr="002429FE">
        <w:rPr>
          <w:rFonts w:ascii="Times New Roman" w:eastAsia="DengXian" w:hAnsi="Times New Roman" w:cs="Times New Roman"/>
          <w:color w:val="000000" w:themeColor="text1"/>
          <w:sz w:val="24"/>
        </w:rPr>
        <w:t xml:space="preserve"> in the presence or absence of CQ</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10</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μM</w:t>
      </w:r>
      <w:r w:rsidRPr="002429FE">
        <w:rPr>
          <w:rFonts w:ascii="Times New Roman" w:eastAsia="DengXian" w:hAnsi="Times New Roman" w:cs="Times New Roman" w:hint="eastAsia"/>
          <w:color w:val="000000" w:themeColor="text1"/>
          <w:sz w:val="24"/>
        </w:rPr>
        <w:t>)</w:t>
      </w:r>
      <w:r w:rsidRPr="002429FE">
        <w:rPr>
          <w:rFonts w:ascii="Times New Roman" w:eastAsia="DengXian" w:hAnsi="Times New Roman" w:cs="Times New Roman"/>
          <w:color w:val="000000" w:themeColor="text1"/>
          <w:sz w:val="24"/>
        </w:rPr>
        <w:t>. Scale bar, 20μm.</w:t>
      </w:r>
    </w:p>
    <w:p w:rsidR="00032B6B" w:rsidRPr="002429FE" w:rsidRDefault="00032B6B" w:rsidP="00032B6B">
      <w:pPr>
        <w:spacing w:line="480" w:lineRule="auto"/>
        <w:rPr>
          <w:rFonts w:ascii="Times New Roman" w:hAnsi="Times New Roman" w:cs="Times New Roman"/>
          <w:color w:val="000000" w:themeColor="text1"/>
          <w:sz w:val="24"/>
        </w:rPr>
      </w:pPr>
    </w:p>
    <w:p w:rsidR="00032B6B" w:rsidRPr="002429FE" w:rsidRDefault="00032B6B" w:rsidP="00032B6B">
      <w:pPr>
        <w:spacing w:line="480" w:lineRule="auto"/>
        <w:rPr>
          <w:rFonts w:ascii="Times New Roman" w:eastAsia="DengXian" w:hAnsi="Times New Roman" w:cs="Times New Roman"/>
          <w:color w:val="000000" w:themeColor="text1"/>
          <w:sz w:val="24"/>
        </w:rPr>
      </w:pPr>
      <w:r w:rsidRPr="002429FE">
        <w:rPr>
          <w:rFonts w:ascii="Times New Roman" w:hAnsi="Times New Roman" w:cs="Times New Roman"/>
          <w:b/>
          <w:bCs/>
          <w:color w:val="000000" w:themeColor="text1"/>
          <w:sz w:val="24"/>
        </w:rPr>
        <w:lastRenderedPageBreak/>
        <w:t>Figure S4. Inhibition of autophagy enhances the anti-HCC effect of TOC.</w:t>
      </w:r>
      <w:r w:rsidRPr="002429FE">
        <w:rPr>
          <w:rFonts w:ascii="Times New Roman" w:hAnsi="Times New Roman" w:cs="Times New Roman"/>
          <w:color w:val="000000" w:themeColor="text1"/>
          <w:sz w:val="24"/>
        </w:rPr>
        <w:t xml:space="preserve"> </w:t>
      </w:r>
      <w:r w:rsidRPr="002429FE">
        <w:rPr>
          <w:rFonts w:ascii="Times New Roman" w:eastAsia="DengXian" w:hAnsi="Times New Roman" w:cs="Times New Roman"/>
          <w:color w:val="000000" w:themeColor="text1"/>
          <w:sz w:val="24"/>
        </w:rPr>
        <w:t>(A-B) Statistics of EdU incorporation assay for Huh7 and Hep3B</w:t>
      </w:r>
      <w:r w:rsidRPr="002429FE">
        <w:rPr>
          <w:rFonts w:ascii="Times New Roman" w:eastAsia="DengXian" w:hAnsi="Times New Roman" w:cs="Times New Roman" w:hint="eastAsia"/>
          <w:color w:val="000000" w:themeColor="text1"/>
          <w:sz w:val="24"/>
        </w:rPr>
        <w:t xml:space="preserve"> cells</w:t>
      </w:r>
      <w:r w:rsidRPr="002429FE">
        <w:rPr>
          <w:rFonts w:ascii="Times New Roman" w:eastAsia="DengXian" w:hAnsi="Times New Roman" w:cs="Times New Roman"/>
          <w:color w:val="000000" w:themeColor="text1"/>
          <w:sz w:val="24"/>
        </w:rPr>
        <w:t xml:space="preserve"> treated with or without TOC</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10</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μM</w:t>
      </w:r>
      <w:r w:rsidRPr="002429FE">
        <w:rPr>
          <w:rFonts w:ascii="Times New Roman" w:eastAsia="DengXian" w:hAnsi="Times New Roman" w:cs="Times New Roman" w:hint="eastAsia"/>
          <w:color w:val="000000" w:themeColor="text1"/>
          <w:sz w:val="24"/>
        </w:rPr>
        <w:t>, 24 h)</w:t>
      </w:r>
      <w:r w:rsidRPr="002429FE">
        <w:rPr>
          <w:rFonts w:ascii="Times New Roman" w:eastAsia="DengXian" w:hAnsi="Times New Roman" w:cs="Times New Roman"/>
          <w:color w:val="000000" w:themeColor="text1"/>
          <w:sz w:val="24"/>
        </w:rPr>
        <w:t xml:space="preserve"> in the presence or absence of CQ</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10</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μM</w:t>
      </w:r>
      <w:r w:rsidRPr="002429FE">
        <w:rPr>
          <w:rFonts w:ascii="Times New Roman" w:eastAsia="DengXian" w:hAnsi="Times New Roman" w:cs="Times New Roman" w:hint="eastAsia"/>
          <w:color w:val="000000" w:themeColor="text1"/>
          <w:sz w:val="24"/>
        </w:rPr>
        <w:t>)</w:t>
      </w:r>
      <w:r w:rsidRPr="002429FE">
        <w:rPr>
          <w:rFonts w:ascii="Times New Roman" w:eastAsia="DengXian" w:hAnsi="Times New Roman" w:cs="Times New Roman"/>
          <w:color w:val="000000" w:themeColor="text1"/>
          <w:sz w:val="24"/>
        </w:rPr>
        <w:t xml:space="preserve"> or 3-MA</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10</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mM</w:t>
      </w:r>
      <w:r w:rsidRPr="002429FE">
        <w:rPr>
          <w:rFonts w:ascii="Times New Roman" w:eastAsia="DengXian" w:hAnsi="Times New Roman" w:cs="Times New Roman" w:hint="eastAsia"/>
          <w:color w:val="000000" w:themeColor="text1"/>
          <w:sz w:val="24"/>
        </w:rPr>
        <w:t>)</w:t>
      </w:r>
      <w:r w:rsidRPr="002429FE">
        <w:rPr>
          <w:rFonts w:ascii="Times New Roman" w:eastAsia="DengXian" w:hAnsi="Times New Roman" w:cs="Times New Roman"/>
          <w:color w:val="000000" w:themeColor="text1"/>
          <w:sz w:val="24"/>
        </w:rPr>
        <w:t>. (C) Immunoblotting analysis of ATG5 in Huh7 and Hep3B cells transfected with siScramble, siATG5 for 24 h. (D) The MTT assay of HCC cells transfected with siScramble, siATG5 for 24 h, followed by treatment with or without TOC</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10</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μM</w:t>
      </w:r>
      <w:r w:rsidRPr="002429FE">
        <w:rPr>
          <w:rFonts w:ascii="Times New Roman" w:eastAsia="DengXian" w:hAnsi="Times New Roman" w:cs="Times New Roman" w:hint="eastAsia"/>
          <w:color w:val="000000" w:themeColor="text1"/>
          <w:sz w:val="24"/>
        </w:rPr>
        <w:t>, 24 h)</w:t>
      </w:r>
      <w:r w:rsidRPr="002429FE">
        <w:rPr>
          <w:rFonts w:ascii="Times New Roman" w:eastAsia="DengXian" w:hAnsi="Times New Roman" w:cs="Times New Roman"/>
          <w:color w:val="000000" w:themeColor="text1"/>
          <w:sz w:val="24"/>
        </w:rPr>
        <w:t>. (E) Colony formation of Huh7 and Hep3B cells treated as in (</w:t>
      </w:r>
      <w:r w:rsidRPr="002429FE">
        <w:rPr>
          <w:rFonts w:ascii="Times New Roman" w:eastAsia="DengXian" w:hAnsi="Times New Roman" w:cs="Times New Roman" w:hint="eastAsia"/>
          <w:color w:val="000000" w:themeColor="text1"/>
          <w:sz w:val="24"/>
        </w:rPr>
        <w:t>D</w:t>
      </w:r>
      <w:r w:rsidRPr="002429FE">
        <w:rPr>
          <w:rFonts w:ascii="Times New Roman" w:eastAsia="DengXian" w:hAnsi="Times New Roman" w:cs="Times New Roman"/>
          <w:color w:val="000000" w:themeColor="text1"/>
          <w:sz w:val="24"/>
        </w:rPr>
        <w:t xml:space="preserve">). (F) The weight of mice treated with vehicle or TOC was measured at the indicated time points. </w:t>
      </w:r>
      <w:r w:rsidRPr="002429FE">
        <w:rPr>
          <w:rFonts w:ascii="Times New Roman" w:eastAsia="DengXian" w:hAnsi="Times New Roman" w:cs="Times New Roman" w:hint="eastAsia"/>
          <w:color w:val="000000" w:themeColor="text1"/>
          <w:sz w:val="24"/>
        </w:rPr>
        <w:t>(</w:t>
      </w:r>
      <w:r w:rsidRPr="002429FE">
        <w:rPr>
          <w:rFonts w:ascii="Times New Roman" w:eastAsia="DengXian" w:hAnsi="Times New Roman" w:cs="Times New Roman"/>
          <w:color w:val="000000" w:themeColor="text1"/>
          <w:sz w:val="24"/>
        </w:rPr>
        <w:t>G</w:t>
      </w:r>
      <w:r w:rsidRPr="002429FE">
        <w:rPr>
          <w:rFonts w:ascii="Times New Roman" w:eastAsia="DengXian" w:hAnsi="Times New Roman" w:cs="Times New Roman" w:hint="eastAsia"/>
          <w:color w:val="000000" w:themeColor="text1"/>
          <w:sz w:val="24"/>
        </w:rPr>
        <w:t>)</w:t>
      </w:r>
      <w:r w:rsidRPr="002429FE">
        <w:rPr>
          <w:rFonts w:ascii="Times New Roman" w:eastAsia="DengXian" w:hAnsi="Times New Roman" w:cs="Times New Roman"/>
          <w:color w:val="000000" w:themeColor="text1"/>
          <w:sz w:val="24"/>
        </w:rPr>
        <w:t xml:space="preserve"> Hematoxylin and eosin</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H&amp;E</w:t>
      </w:r>
      <w:r w:rsidRPr="002429FE">
        <w:rPr>
          <w:rFonts w:ascii="Times New Roman" w:eastAsia="DengXian" w:hAnsi="Times New Roman" w:cs="Times New Roman" w:hint="eastAsia"/>
          <w:color w:val="000000" w:themeColor="text1"/>
          <w:sz w:val="24"/>
        </w:rPr>
        <w:t>)</w:t>
      </w:r>
      <w:r w:rsidRPr="002429FE">
        <w:rPr>
          <w:rFonts w:ascii="Times New Roman" w:eastAsia="DengXian" w:hAnsi="Times New Roman" w:cs="Times New Roman"/>
          <w:color w:val="000000" w:themeColor="text1"/>
          <w:sz w:val="24"/>
        </w:rPr>
        <w:t xml:space="preserve"> staining of the heart, liver, lung, spleen, kidney, and intestine in mice treated with vehicle or TOC. Scale bars, 200μm. (*, P &lt;0.05; **, P&lt; 0.01; ***, P &lt; 0.001).</w:t>
      </w:r>
    </w:p>
    <w:p w:rsidR="00032B6B" w:rsidRPr="002429FE" w:rsidRDefault="00032B6B" w:rsidP="00032B6B">
      <w:pPr>
        <w:spacing w:line="480" w:lineRule="auto"/>
        <w:rPr>
          <w:rFonts w:ascii="Times New Roman" w:eastAsia="DengXian" w:hAnsi="Times New Roman" w:cs="Times New Roman"/>
          <w:color w:val="000000" w:themeColor="text1"/>
          <w:sz w:val="24"/>
        </w:rPr>
      </w:pPr>
    </w:p>
    <w:p w:rsidR="00032B6B" w:rsidRPr="002429FE" w:rsidRDefault="00032B6B" w:rsidP="00032B6B">
      <w:pPr>
        <w:spacing w:line="480" w:lineRule="auto"/>
        <w:rPr>
          <w:rFonts w:ascii="Times New Roman" w:eastAsia="DengXian" w:hAnsi="Times New Roman" w:cs="Times New Roman"/>
          <w:color w:val="000000" w:themeColor="text1"/>
          <w:sz w:val="24"/>
        </w:rPr>
      </w:pPr>
      <w:r w:rsidRPr="002429FE">
        <w:rPr>
          <w:rFonts w:ascii="Times New Roman" w:eastAsia="DengXian" w:hAnsi="Times New Roman" w:cs="Times New Roman"/>
          <w:b/>
          <w:bCs/>
          <w:color w:val="000000" w:themeColor="text1"/>
          <w:sz w:val="24"/>
        </w:rPr>
        <w:t xml:space="preserve">Figure S5. TOC induces autophagy via Cyr61-mediated inactivation of Akt in HCC cells. </w:t>
      </w:r>
      <w:r w:rsidRPr="002429FE">
        <w:rPr>
          <w:rFonts w:ascii="Times New Roman" w:eastAsia="DengXian" w:hAnsi="Times New Roman" w:cs="Times New Roman"/>
          <w:color w:val="000000" w:themeColor="text1"/>
          <w:sz w:val="24"/>
        </w:rPr>
        <w:t xml:space="preserve">(A) Immunoblotting analysis of Cyr61 expression in Huh7 and Hep3B cells treated with MG-132 in the presence or absence of TOC for 12 h. (B) Immunoblotting analysis of Cyr61, phosphorylated Akt, and LC3 in HCC cells transfected with vector or Flag-Cyr61 for 24 h. (C) Immunofluorescence analysis of LC3 puncta in cells treated as in (B). (D) Immunofluorescence analysis of LC3 puncta in </w:t>
      </w:r>
      <w:r w:rsidRPr="002429FE">
        <w:rPr>
          <w:rFonts w:ascii="Times New Roman" w:eastAsia="DengXian" w:hAnsi="Times New Roman" w:cs="Times New Roman" w:hint="eastAsia"/>
          <w:color w:val="000000" w:themeColor="text1"/>
          <w:sz w:val="24"/>
        </w:rPr>
        <w:t xml:space="preserve">HCC </w:t>
      </w:r>
      <w:r w:rsidRPr="002429FE">
        <w:rPr>
          <w:rFonts w:ascii="Times New Roman" w:eastAsia="DengXian" w:hAnsi="Times New Roman" w:cs="Times New Roman"/>
          <w:color w:val="000000" w:themeColor="text1"/>
          <w:sz w:val="24"/>
        </w:rPr>
        <w:t>cells</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 xml:space="preserve">co-transfected with Flag-Cyr61 and CA-Akt plasmids for 48 h. (E) Colony formation assay of HCC </w:t>
      </w:r>
      <w:bookmarkStart w:id="0" w:name="_GoBack"/>
      <w:bookmarkEnd w:id="0"/>
      <w:r w:rsidRPr="002429FE">
        <w:rPr>
          <w:rFonts w:ascii="Times New Roman" w:eastAsia="DengXian" w:hAnsi="Times New Roman" w:cs="Times New Roman"/>
          <w:color w:val="000000" w:themeColor="text1"/>
          <w:sz w:val="24"/>
        </w:rPr>
        <w:t>cells transfected with si</w:t>
      </w:r>
      <w:r w:rsidRPr="002429FE">
        <w:rPr>
          <w:rFonts w:ascii="Times New Roman" w:eastAsia="DengXian" w:hAnsi="Times New Roman" w:cs="Times New Roman"/>
          <w:i/>
          <w:iCs/>
          <w:color w:val="000000" w:themeColor="text1"/>
          <w:sz w:val="24"/>
        </w:rPr>
        <w:t>Scramble</w:t>
      </w:r>
      <w:r w:rsidRPr="002429FE">
        <w:rPr>
          <w:rFonts w:ascii="Times New Roman" w:eastAsia="DengXian" w:hAnsi="Times New Roman" w:cs="Times New Roman"/>
          <w:color w:val="000000" w:themeColor="text1"/>
          <w:sz w:val="24"/>
        </w:rPr>
        <w:t xml:space="preserve"> or si</w:t>
      </w:r>
      <w:r w:rsidRPr="002429FE">
        <w:rPr>
          <w:rFonts w:ascii="Times New Roman" w:eastAsia="DengXian" w:hAnsi="Times New Roman" w:cs="Times New Roman"/>
          <w:i/>
          <w:iCs/>
          <w:color w:val="000000" w:themeColor="text1"/>
          <w:sz w:val="24"/>
        </w:rPr>
        <w:t>Cyr61</w:t>
      </w:r>
      <w:r w:rsidRPr="002429FE">
        <w:rPr>
          <w:rFonts w:ascii="Times New Roman" w:eastAsia="DengXian" w:hAnsi="Times New Roman" w:cs="Times New Roman"/>
          <w:color w:val="000000" w:themeColor="text1"/>
          <w:sz w:val="24"/>
        </w:rPr>
        <w:t>, followed by treatment with or without TOC</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10</w:t>
      </w:r>
      <w:r w:rsidRPr="002429FE">
        <w:rPr>
          <w:rFonts w:ascii="Times New Roman" w:eastAsia="DengXian" w:hAnsi="Times New Roman" w:cs="Times New Roman" w:hint="eastAsia"/>
          <w:color w:val="000000" w:themeColor="text1"/>
          <w:sz w:val="24"/>
        </w:rPr>
        <w:t xml:space="preserve"> </w:t>
      </w:r>
      <w:r w:rsidRPr="002429FE">
        <w:rPr>
          <w:rFonts w:ascii="Times New Roman" w:eastAsia="DengXian" w:hAnsi="Times New Roman" w:cs="Times New Roman"/>
          <w:color w:val="000000" w:themeColor="text1"/>
          <w:sz w:val="24"/>
        </w:rPr>
        <w:t>μM</w:t>
      </w:r>
      <w:r w:rsidRPr="002429FE">
        <w:rPr>
          <w:rFonts w:ascii="Times New Roman" w:eastAsia="DengXian" w:hAnsi="Times New Roman" w:cs="Times New Roman" w:hint="eastAsia"/>
          <w:color w:val="000000" w:themeColor="text1"/>
          <w:sz w:val="24"/>
        </w:rPr>
        <w:t>, 24 h)</w:t>
      </w:r>
      <w:r w:rsidRPr="002429FE">
        <w:rPr>
          <w:rFonts w:ascii="Times New Roman" w:eastAsia="DengXian" w:hAnsi="Times New Roman" w:cs="Times New Roman"/>
          <w:color w:val="000000" w:themeColor="text1"/>
          <w:sz w:val="24"/>
        </w:rPr>
        <w:t xml:space="preserve">. (*, </w:t>
      </w:r>
      <w:r w:rsidRPr="002429FE">
        <w:rPr>
          <w:rFonts w:ascii="Times New Roman" w:eastAsia="DengXian" w:hAnsi="Times New Roman" w:cs="Times New Roman"/>
          <w:i/>
          <w:iCs/>
          <w:color w:val="000000" w:themeColor="text1"/>
          <w:sz w:val="24"/>
        </w:rPr>
        <w:t>P</w:t>
      </w:r>
      <w:r w:rsidRPr="002429FE">
        <w:rPr>
          <w:rFonts w:ascii="Times New Roman" w:eastAsia="DengXian" w:hAnsi="Times New Roman" w:cs="Times New Roman"/>
          <w:color w:val="000000" w:themeColor="text1"/>
          <w:sz w:val="24"/>
        </w:rPr>
        <w:t xml:space="preserve"> &lt;0.05; **, </w:t>
      </w:r>
      <w:r w:rsidRPr="002429FE">
        <w:rPr>
          <w:rFonts w:ascii="Times New Roman" w:eastAsia="DengXian" w:hAnsi="Times New Roman" w:cs="Times New Roman"/>
          <w:i/>
          <w:iCs/>
          <w:color w:val="000000" w:themeColor="text1"/>
          <w:sz w:val="24"/>
        </w:rPr>
        <w:t>P</w:t>
      </w:r>
      <w:r w:rsidRPr="002429FE">
        <w:rPr>
          <w:rFonts w:ascii="Times New Roman" w:eastAsia="DengXian" w:hAnsi="Times New Roman" w:cs="Times New Roman"/>
          <w:color w:val="000000" w:themeColor="text1"/>
          <w:sz w:val="24"/>
        </w:rPr>
        <w:t xml:space="preserve">&lt; 0.01; ***, </w:t>
      </w:r>
      <w:r w:rsidRPr="002429FE">
        <w:rPr>
          <w:rFonts w:ascii="Times New Roman" w:eastAsia="DengXian" w:hAnsi="Times New Roman" w:cs="Times New Roman"/>
          <w:i/>
          <w:iCs/>
          <w:color w:val="000000" w:themeColor="text1"/>
          <w:sz w:val="24"/>
        </w:rPr>
        <w:t>P</w:t>
      </w:r>
      <w:r w:rsidRPr="002429FE">
        <w:rPr>
          <w:rFonts w:ascii="Times New Roman" w:eastAsia="DengXian" w:hAnsi="Times New Roman" w:cs="Times New Roman"/>
          <w:color w:val="000000" w:themeColor="text1"/>
          <w:sz w:val="24"/>
        </w:rPr>
        <w:t xml:space="preserve"> &lt; 0.001).</w:t>
      </w:r>
    </w:p>
    <w:p w:rsidR="00032B6B" w:rsidRPr="002429FE" w:rsidRDefault="00032B6B" w:rsidP="00032B6B">
      <w:pPr>
        <w:spacing w:line="480" w:lineRule="auto"/>
        <w:rPr>
          <w:rFonts w:ascii="Times New Roman" w:hAnsi="Times New Roman" w:cs="Times New Roman"/>
          <w:color w:val="000000" w:themeColor="text1"/>
          <w:sz w:val="24"/>
        </w:rPr>
      </w:pPr>
    </w:p>
    <w:p w:rsidR="00000F57" w:rsidRDefault="00032B6B"/>
    <w:sectPr w:rsidR="00000F57" w:rsidSect="007A7312">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SimSu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B6B"/>
    <w:rsid w:val="00032B6B"/>
    <w:rsid w:val="0007695B"/>
    <w:rsid w:val="005615C6"/>
    <w:rsid w:val="005E078B"/>
    <w:rsid w:val="007D4061"/>
    <w:rsid w:val="008B4EED"/>
    <w:rsid w:val="00B03778"/>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0206EA-90F9-41C2-9135-E40618709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2B6B"/>
    <w:pPr>
      <w:widowControl w:val="0"/>
      <w:spacing w:after="0" w:line="240" w:lineRule="auto"/>
      <w:jc w:val="both"/>
    </w:pPr>
    <w:rPr>
      <w:rFonts w:eastAsiaTheme="minorEastAsi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032B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448</Words>
  <Characters>2560</Characters>
  <Application>Microsoft Office Word</Application>
  <DocSecurity>0</DocSecurity>
  <Lines>21</Lines>
  <Paragraphs>6</Paragraphs>
  <ScaleCrop>false</ScaleCrop>
  <Company>Springer Nature IT</Company>
  <LinksUpToDate>false</LinksUpToDate>
  <CharactersWithSpaces>3002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2022-01-31T10:20:00Z</dcterms:created>
  <dcterms:modified xsi:type="dcterms:W3CDTF">2022-01-31T10:20:00Z</dcterms:modified>
</cp:coreProperties>
</file>