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269A1" w14:textId="77777777" w:rsidR="00F249FE" w:rsidRPr="00293EE4" w:rsidRDefault="00F249FE" w:rsidP="00F249FE">
      <w:pPr>
        <w:pStyle w:val="Heading1"/>
      </w:pPr>
      <w:r>
        <w:t xml:space="preserve">Additional File 1: </w:t>
      </w:r>
      <w:r w:rsidRPr="00F249FE">
        <w:t>Explanation</w:t>
      </w:r>
      <w:r w:rsidRPr="00293EE4">
        <w:t xml:space="preserve"> of the Obuchowski measure: </w:t>
      </w:r>
    </w:p>
    <w:p w14:paraId="65AB6DAF" w14:textId="2B4EDA68" w:rsidR="00467FD0" w:rsidRPr="00467FD0" w:rsidRDefault="00467FD0" w:rsidP="00467FD0">
      <w:pPr>
        <w:spacing w:line="480" w:lineRule="auto"/>
        <w:rPr>
          <w:rFonts w:ascii="Times" w:hAnsi="Times" w:cs="Arial"/>
          <w:lang w:val="en-GB"/>
        </w:rPr>
      </w:pPr>
      <w:r w:rsidRPr="007B40B1">
        <w:rPr>
          <w:rFonts w:ascii="Times" w:hAnsi="Times" w:cs="Arial"/>
          <w:b/>
          <w:lang w:val="en-GB"/>
        </w:rPr>
        <w:t>Title:</w:t>
      </w:r>
      <w:r w:rsidRPr="007B40B1">
        <w:rPr>
          <w:rFonts w:ascii="Times" w:hAnsi="Times" w:cs="Arial"/>
          <w:lang w:val="en-GB"/>
        </w:rPr>
        <w:t xml:space="preserve"> The Enhanced Liver Fibrosis test maintains its diagnostic and prognostic performance in alcohol-related liver disease</w:t>
      </w:r>
      <w:r>
        <w:rPr>
          <w:rFonts w:ascii="Times" w:hAnsi="Times" w:cs="Arial"/>
          <w:lang w:val="en-GB"/>
        </w:rPr>
        <w:t>: A cohort study.</w:t>
      </w:r>
    </w:p>
    <w:p w14:paraId="7C9BBF24" w14:textId="77777777" w:rsidR="00467FD0" w:rsidRPr="00947DA6" w:rsidRDefault="00467FD0" w:rsidP="00467FD0">
      <w:pPr>
        <w:spacing w:line="480" w:lineRule="auto"/>
        <w:rPr>
          <w:rFonts w:ascii="Times" w:hAnsi="Times" w:cs="Arial"/>
          <w:bCs/>
          <w:vertAlign w:val="superscript"/>
        </w:rPr>
      </w:pPr>
      <w:r w:rsidRPr="007B40B1">
        <w:rPr>
          <w:rFonts w:ascii="Times" w:hAnsi="Times" w:cs="Arial"/>
          <w:b/>
          <w:bCs/>
        </w:rPr>
        <w:t xml:space="preserve">Authors: </w:t>
      </w:r>
      <w:r w:rsidRPr="007B40B1">
        <w:rPr>
          <w:rFonts w:ascii="Times" w:hAnsi="Times" w:cs="Arial"/>
          <w:bCs/>
        </w:rPr>
        <w:t>Declan Connoley</w:t>
      </w:r>
      <w:r w:rsidRPr="007B40B1">
        <w:rPr>
          <w:rFonts w:ascii="Times" w:hAnsi="Times" w:cs="Arial"/>
          <w:bCs/>
          <w:vertAlign w:val="superscript"/>
        </w:rPr>
        <w:t>1,2, 3,4</w:t>
      </w:r>
      <w:r w:rsidRPr="007B40B1">
        <w:rPr>
          <w:rFonts w:ascii="Times" w:hAnsi="Times" w:cs="Arial"/>
          <w:bCs/>
        </w:rPr>
        <w:t xml:space="preserve">, Preya </w:t>
      </w:r>
      <w:proofErr w:type="spellStart"/>
      <w:r w:rsidRPr="007B40B1">
        <w:rPr>
          <w:rFonts w:ascii="Times" w:hAnsi="Times" w:cs="Arial"/>
          <w:bCs/>
        </w:rPr>
        <w:t>Janubhai</w:t>
      </w:r>
      <w:proofErr w:type="spellEnd"/>
      <w:r w:rsidRPr="007B40B1">
        <w:rPr>
          <w:rFonts w:ascii="Times" w:hAnsi="Times" w:cs="Arial"/>
          <w:bCs/>
        </w:rPr>
        <w:t xml:space="preserve"> Patel</w:t>
      </w:r>
      <w:r w:rsidRPr="007B40B1">
        <w:rPr>
          <w:rFonts w:ascii="Times" w:hAnsi="Times" w:cs="Arial"/>
          <w:bCs/>
          <w:vertAlign w:val="superscript"/>
        </w:rPr>
        <w:t>3, 4</w:t>
      </w:r>
      <w:r w:rsidRPr="007B40B1">
        <w:rPr>
          <w:rFonts w:ascii="Times" w:hAnsi="Times" w:cs="Arial"/>
          <w:bCs/>
        </w:rPr>
        <w:t>, Brian Hogan</w:t>
      </w:r>
      <w:r w:rsidRPr="007B40B1">
        <w:rPr>
          <w:rFonts w:ascii="Times" w:hAnsi="Times" w:cs="Arial"/>
          <w:bCs/>
          <w:vertAlign w:val="superscript"/>
        </w:rPr>
        <w:t>3</w:t>
      </w:r>
      <w:r w:rsidRPr="007B40B1">
        <w:rPr>
          <w:rFonts w:ascii="Times" w:hAnsi="Times" w:cs="Arial"/>
          <w:bCs/>
        </w:rPr>
        <w:t>, Sudeep Tanwar</w:t>
      </w:r>
      <w:r w:rsidRPr="007B40B1">
        <w:rPr>
          <w:rFonts w:ascii="Times" w:hAnsi="Times" w:cs="Arial"/>
          <w:bCs/>
          <w:vertAlign w:val="superscript"/>
        </w:rPr>
        <w:t>3</w:t>
      </w:r>
      <w:r w:rsidRPr="007B40B1">
        <w:rPr>
          <w:rFonts w:ascii="Times" w:hAnsi="Times" w:cs="Arial"/>
          <w:bCs/>
        </w:rPr>
        <w:t xml:space="preserve">, </w:t>
      </w:r>
      <w:r w:rsidRPr="00947DA6">
        <w:rPr>
          <w:rFonts w:ascii="Times" w:hAnsi="Times" w:cs="Arial"/>
          <w:bCs/>
        </w:rPr>
        <w:t>Freya Rhodes</w:t>
      </w:r>
      <w:r w:rsidRPr="00947DA6">
        <w:rPr>
          <w:rFonts w:ascii="Times" w:hAnsi="Times" w:cs="Arial"/>
          <w:bCs/>
          <w:vertAlign w:val="superscript"/>
        </w:rPr>
        <w:t>3, 4</w:t>
      </w:r>
      <w:r w:rsidRPr="00947DA6">
        <w:rPr>
          <w:rFonts w:ascii="Times" w:hAnsi="Times" w:cs="Arial"/>
          <w:bCs/>
        </w:rPr>
        <w:t>, Julie Parkes</w:t>
      </w:r>
      <w:r w:rsidRPr="00947DA6">
        <w:rPr>
          <w:rFonts w:ascii="Times" w:hAnsi="Times" w:cs="Arial"/>
          <w:bCs/>
          <w:vertAlign w:val="superscript"/>
        </w:rPr>
        <w:t>5</w:t>
      </w:r>
      <w:r w:rsidRPr="00947DA6">
        <w:rPr>
          <w:rFonts w:ascii="Times" w:hAnsi="Times" w:cs="Arial"/>
          <w:bCs/>
        </w:rPr>
        <w:t>, Alastair Burt</w:t>
      </w:r>
      <w:r w:rsidRPr="00947DA6">
        <w:rPr>
          <w:rFonts w:ascii="Times" w:hAnsi="Times" w:cs="Arial"/>
          <w:bCs/>
          <w:vertAlign w:val="superscript"/>
        </w:rPr>
        <w:t>6</w:t>
      </w:r>
      <w:r w:rsidRPr="00947DA6">
        <w:rPr>
          <w:rFonts w:ascii="Times" w:hAnsi="Times" w:cs="Arial"/>
          <w:bCs/>
        </w:rPr>
        <w:t>, Jennifer Watkins</w:t>
      </w:r>
      <w:r w:rsidRPr="00947DA6">
        <w:rPr>
          <w:rFonts w:ascii="Times" w:hAnsi="Times" w:cs="Arial"/>
          <w:bCs/>
          <w:vertAlign w:val="superscript"/>
        </w:rPr>
        <w:t>3</w:t>
      </w:r>
      <w:r w:rsidRPr="00947DA6">
        <w:rPr>
          <w:rFonts w:ascii="Times" w:hAnsi="Times" w:cs="Arial"/>
          <w:bCs/>
        </w:rPr>
        <w:t>, William Sievert</w:t>
      </w:r>
      <w:r w:rsidRPr="00947DA6">
        <w:rPr>
          <w:rFonts w:ascii="Times" w:hAnsi="Times" w:cs="Arial"/>
          <w:bCs/>
          <w:vertAlign w:val="superscript"/>
        </w:rPr>
        <w:t>1,2</w:t>
      </w:r>
      <w:r w:rsidRPr="00947DA6">
        <w:rPr>
          <w:rFonts w:ascii="Times" w:hAnsi="Times" w:cs="Arial"/>
          <w:bCs/>
        </w:rPr>
        <w:t>, William Rosenberg</w:t>
      </w:r>
      <w:r w:rsidRPr="00947DA6">
        <w:rPr>
          <w:rFonts w:ascii="Times" w:hAnsi="Times" w:cs="Arial"/>
          <w:bCs/>
          <w:vertAlign w:val="superscript"/>
        </w:rPr>
        <w:t>3,4</w:t>
      </w:r>
    </w:p>
    <w:p w14:paraId="29FDF08F" w14:textId="77777777" w:rsidR="00F249FE" w:rsidRPr="00947DA6" w:rsidRDefault="00F249FE" w:rsidP="00335B73">
      <w:pPr>
        <w:spacing w:line="360" w:lineRule="auto"/>
        <w:rPr>
          <w:rFonts w:ascii="Times" w:hAnsi="Times" w:cs="Calibri"/>
        </w:rPr>
      </w:pPr>
    </w:p>
    <w:p w14:paraId="1BA67B32" w14:textId="0F034BE6" w:rsidR="00BC5E61" w:rsidRPr="00947DA6" w:rsidRDefault="00335B73" w:rsidP="00947DA6">
      <w:pPr>
        <w:spacing w:line="480" w:lineRule="auto"/>
        <w:rPr>
          <w:rFonts w:ascii="Times" w:hAnsi="Times" w:cs="Calibri"/>
        </w:rPr>
      </w:pPr>
      <w:r w:rsidRPr="00947DA6">
        <w:rPr>
          <w:rFonts w:ascii="Times" w:hAnsi="Times" w:cs="Calibri"/>
        </w:rPr>
        <w:t>Given AUROC requires a binary reference standard, Obuchowski measure was used to calculate a weighted AUROC (</w:t>
      </w:r>
      <w:proofErr w:type="spellStart"/>
      <w:r w:rsidRPr="00947DA6">
        <w:rPr>
          <w:rFonts w:ascii="Times" w:hAnsi="Times" w:cs="Calibri"/>
        </w:rPr>
        <w:t>ordROC</w:t>
      </w:r>
      <w:proofErr w:type="spellEnd"/>
      <w:r w:rsidRPr="00947DA6">
        <w:rPr>
          <w:rFonts w:ascii="Times" w:hAnsi="Times" w:cs="Calibri"/>
        </w:rPr>
        <w:t>) to more appropriately compare non-invasive markers to the ordinal variable of Ishak staging and account for the spectrum effect</w:t>
      </w:r>
      <w:r w:rsidRPr="00947DA6">
        <w:rPr>
          <w:rFonts w:ascii="Times" w:hAnsi="Times" w:cs="Calibri"/>
        </w:rPr>
        <w:fldChar w:fldCharType="begin"/>
      </w:r>
      <w:r w:rsidRPr="00947DA6">
        <w:rPr>
          <w:rFonts w:ascii="Times" w:hAnsi="Times" w:cs="Calibri"/>
        </w:rPr>
        <w:instrText xml:space="preserve"> ADDIN EN.CITE &lt;EndNote&gt;&lt;Cite&gt;&lt;Author&gt;Lambert&lt;/Author&gt;&lt;Year&gt;2008&lt;/Year&gt;&lt;RecNum&gt;1915&lt;/RecNum&gt;&lt;DisplayText&gt;(263)&lt;/DisplayText&gt;&lt;record&gt;&lt;rec-number&gt;1915&lt;/rec-number&gt;&lt;foreign-keys&gt;&lt;key app="EN" db-id="wpfs0vvfwpvd5derxvhv50tn9as0rzftsx5w" timestamp="1538401611"&gt;1915&lt;/key&gt;&lt;/foreign-keys&gt;&lt;ref-type name="Journal Article"&gt;17&lt;/ref-type&gt;&lt;contributors&gt;&lt;authors&gt;&lt;author&gt;Lambert, J.&lt;/author&gt;&lt;author&gt;Halfon, P.&lt;/author&gt;&lt;author&gt;Penaranda, G.&lt;/author&gt;&lt;author&gt;Bedossa, P.&lt;/author&gt;&lt;author&gt;Cacoub, P.&lt;/author&gt;&lt;author&gt;Carrat, F.&lt;/author&gt;&lt;/authors&gt;&lt;/contributors&gt;&lt;auth-address&gt;Universite Pierre et Marie Curie-Paris; INSERM, UMR-S 707; unite de sante publique, Assistance Publique Hopitaux de Paris, Hopital Saint-Antoine, Paris, France.&lt;/auth-address&gt;&lt;titles&gt;&lt;title&gt;How to measure the diagnostic accuracy of noninvasive liver fibrosis indices: the area under the ROC curve revisited&lt;/title&gt;&lt;secondary-title&gt;Clin Chem&lt;/secondary-title&gt;&lt;alt-title&gt;Clinical chemistry&lt;/alt-title&gt;&lt;/titles&gt;&lt;alt-periodical&gt;&lt;full-title&gt;Clinical Chemistry&lt;/full-title&gt;&lt;/alt-periodical&gt;&lt;pages&gt;1372-8&lt;/pages&gt;&lt;volume&gt;54&lt;/volume&gt;&lt;number&gt;8&lt;/number&gt;&lt;edition&gt;2008/06/10&lt;/edition&gt;&lt;keywords&gt;&lt;keyword&gt;Bias&lt;/keyword&gt;&lt;keyword&gt;Biomarkers/blood&lt;/keyword&gt;&lt;keyword&gt;Computer Simulation&lt;/keyword&gt;&lt;keyword&gt;*Data Interpretation, Statistical&lt;/keyword&gt;&lt;keyword&gt;*Diagnostic Tests, Routine/methods/statistics &amp;amp; numerical data&lt;/keyword&gt;&lt;keyword&gt;Hepatitis C, Chronic/complications&lt;/keyword&gt;&lt;keyword&gt;Humans&lt;/keyword&gt;&lt;keyword&gt;Liver/pathology&lt;/keyword&gt;&lt;keyword&gt;Liver Cirrhosis/blood/*diagnosis/etiology/pathology&lt;/keyword&gt;&lt;keyword&gt;*ROC Curve&lt;/keyword&gt;&lt;keyword&gt;Reference Standards&lt;/keyword&gt;&lt;keyword&gt;Sensitivity and Specificity&lt;/keyword&gt;&lt;keyword&gt;Severity of Illness Index&lt;/keyword&gt;&lt;/keywords&gt;&lt;dates&gt;&lt;year&gt;2008&lt;/year&gt;&lt;pub-dates&gt;&lt;date&gt;Aug&lt;/date&gt;&lt;/pub-dates&gt;&lt;/dates&gt;&lt;isbn&gt;0009-9147&lt;/isbn&gt;&lt;accession-num&gt;18539647&lt;/accession-num&gt;&lt;urls&gt;&lt;/urls&gt;&lt;electronic-resource-num&gt;10.1373/clinchem.2007.097923&lt;/electronic-resource-num&gt;&lt;remote-database-provider&gt;NLM&lt;/remote-database-provider&gt;&lt;language&gt;eng&lt;/language&gt;&lt;/record&gt;&lt;/Cite&gt;&lt;/EndNote&gt;</w:instrText>
      </w:r>
      <w:r w:rsidRPr="00947DA6">
        <w:rPr>
          <w:rFonts w:ascii="Times" w:hAnsi="Times" w:cs="Calibri"/>
        </w:rPr>
        <w:fldChar w:fldCharType="separate"/>
      </w:r>
      <w:r w:rsidRPr="00947DA6">
        <w:rPr>
          <w:rFonts w:ascii="Times" w:hAnsi="Times" w:cs="Calibri"/>
        </w:rPr>
        <w:t>(263)</w:t>
      </w:r>
      <w:r w:rsidRPr="00947DA6">
        <w:rPr>
          <w:rFonts w:ascii="Times" w:hAnsi="Times" w:cs="Calibri"/>
        </w:rPr>
        <w:fldChar w:fldCharType="end"/>
      </w:r>
      <w:r w:rsidRPr="00947DA6">
        <w:rPr>
          <w:rFonts w:ascii="Times" w:hAnsi="Times" w:cs="Calibri"/>
        </w:rPr>
        <w:t>. The Obuchowski measure is the probability that two randomly chosen patient samples from different stages will be correctly ranked by a test. It is essentially a multinomial version of AUROC, whereby pair-wise comparisons are completed between stages and weighted to take into account the distance between stages, with a penalty for misclassifying. We defined a penalty function proportional to the difference in Ishak units between stages as follows: 0.17 when difference between stages was 1, 0.33 when difference was 2, 0.50 when difference was three, 0.67 when difference was 4, 0.83 when difference was 5 and 1.00 when difference was 6. Obuchowski interpretation is analogous to AUROC in that approximation to 1 defines an increasingly better test.</w:t>
      </w:r>
    </w:p>
    <w:sectPr w:rsidR="00BC5E61" w:rsidRPr="00947DA6" w:rsidSect="001B4D8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B73"/>
    <w:rsid w:val="00007779"/>
    <w:rsid w:val="000C6A43"/>
    <w:rsid w:val="000D52D8"/>
    <w:rsid w:val="000F1EB9"/>
    <w:rsid w:val="001715F4"/>
    <w:rsid w:val="00171ED6"/>
    <w:rsid w:val="001B4D86"/>
    <w:rsid w:val="001C0123"/>
    <w:rsid w:val="001C41AA"/>
    <w:rsid w:val="001D7AE4"/>
    <w:rsid w:val="001E7033"/>
    <w:rsid w:val="00237824"/>
    <w:rsid w:val="002B0DC6"/>
    <w:rsid w:val="002D2519"/>
    <w:rsid w:val="00335B73"/>
    <w:rsid w:val="00357FEB"/>
    <w:rsid w:val="003F4666"/>
    <w:rsid w:val="004369BD"/>
    <w:rsid w:val="00444746"/>
    <w:rsid w:val="00467FD0"/>
    <w:rsid w:val="0048464A"/>
    <w:rsid w:val="004B300F"/>
    <w:rsid w:val="004B45FE"/>
    <w:rsid w:val="004F4167"/>
    <w:rsid w:val="00500EE0"/>
    <w:rsid w:val="005056C8"/>
    <w:rsid w:val="005108F7"/>
    <w:rsid w:val="005536DF"/>
    <w:rsid w:val="005A1C0D"/>
    <w:rsid w:val="005A3FFE"/>
    <w:rsid w:val="005B0D4D"/>
    <w:rsid w:val="005D374F"/>
    <w:rsid w:val="005D45D9"/>
    <w:rsid w:val="0060683F"/>
    <w:rsid w:val="00631605"/>
    <w:rsid w:val="006320BC"/>
    <w:rsid w:val="006508D9"/>
    <w:rsid w:val="006551F2"/>
    <w:rsid w:val="006B44F5"/>
    <w:rsid w:val="006B64E2"/>
    <w:rsid w:val="006C3511"/>
    <w:rsid w:val="00711BBA"/>
    <w:rsid w:val="00753142"/>
    <w:rsid w:val="00780B09"/>
    <w:rsid w:val="007A1C39"/>
    <w:rsid w:val="007A7820"/>
    <w:rsid w:val="007C20FC"/>
    <w:rsid w:val="007C55E8"/>
    <w:rsid w:val="007D5136"/>
    <w:rsid w:val="007D600E"/>
    <w:rsid w:val="00821C64"/>
    <w:rsid w:val="00866B41"/>
    <w:rsid w:val="008844AC"/>
    <w:rsid w:val="00885A67"/>
    <w:rsid w:val="00913547"/>
    <w:rsid w:val="009166FB"/>
    <w:rsid w:val="00947DA6"/>
    <w:rsid w:val="00955991"/>
    <w:rsid w:val="0096199A"/>
    <w:rsid w:val="009E731E"/>
    <w:rsid w:val="009F1813"/>
    <w:rsid w:val="00A0247C"/>
    <w:rsid w:val="00A559D8"/>
    <w:rsid w:val="00A617E8"/>
    <w:rsid w:val="00A65269"/>
    <w:rsid w:val="00A947FB"/>
    <w:rsid w:val="00B00154"/>
    <w:rsid w:val="00B117F5"/>
    <w:rsid w:val="00B679BA"/>
    <w:rsid w:val="00BA6CF3"/>
    <w:rsid w:val="00BD70C1"/>
    <w:rsid w:val="00BE0966"/>
    <w:rsid w:val="00BE54AF"/>
    <w:rsid w:val="00BF08CE"/>
    <w:rsid w:val="00C35733"/>
    <w:rsid w:val="00C443E4"/>
    <w:rsid w:val="00CB300A"/>
    <w:rsid w:val="00CB5881"/>
    <w:rsid w:val="00CC5980"/>
    <w:rsid w:val="00CD1B7B"/>
    <w:rsid w:val="00D060D8"/>
    <w:rsid w:val="00D63DAA"/>
    <w:rsid w:val="00D865F3"/>
    <w:rsid w:val="00DE08E4"/>
    <w:rsid w:val="00DF1959"/>
    <w:rsid w:val="00E05390"/>
    <w:rsid w:val="00E15ABC"/>
    <w:rsid w:val="00E92221"/>
    <w:rsid w:val="00ED7113"/>
    <w:rsid w:val="00F13536"/>
    <w:rsid w:val="00F249FE"/>
    <w:rsid w:val="00F63977"/>
    <w:rsid w:val="00F76E61"/>
    <w:rsid w:val="00F839BB"/>
    <w:rsid w:val="00FC2FA5"/>
    <w:rsid w:val="00FE196C"/>
    <w:rsid w:val="00FE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E7BE02"/>
  <w15:chartTrackingRefBased/>
  <w15:docId w15:val="{85B58F34-E451-EC43-A73E-F174D04C2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B73"/>
  </w:style>
  <w:style w:type="paragraph" w:styleId="Heading1">
    <w:name w:val="heading 1"/>
    <w:basedOn w:val="Normal"/>
    <w:next w:val="Normal"/>
    <w:link w:val="Heading1Char"/>
    <w:uiPriority w:val="9"/>
    <w:qFormat/>
    <w:rsid w:val="00335B7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5B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gmail-">
    <w:name w:val="gmail-"/>
    <w:basedOn w:val="DefaultParagraphFont"/>
    <w:rsid w:val="00467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30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2943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 James Connoley</dc:creator>
  <cp:keywords/>
  <dc:description/>
  <cp:lastModifiedBy>Declan James Connoley</cp:lastModifiedBy>
  <cp:revision>4</cp:revision>
  <dcterms:created xsi:type="dcterms:W3CDTF">2020-12-22T12:54:00Z</dcterms:created>
  <dcterms:modified xsi:type="dcterms:W3CDTF">2020-12-22T12:58:00Z</dcterms:modified>
</cp:coreProperties>
</file>