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F159B" w14:textId="77777777" w:rsidR="00D418E9" w:rsidRDefault="00F75CD1" w:rsidP="00F75CD1">
      <w:pPr>
        <w:pStyle w:val="Heading4"/>
        <w:shd w:val="clear" w:color="auto" w:fill="FFFFFF"/>
        <w:adjustRightInd w:val="0"/>
        <w:snapToGrid w:val="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75CD1">
        <w:rPr>
          <w:rFonts w:ascii="Arial" w:hAnsi="Arial" w:cs="Arial"/>
          <w:color w:val="000000"/>
          <w:sz w:val="22"/>
          <w:szCs w:val="22"/>
        </w:rPr>
        <w:t xml:space="preserve">Supplemental </w:t>
      </w:r>
      <w:r w:rsidR="00D418E9">
        <w:rPr>
          <w:rFonts w:ascii="Arial" w:hAnsi="Arial" w:cs="Arial"/>
          <w:color w:val="000000"/>
          <w:sz w:val="22"/>
          <w:szCs w:val="22"/>
        </w:rPr>
        <w:t>Information</w:t>
      </w:r>
    </w:p>
    <w:p w14:paraId="51AE8ED2" w14:textId="77777777" w:rsidR="00F75CD1" w:rsidRPr="00F75CD1" w:rsidRDefault="00F75CD1" w:rsidP="00D418E9">
      <w:pPr>
        <w:spacing w:after="0" w:line="240" w:lineRule="auto"/>
        <w:rPr>
          <w:rFonts w:ascii="Arial" w:hAnsi="Arial" w:cs="Arial"/>
          <w:b/>
          <w:bCs/>
        </w:rPr>
      </w:pPr>
    </w:p>
    <w:p w14:paraId="171BAA6F" w14:textId="14245A72" w:rsidR="00F75CD1" w:rsidRPr="00F75CD1" w:rsidRDefault="00F75CD1" w:rsidP="00D418E9">
      <w:pPr>
        <w:spacing w:after="0" w:line="240" w:lineRule="auto"/>
        <w:rPr>
          <w:rFonts w:ascii="Arial" w:hAnsi="Arial" w:cs="Arial"/>
          <w:b/>
          <w:bCs/>
        </w:rPr>
      </w:pPr>
      <w:r w:rsidRPr="00F75CD1">
        <w:rPr>
          <w:rFonts w:ascii="Arial" w:hAnsi="Arial" w:cs="Arial"/>
          <w:b/>
          <w:bCs/>
        </w:rPr>
        <w:t>Supplemental Figure Legends</w:t>
      </w:r>
    </w:p>
    <w:p w14:paraId="61DD19F0" w14:textId="7509EDA4" w:rsidR="00F75CD1" w:rsidRDefault="00F75CD1" w:rsidP="00D418E9">
      <w:pPr>
        <w:spacing w:after="0" w:line="240" w:lineRule="auto"/>
        <w:rPr>
          <w:rFonts w:ascii="Arial" w:hAnsi="Arial" w:cs="Arial"/>
        </w:rPr>
      </w:pPr>
      <w:r w:rsidRPr="00F75CD1">
        <w:rPr>
          <w:rFonts w:ascii="Arial" w:hAnsi="Arial" w:cs="Arial"/>
          <w:b/>
          <w:bCs/>
        </w:rPr>
        <w:t xml:space="preserve">Figure S1. MEK inhibition via </w:t>
      </w:r>
      <w:r w:rsidR="006B2FD0">
        <w:rPr>
          <w:rFonts w:ascii="Arial" w:hAnsi="Arial" w:cs="Arial"/>
          <w:b/>
          <w:bCs/>
        </w:rPr>
        <w:t>t</w:t>
      </w:r>
      <w:r w:rsidRPr="00F75CD1">
        <w:rPr>
          <w:rFonts w:ascii="Arial" w:hAnsi="Arial" w:cs="Arial"/>
          <w:b/>
          <w:bCs/>
        </w:rPr>
        <w:t xml:space="preserve">rametinib prevents CD8 T cell exhaustion in the VQ model. </w:t>
      </w:r>
      <w:r w:rsidR="002D6704" w:rsidRPr="00F75CD1">
        <w:rPr>
          <w:rFonts w:ascii="Arial" w:hAnsi="Arial" w:cs="Arial"/>
        </w:rPr>
        <w:t>CD45.1</w:t>
      </w:r>
      <w:r w:rsidR="002D6704" w:rsidRPr="005E6D4B">
        <w:rPr>
          <w:rFonts w:ascii="Arial" w:hAnsi="Arial" w:cs="Arial"/>
          <w:vertAlign w:val="superscript"/>
        </w:rPr>
        <w:t>+</w:t>
      </w:r>
      <w:r w:rsidR="002D6704" w:rsidRPr="00F75CD1">
        <w:rPr>
          <w:rFonts w:ascii="Arial" w:hAnsi="Arial" w:cs="Arial"/>
        </w:rPr>
        <w:t xml:space="preserve"> </w:t>
      </w:r>
      <w:r w:rsidR="002D6704">
        <w:rPr>
          <w:rFonts w:ascii="Arial" w:hAnsi="Arial" w:cs="Arial"/>
        </w:rPr>
        <w:t>r</w:t>
      </w:r>
      <w:r w:rsidR="002D6704" w:rsidRPr="00F75CD1">
        <w:rPr>
          <w:rFonts w:ascii="Arial" w:hAnsi="Arial" w:cs="Arial"/>
        </w:rPr>
        <w:t>ecipient mice were injected with 0.5</w:t>
      </w:r>
      <w:r w:rsidR="002D6704">
        <w:rPr>
          <w:rFonts w:ascii="Arial" w:hAnsi="Arial" w:cs="Arial"/>
        </w:rPr>
        <w:t>x10</w:t>
      </w:r>
      <w:r w:rsidR="002D6704" w:rsidRPr="005E6D4B">
        <w:rPr>
          <w:rFonts w:ascii="Arial" w:hAnsi="Arial" w:cs="Arial"/>
          <w:vertAlign w:val="superscript"/>
        </w:rPr>
        <w:t>6</w:t>
      </w:r>
      <w:r w:rsidR="002D6704" w:rsidRPr="00F75CD1">
        <w:rPr>
          <w:rFonts w:ascii="Arial" w:hAnsi="Arial" w:cs="Arial"/>
        </w:rPr>
        <w:t xml:space="preserve"> </w:t>
      </w:r>
      <w:r w:rsidR="002D6704">
        <w:rPr>
          <w:rFonts w:ascii="Arial" w:hAnsi="Arial" w:cs="Arial"/>
        </w:rPr>
        <w:t xml:space="preserve">VQ-D1 </w:t>
      </w:r>
      <w:r w:rsidR="002D6704" w:rsidRPr="00F75CD1">
        <w:rPr>
          <w:rFonts w:ascii="Arial" w:hAnsi="Arial" w:cs="Arial"/>
        </w:rPr>
        <w:t xml:space="preserve">bone marrow cells. </w:t>
      </w:r>
      <w:r w:rsidR="002D6704">
        <w:rPr>
          <w:rFonts w:ascii="Arial" w:hAnsi="Arial" w:cs="Arial"/>
        </w:rPr>
        <w:t>Once MM was established</w:t>
      </w:r>
      <w:r w:rsidR="002D6704" w:rsidRPr="00F75CD1">
        <w:rPr>
          <w:rFonts w:ascii="Arial" w:hAnsi="Arial" w:cs="Arial"/>
        </w:rPr>
        <w:t xml:space="preserve">, mice were treated with 0.5mg/kg of </w:t>
      </w:r>
      <w:r w:rsidR="002D6704">
        <w:rPr>
          <w:rFonts w:ascii="Arial" w:hAnsi="Arial" w:cs="Arial"/>
        </w:rPr>
        <w:t>Trametinib daily for 5 weeks. Mice were sacrificed and bone marrow and splenocytes were collected and analyzed by flow cytometry. (A)</w:t>
      </w:r>
      <w:r w:rsidR="006B2FD0">
        <w:rPr>
          <w:rFonts w:ascii="Arial" w:hAnsi="Arial" w:cs="Arial"/>
          <w:b/>
          <w:bCs/>
        </w:rPr>
        <w:t xml:space="preserve"> </w:t>
      </w:r>
      <w:proofErr w:type="spellStart"/>
      <w:r w:rsidR="000912EE">
        <w:rPr>
          <w:rFonts w:ascii="Arial" w:hAnsi="Arial" w:cs="Arial"/>
        </w:rPr>
        <w:t>tSNE</w:t>
      </w:r>
      <w:proofErr w:type="spellEnd"/>
      <w:r w:rsidR="000912EE">
        <w:rPr>
          <w:rFonts w:ascii="Arial" w:hAnsi="Arial" w:cs="Arial"/>
        </w:rPr>
        <w:t xml:space="preserve"> analysis of CD3+ cells from the bone marrow (BM) of treated VQ mice. Cells were gated on </w:t>
      </w:r>
      <w:proofErr w:type="gramStart"/>
      <w:r w:rsidR="000912EE">
        <w:rPr>
          <w:rFonts w:ascii="Arial" w:hAnsi="Arial" w:cs="Arial"/>
        </w:rPr>
        <w:t>CD8</w:t>
      </w:r>
      <w:proofErr w:type="gramEnd"/>
      <w:r w:rsidR="000912EE">
        <w:rPr>
          <w:rFonts w:ascii="Arial" w:hAnsi="Arial" w:cs="Arial"/>
        </w:rPr>
        <w:t xml:space="preserve"> and expression of immune checkpoint receptors are highlighted. </w:t>
      </w:r>
      <w:r w:rsidR="002D6704">
        <w:rPr>
          <w:rFonts w:ascii="Arial" w:hAnsi="Arial" w:cs="Arial"/>
        </w:rPr>
        <w:t xml:space="preserve">(B) </w:t>
      </w:r>
      <w:r w:rsidR="000912EE" w:rsidRPr="00062188">
        <w:rPr>
          <w:rFonts w:ascii="Arial" w:hAnsi="Arial" w:cs="Arial"/>
        </w:rPr>
        <w:t>Bar graphs shows frequency of</w:t>
      </w:r>
      <w:r w:rsidR="00611C76">
        <w:rPr>
          <w:rFonts w:ascii="Arial" w:hAnsi="Arial" w:cs="Arial"/>
        </w:rPr>
        <w:t xml:space="preserve"> exhausted</w:t>
      </w:r>
      <w:r w:rsidR="000912EE" w:rsidRPr="00062188">
        <w:rPr>
          <w:rFonts w:ascii="Arial" w:hAnsi="Arial" w:cs="Arial"/>
        </w:rPr>
        <w:t xml:space="preserve"> </w:t>
      </w:r>
      <w:r w:rsidR="00611C76">
        <w:rPr>
          <w:rFonts w:ascii="Arial" w:hAnsi="Arial" w:cs="Arial"/>
        </w:rPr>
        <w:t>(</w:t>
      </w:r>
      <w:r w:rsidR="00062188" w:rsidRPr="00062188">
        <w:rPr>
          <w:rFonts w:ascii="Arial" w:hAnsi="Arial" w:cs="Arial"/>
        </w:rPr>
        <w:t>PD-1+TIGIT+LAG3+</w:t>
      </w:r>
      <w:r w:rsidR="000912EE" w:rsidRPr="00062188">
        <w:rPr>
          <w:rFonts w:ascii="Arial" w:hAnsi="Arial" w:cs="Arial"/>
        </w:rPr>
        <w:t>CD44+CD62L-</w:t>
      </w:r>
      <w:r w:rsidR="00611C76">
        <w:rPr>
          <w:rFonts w:ascii="Arial" w:hAnsi="Arial" w:cs="Arial"/>
        </w:rPr>
        <w:t>)</w:t>
      </w:r>
      <w:r w:rsidR="000912EE" w:rsidRPr="00062188">
        <w:rPr>
          <w:rFonts w:ascii="Arial" w:hAnsi="Arial" w:cs="Arial"/>
        </w:rPr>
        <w:t xml:space="preserve"> CD8 T cells among total </w:t>
      </w:r>
      <w:r w:rsidR="00062188" w:rsidRPr="00062188">
        <w:rPr>
          <w:rFonts w:ascii="Arial" w:hAnsi="Arial" w:cs="Arial"/>
        </w:rPr>
        <w:t>CD8 T cells from BM and spleen of treated mice.</w:t>
      </w:r>
      <w:r w:rsidR="00062188">
        <w:rPr>
          <w:rFonts w:ascii="Arial" w:hAnsi="Arial" w:cs="Arial"/>
        </w:rPr>
        <w:t xml:space="preserve"> Unpaired, two-sided was performed. *, p &lt;0.05; </w:t>
      </w:r>
      <w:r w:rsidR="00062188" w:rsidRPr="00F75CD1">
        <w:rPr>
          <w:rFonts w:ascii="Arial" w:hAnsi="Arial" w:cs="Arial"/>
        </w:rPr>
        <w:t>**, p&lt;0.01</w:t>
      </w:r>
    </w:p>
    <w:p w14:paraId="11DB384D" w14:textId="77777777" w:rsidR="006B2FD0" w:rsidRPr="00F75CD1" w:rsidRDefault="006B2FD0" w:rsidP="00D418E9">
      <w:pPr>
        <w:spacing w:after="0" w:line="240" w:lineRule="auto"/>
        <w:rPr>
          <w:rFonts w:ascii="Arial" w:hAnsi="Arial" w:cs="Arial"/>
        </w:rPr>
      </w:pPr>
    </w:p>
    <w:p w14:paraId="23A33CE0" w14:textId="5F6340DD" w:rsidR="00F75CD1" w:rsidRDefault="00F75CD1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5CD1">
        <w:rPr>
          <w:rFonts w:ascii="Arial" w:hAnsi="Arial" w:cs="Arial"/>
          <w:b/>
          <w:bCs/>
        </w:rPr>
        <w:t xml:space="preserve">Figure S2. </w:t>
      </w:r>
      <w:r w:rsidR="006461ED" w:rsidRPr="00F75CD1">
        <w:rPr>
          <w:rFonts w:ascii="Arial" w:hAnsi="Arial" w:cs="Arial"/>
          <w:b/>
          <w:bCs/>
        </w:rPr>
        <w:t xml:space="preserve">VQ </w:t>
      </w:r>
      <w:r w:rsidR="006461ED">
        <w:rPr>
          <w:rFonts w:ascii="Arial" w:hAnsi="Arial" w:cs="Arial"/>
          <w:b/>
          <w:bCs/>
        </w:rPr>
        <w:t xml:space="preserve">MM </w:t>
      </w:r>
      <w:r w:rsidR="006461ED" w:rsidRPr="00F75CD1">
        <w:rPr>
          <w:rFonts w:ascii="Arial" w:hAnsi="Arial" w:cs="Arial"/>
          <w:b/>
          <w:bCs/>
        </w:rPr>
        <w:t xml:space="preserve">cells </w:t>
      </w:r>
      <w:r w:rsidR="006461ED">
        <w:rPr>
          <w:rFonts w:ascii="Arial" w:hAnsi="Arial" w:cs="Arial"/>
          <w:b/>
          <w:bCs/>
        </w:rPr>
        <w:t>do not respond to l</w:t>
      </w:r>
      <w:r w:rsidRPr="00F75CD1">
        <w:rPr>
          <w:rFonts w:ascii="Arial" w:hAnsi="Arial" w:cs="Arial"/>
          <w:b/>
          <w:bCs/>
        </w:rPr>
        <w:t xml:space="preserve">enalidomide. </w:t>
      </w:r>
      <w:r w:rsidRPr="00F75CD1">
        <w:rPr>
          <w:rFonts w:ascii="Arial" w:hAnsi="Arial" w:cs="Arial"/>
        </w:rPr>
        <w:t xml:space="preserve">VQ 4935 and 4938 cells were treated with </w:t>
      </w:r>
      <w:r w:rsidR="006461ED">
        <w:rPr>
          <w:rFonts w:ascii="Arial" w:hAnsi="Arial" w:cs="Arial"/>
        </w:rPr>
        <w:t xml:space="preserve">a wide range of </w:t>
      </w:r>
      <w:r w:rsidRPr="00F75CD1">
        <w:rPr>
          <w:rFonts w:ascii="Arial" w:hAnsi="Arial" w:cs="Arial"/>
        </w:rPr>
        <w:t>concentration</w:t>
      </w:r>
      <w:r w:rsidR="006461ED">
        <w:rPr>
          <w:rFonts w:ascii="Arial" w:hAnsi="Arial" w:cs="Arial"/>
        </w:rPr>
        <w:t>s</w:t>
      </w:r>
      <w:r w:rsidRPr="00F75CD1">
        <w:rPr>
          <w:rFonts w:ascii="Arial" w:hAnsi="Arial" w:cs="Arial"/>
        </w:rPr>
        <w:t xml:space="preserve"> of </w:t>
      </w:r>
      <w:r w:rsidR="006461ED">
        <w:rPr>
          <w:rFonts w:ascii="Arial" w:hAnsi="Arial" w:cs="Arial"/>
        </w:rPr>
        <w:t>l</w:t>
      </w:r>
      <w:r w:rsidRPr="00F75CD1">
        <w:rPr>
          <w:rFonts w:ascii="Arial" w:hAnsi="Arial" w:cs="Arial"/>
        </w:rPr>
        <w:t xml:space="preserve">enalidomide for 48 hours. </w:t>
      </w:r>
      <w:r w:rsidR="006461ED">
        <w:rPr>
          <w:rFonts w:ascii="Arial" w:hAnsi="Arial" w:cs="Arial"/>
        </w:rPr>
        <w:t>Cell v</w:t>
      </w:r>
      <w:r w:rsidRPr="00F75CD1">
        <w:rPr>
          <w:rFonts w:ascii="Arial" w:hAnsi="Arial" w:cs="Arial"/>
        </w:rPr>
        <w:t xml:space="preserve">iability was then measured using the </w:t>
      </w:r>
      <w:proofErr w:type="spellStart"/>
      <w:r w:rsidRPr="00F75CD1">
        <w:rPr>
          <w:rFonts w:ascii="Arial" w:hAnsi="Arial" w:cs="Arial"/>
        </w:rPr>
        <w:t>CellTiter</w:t>
      </w:r>
      <w:proofErr w:type="spellEnd"/>
      <w:r w:rsidR="005E6D4B">
        <w:rPr>
          <w:rFonts w:ascii="Arial" w:hAnsi="Arial" w:cs="Arial"/>
        </w:rPr>
        <w:t>-</w:t>
      </w:r>
      <w:r w:rsidRPr="00F75CD1">
        <w:rPr>
          <w:rFonts w:ascii="Arial" w:hAnsi="Arial" w:cs="Arial"/>
        </w:rPr>
        <w:t xml:space="preserve">Glo assay. </w:t>
      </w:r>
      <w:r w:rsidR="006461ED">
        <w:rPr>
          <w:rFonts w:ascii="Arial" w:hAnsi="Arial" w:cs="Arial"/>
        </w:rPr>
        <w:t xml:space="preserve">Relative viabilities </w:t>
      </w:r>
      <w:r w:rsidR="006461ED" w:rsidRPr="00F75CD1">
        <w:rPr>
          <w:rFonts w:ascii="Arial" w:hAnsi="Arial" w:cs="Arial"/>
        </w:rPr>
        <w:t xml:space="preserve">to DMSO treated control </w:t>
      </w:r>
      <w:r w:rsidR="006461ED">
        <w:rPr>
          <w:rFonts w:ascii="Arial" w:hAnsi="Arial" w:cs="Arial"/>
        </w:rPr>
        <w:t xml:space="preserve">are presented. </w:t>
      </w:r>
      <w:r w:rsidRPr="00F75CD1">
        <w:rPr>
          <w:rFonts w:ascii="Arial" w:hAnsi="Arial" w:cs="Arial"/>
        </w:rPr>
        <w:t>IC</w:t>
      </w:r>
      <w:r w:rsidRPr="00F75CD1">
        <w:rPr>
          <w:rFonts w:ascii="Arial" w:hAnsi="Arial" w:cs="Arial"/>
          <w:vertAlign w:val="subscript"/>
        </w:rPr>
        <w:t>50</w:t>
      </w:r>
      <w:r w:rsidRPr="00F75CD1">
        <w:rPr>
          <w:rFonts w:ascii="Arial" w:hAnsi="Arial" w:cs="Arial"/>
        </w:rPr>
        <w:t xml:space="preserve"> values were calculated by logistic regression using </w:t>
      </w:r>
      <w:r w:rsidR="006461ED">
        <w:rPr>
          <w:rFonts w:ascii="Arial" w:hAnsi="Arial" w:cs="Arial"/>
        </w:rPr>
        <w:t xml:space="preserve">the </w:t>
      </w:r>
      <w:r w:rsidRPr="00F75CD1">
        <w:rPr>
          <w:rFonts w:ascii="Arial" w:hAnsi="Arial" w:cs="Arial"/>
        </w:rPr>
        <w:t>GraphPad Prism software.</w:t>
      </w:r>
    </w:p>
    <w:p w14:paraId="0925AD61" w14:textId="77777777" w:rsidR="006B2FD0" w:rsidRPr="00F75CD1" w:rsidRDefault="006B2FD0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5ADACE" w14:textId="272A6681" w:rsidR="00F75CD1" w:rsidRDefault="00F75CD1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5CD1">
        <w:rPr>
          <w:rFonts w:ascii="Arial" w:hAnsi="Arial" w:cs="Arial"/>
          <w:b/>
          <w:bCs/>
        </w:rPr>
        <w:t xml:space="preserve">Figure S3. </w:t>
      </w:r>
      <w:r w:rsidR="006461ED">
        <w:rPr>
          <w:rFonts w:ascii="Arial" w:hAnsi="Arial" w:cs="Arial"/>
          <w:b/>
          <w:bCs/>
        </w:rPr>
        <w:t>Validation of</w:t>
      </w:r>
      <w:r w:rsidRPr="00F75CD1">
        <w:rPr>
          <w:rFonts w:ascii="Arial" w:hAnsi="Arial" w:cs="Arial"/>
          <w:b/>
          <w:bCs/>
        </w:rPr>
        <w:t xml:space="preserve"> positive hits from AOD IX library </w:t>
      </w:r>
      <w:r w:rsidR="006461ED">
        <w:rPr>
          <w:rFonts w:ascii="Arial" w:hAnsi="Arial" w:cs="Arial"/>
          <w:b/>
          <w:bCs/>
        </w:rPr>
        <w:t>using</w:t>
      </w:r>
      <w:r w:rsidRPr="00F75CD1">
        <w:rPr>
          <w:rFonts w:ascii="Arial" w:hAnsi="Arial" w:cs="Arial"/>
          <w:b/>
          <w:bCs/>
        </w:rPr>
        <w:t xml:space="preserve"> VQ 4935 and 4938 cells. </w:t>
      </w:r>
      <w:r w:rsidRPr="00F75CD1">
        <w:rPr>
          <w:rFonts w:ascii="Arial" w:hAnsi="Arial" w:cs="Arial"/>
        </w:rPr>
        <w:t>VQ 4935 and 4938 cells were treated with the indicated concentration</w:t>
      </w:r>
      <w:r w:rsidR="006461ED">
        <w:rPr>
          <w:rFonts w:ascii="Arial" w:hAnsi="Arial" w:cs="Arial"/>
        </w:rPr>
        <w:t>s</w:t>
      </w:r>
      <w:r w:rsidRPr="00F75CD1">
        <w:rPr>
          <w:rFonts w:ascii="Arial" w:hAnsi="Arial" w:cs="Arial"/>
        </w:rPr>
        <w:t xml:space="preserve"> of </w:t>
      </w:r>
      <w:proofErr w:type="spellStart"/>
      <w:r w:rsidR="005E6D4B">
        <w:rPr>
          <w:rFonts w:ascii="Arial" w:hAnsi="Arial" w:cs="Arial"/>
        </w:rPr>
        <w:t>p</w:t>
      </w:r>
      <w:r w:rsidR="005E6D4B" w:rsidRPr="00F75CD1">
        <w:rPr>
          <w:rFonts w:ascii="Arial" w:hAnsi="Arial" w:cs="Arial"/>
        </w:rPr>
        <w:t>anobinostat</w:t>
      </w:r>
      <w:proofErr w:type="spellEnd"/>
      <w:r w:rsidR="005E6D4B">
        <w:rPr>
          <w:rFonts w:ascii="Arial" w:hAnsi="Arial" w:cs="Arial"/>
        </w:rPr>
        <w:t xml:space="preserve"> (A), </w:t>
      </w:r>
      <w:proofErr w:type="spellStart"/>
      <w:r w:rsidR="005E6D4B">
        <w:rPr>
          <w:rFonts w:ascii="Arial" w:hAnsi="Arial" w:cs="Arial"/>
        </w:rPr>
        <w:t>r</w:t>
      </w:r>
      <w:r w:rsidR="005E6D4B" w:rsidRPr="00F75CD1">
        <w:rPr>
          <w:rFonts w:ascii="Arial" w:hAnsi="Arial" w:cs="Arial"/>
        </w:rPr>
        <w:t>omidepsin</w:t>
      </w:r>
      <w:proofErr w:type="spellEnd"/>
      <w:r w:rsidR="005E6D4B" w:rsidRPr="00F75CD1">
        <w:rPr>
          <w:rFonts w:ascii="Arial" w:hAnsi="Arial" w:cs="Arial"/>
        </w:rPr>
        <w:t xml:space="preserve"> </w:t>
      </w:r>
      <w:r w:rsidR="005E6D4B">
        <w:rPr>
          <w:rFonts w:ascii="Arial" w:hAnsi="Arial" w:cs="Arial"/>
        </w:rPr>
        <w:t>(B), v</w:t>
      </w:r>
      <w:r w:rsidR="005E6D4B" w:rsidRPr="00F75CD1">
        <w:rPr>
          <w:rFonts w:ascii="Arial" w:hAnsi="Arial" w:cs="Arial"/>
        </w:rPr>
        <w:t xml:space="preserve">inblastine </w:t>
      </w:r>
      <w:r w:rsidR="005E6D4B">
        <w:rPr>
          <w:rFonts w:ascii="Arial" w:hAnsi="Arial" w:cs="Arial"/>
        </w:rPr>
        <w:t>s</w:t>
      </w:r>
      <w:r w:rsidR="005E6D4B" w:rsidRPr="00F75CD1">
        <w:rPr>
          <w:rFonts w:ascii="Arial" w:hAnsi="Arial" w:cs="Arial"/>
        </w:rPr>
        <w:t xml:space="preserve">ulfate </w:t>
      </w:r>
      <w:r w:rsidR="005E6D4B">
        <w:rPr>
          <w:rFonts w:ascii="Arial" w:hAnsi="Arial" w:cs="Arial"/>
        </w:rPr>
        <w:t>(C), and v</w:t>
      </w:r>
      <w:r w:rsidR="005E6D4B" w:rsidRPr="00F75CD1">
        <w:rPr>
          <w:rFonts w:ascii="Arial" w:hAnsi="Arial" w:cs="Arial"/>
        </w:rPr>
        <w:t xml:space="preserve">incristine </w:t>
      </w:r>
      <w:r w:rsidR="005E6D4B">
        <w:rPr>
          <w:rFonts w:ascii="Arial" w:hAnsi="Arial" w:cs="Arial"/>
        </w:rPr>
        <w:t>s</w:t>
      </w:r>
      <w:r w:rsidR="005E6D4B" w:rsidRPr="00F75CD1">
        <w:rPr>
          <w:rFonts w:ascii="Arial" w:hAnsi="Arial" w:cs="Arial"/>
        </w:rPr>
        <w:t xml:space="preserve">ulfate </w:t>
      </w:r>
      <w:r w:rsidR="005E6D4B">
        <w:rPr>
          <w:rFonts w:ascii="Arial" w:hAnsi="Arial" w:cs="Arial"/>
        </w:rPr>
        <w:t xml:space="preserve">(D) </w:t>
      </w:r>
      <w:r w:rsidRPr="00F75CD1">
        <w:rPr>
          <w:rFonts w:ascii="Arial" w:hAnsi="Arial" w:cs="Arial"/>
        </w:rPr>
        <w:t xml:space="preserve">for 48 hours. </w:t>
      </w:r>
      <w:r w:rsidR="006461ED">
        <w:rPr>
          <w:rFonts w:ascii="Arial" w:hAnsi="Arial" w:cs="Arial"/>
        </w:rPr>
        <w:t>Cell v</w:t>
      </w:r>
      <w:r w:rsidR="006461ED" w:rsidRPr="00F75CD1">
        <w:rPr>
          <w:rFonts w:ascii="Arial" w:hAnsi="Arial" w:cs="Arial"/>
        </w:rPr>
        <w:t xml:space="preserve">iability was then measured using the </w:t>
      </w:r>
      <w:proofErr w:type="spellStart"/>
      <w:r w:rsidR="006461ED" w:rsidRPr="00F75CD1">
        <w:rPr>
          <w:rFonts w:ascii="Arial" w:hAnsi="Arial" w:cs="Arial"/>
        </w:rPr>
        <w:t>CellTiter</w:t>
      </w:r>
      <w:proofErr w:type="spellEnd"/>
      <w:r w:rsidR="005E6D4B">
        <w:rPr>
          <w:rFonts w:ascii="Arial" w:hAnsi="Arial" w:cs="Arial"/>
        </w:rPr>
        <w:t>-</w:t>
      </w:r>
      <w:r w:rsidR="006461ED" w:rsidRPr="00F75CD1">
        <w:rPr>
          <w:rFonts w:ascii="Arial" w:hAnsi="Arial" w:cs="Arial"/>
        </w:rPr>
        <w:t xml:space="preserve">Glo assay. </w:t>
      </w:r>
      <w:r w:rsidR="006461ED">
        <w:rPr>
          <w:rFonts w:ascii="Arial" w:hAnsi="Arial" w:cs="Arial"/>
        </w:rPr>
        <w:t xml:space="preserve">Relative viabilities </w:t>
      </w:r>
      <w:r w:rsidR="006461ED" w:rsidRPr="00F75CD1">
        <w:rPr>
          <w:rFonts w:ascii="Arial" w:hAnsi="Arial" w:cs="Arial"/>
        </w:rPr>
        <w:t xml:space="preserve">to DMSO treated control </w:t>
      </w:r>
      <w:r w:rsidR="006461ED">
        <w:rPr>
          <w:rFonts w:ascii="Arial" w:hAnsi="Arial" w:cs="Arial"/>
        </w:rPr>
        <w:t>are presented.</w:t>
      </w:r>
      <w:r w:rsidR="005E6D4B">
        <w:rPr>
          <w:rFonts w:ascii="Arial" w:hAnsi="Arial" w:cs="Arial"/>
        </w:rPr>
        <w:t xml:space="preserve"> </w:t>
      </w:r>
      <w:r w:rsidRPr="00F75CD1">
        <w:rPr>
          <w:rFonts w:ascii="Arial" w:hAnsi="Arial" w:cs="Arial"/>
        </w:rPr>
        <w:t>IC</w:t>
      </w:r>
      <w:r w:rsidRPr="00F75CD1">
        <w:rPr>
          <w:rFonts w:ascii="Arial" w:hAnsi="Arial" w:cs="Arial"/>
          <w:vertAlign w:val="subscript"/>
        </w:rPr>
        <w:t>50</w:t>
      </w:r>
      <w:r w:rsidRPr="00F75CD1">
        <w:rPr>
          <w:rFonts w:ascii="Arial" w:hAnsi="Arial" w:cs="Arial"/>
        </w:rPr>
        <w:t xml:space="preserve"> values were calculated by logistic regression using GraphPad Prism software. </w:t>
      </w:r>
    </w:p>
    <w:p w14:paraId="33233AEC" w14:textId="77777777" w:rsidR="006B2FD0" w:rsidRPr="00F75CD1" w:rsidRDefault="006B2FD0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1DB84D" w14:textId="0203039B" w:rsidR="00F75CD1" w:rsidRDefault="00F75CD1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5CD1">
        <w:rPr>
          <w:rFonts w:ascii="Arial" w:hAnsi="Arial" w:cs="Arial"/>
          <w:b/>
          <w:bCs/>
        </w:rPr>
        <w:t xml:space="preserve">Figure S4. Proteasome inhibitors show short-term efficacy in the VQ model. </w:t>
      </w:r>
      <w:r w:rsidRPr="00F75CD1">
        <w:rPr>
          <w:rFonts w:ascii="Arial" w:hAnsi="Arial" w:cs="Arial"/>
        </w:rPr>
        <w:t>(A) Bortezomib treatment of VQ 4935 and VQ 4938 cells. Assay conditions are as described in Figures S</w:t>
      </w:r>
      <w:r w:rsidR="005E6D4B">
        <w:rPr>
          <w:rFonts w:ascii="Arial" w:hAnsi="Arial" w:cs="Arial"/>
        </w:rPr>
        <w:t>2</w:t>
      </w:r>
      <w:r w:rsidRPr="00F75CD1">
        <w:rPr>
          <w:rFonts w:ascii="Arial" w:hAnsi="Arial" w:cs="Arial"/>
        </w:rPr>
        <w:t xml:space="preserve"> and S</w:t>
      </w:r>
      <w:r w:rsidR="005E6D4B">
        <w:rPr>
          <w:rFonts w:ascii="Arial" w:hAnsi="Arial" w:cs="Arial"/>
        </w:rPr>
        <w:t>3</w:t>
      </w:r>
      <w:r w:rsidRPr="00F75CD1">
        <w:rPr>
          <w:rFonts w:ascii="Arial" w:hAnsi="Arial" w:cs="Arial"/>
        </w:rPr>
        <w:t xml:space="preserve">. (B-C) </w:t>
      </w:r>
      <w:bookmarkStart w:id="0" w:name="OLE_LINK1"/>
      <w:r w:rsidRPr="00F75CD1">
        <w:rPr>
          <w:rFonts w:ascii="Arial" w:hAnsi="Arial" w:cs="Arial"/>
        </w:rPr>
        <w:t>CD45.1</w:t>
      </w:r>
      <w:r w:rsidR="005E6D4B" w:rsidRPr="005E6D4B">
        <w:rPr>
          <w:rFonts w:ascii="Arial" w:hAnsi="Arial" w:cs="Arial"/>
          <w:vertAlign w:val="superscript"/>
        </w:rPr>
        <w:t>+</w:t>
      </w:r>
      <w:r w:rsidRPr="00F75CD1">
        <w:rPr>
          <w:rFonts w:ascii="Arial" w:hAnsi="Arial" w:cs="Arial"/>
        </w:rPr>
        <w:t xml:space="preserve"> </w:t>
      </w:r>
      <w:r w:rsidR="005E6D4B">
        <w:rPr>
          <w:rFonts w:ascii="Arial" w:hAnsi="Arial" w:cs="Arial"/>
        </w:rPr>
        <w:t>r</w:t>
      </w:r>
      <w:r w:rsidRPr="00F75CD1">
        <w:rPr>
          <w:rFonts w:ascii="Arial" w:hAnsi="Arial" w:cs="Arial"/>
        </w:rPr>
        <w:t>ecipient mice were injected with 0.5</w:t>
      </w:r>
      <w:r w:rsidR="005E6D4B">
        <w:rPr>
          <w:rFonts w:ascii="Arial" w:hAnsi="Arial" w:cs="Arial"/>
        </w:rPr>
        <w:t>x10</w:t>
      </w:r>
      <w:r w:rsidRPr="005E6D4B">
        <w:rPr>
          <w:rFonts w:ascii="Arial" w:hAnsi="Arial" w:cs="Arial"/>
          <w:vertAlign w:val="superscript"/>
        </w:rPr>
        <w:t>6</w:t>
      </w:r>
      <w:r w:rsidRPr="00F75CD1">
        <w:rPr>
          <w:rFonts w:ascii="Arial" w:hAnsi="Arial" w:cs="Arial"/>
        </w:rPr>
        <w:t xml:space="preserve"> </w:t>
      </w:r>
      <w:r w:rsidR="005E6D4B">
        <w:rPr>
          <w:rFonts w:ascii="Arial" w:hAnsi="Arial" w:cs="Arial"/>
        </w:rPr>
        <w:t xml:space="preserve">VQ-D1 </w:t>
      </w:r>
      <w:r w:rsidRPr="00F75CD1">
        <w:rPr>
          <w:rFonts w:ascii="Arial" w:hAnsi="Arial" w:cs="Arial"/>
        </w:rPr>
        <w:t xml:space="preserve">bone marrow cells. </w:t>
      </w:r>
      <w:r w:rsidR="005E6D4B">
        <w:rPr>
          <w:rFonts w:ascii="Arial" w:hAnsi="Arial" w:cs="Arial"/>
        </w:rPr>
        <w:t>Once MM was established</w:t>
      </w:r>
      <w:r w:rsidRPr="00F75CD1">
        <w:rPr>
          <w:rFonts w:ascii="Arial" w:hAnsi="Arial" w:cs="Arial"/>
        </w:rPr>
        <w:t xml:space="preserve">, mice were treated with 0.5mg/kg of </w:t>
      </w:r>
      <w:r w:rsidR="005E6D4B">
        <w:rPr>
          <w:rFonts w:ascii="Arial" w:hAnsi="Arial" w:cs="Arial"/>
        </w:rPr>
        <w:t>b</w:t>
      </w:r>
      <w:r w:rsidRPr="00F75CD1">
        <w:rPr>
          <w:rFonts w:ascii="Arial" w:hAnsi="Arial" w:cs="Arial"/>
        </w:rPr>
        <w:t>ortezomib</w:t>
      </w:r>
      <w:bookmarkEnd w:id="0"/>
      <w:r w:rsidRPr="00F75CD1">
        <w:rPr>
          <w:rFonts w:ascii="Arial" w:hAnsi="Arial" w:cs="Arial"/>
        </w:rPr>
        <w:t xml:space="preserve"> via intraperitoneal (IP) injection twice a week. (B) Serum protein electrophoresis (SPEP) was performed to quantify the γ-globulin/Albumin</w:t>
      </w:r>
      <w:r w:rsidR="000421ED">
        <w:rPr>
          <w:rFonts w:ascii="Arial" w:hAnsi="Arial" w:cs="Arial"/>
        </w:rPr>
        <w:t xml:space="preserve"> (G/A)</w:t>
      </w:r>
      <w:r w:rsidRPr="00F75CD1">
        <w:rPr>
          <w:rFonts w:ascii="Arial" w:hAnsi="Arial" w:cs="Arial"/>
        </w:rPr>
        <w:t xml:space="preserve"> ratios in VQ recipient mice before treatment and at day 21 of treatment. (C) Kaplan-Meier survival curves were plotted against days after treatment. Log-rank test was performed. (D) Carfilzomib treatment of VQ 4935 and VQ 4938 cells. Assay conditions are as described in Figures S</w:t>
      </w:r>
      <w:r w:rsidR="005E6D4B">
        <w:rPr>
          <w:rFonts w:ascii="Arial" w:hAnsi="Arial" w:cs="Arial"/>
        </w:rPr>
        <w:t>2</w:t>
      </w:r>
      <w:r w:rsidRPr="00F75CD1">
        <w:rPr>
          <w:rFonts w:ascii="Arial" w:hAnsi="Arial" w:cs="Arial"/>
        </w:rPr>
        <w:t xml:space="preserve"> and S</w:t>
      </w:r>
      <w:r w:rsidR="005E6D4B">
        <w:rPr>
          <w:rFonts w:ascii="Arial" w:hAnsi="Arial" w:cs="Arial"/>
        </w:rPr>
        <w:t>3</w:t>
      </w:r>
      <w:r w:rsidRPr="00F75CD1">
        <w:rPr>
          <w:rFonts w:ascii="Arial" w:hAnsi="Arial" w:cs="Arial"/>
        </w:rPr>
        <w:t xml:space="preserve">. (E-F) </w:t>
      </w:r>
      <w:r w:rsidR="005E6D4B" w:rsidRPr="00F75CD1">
        <w:rPr>
          <w:rFonts w:ascii="Arial" w:hAnsi="Arial" w:cs="Arial"/>
        </w:rPr>
        <w:t>CD45.1</w:t>
      </w:r>
      <w:r w:rsidR="005E6D4B" w:rsidRPr="005E6D4B">
        <w:rPr>
          <w:rFonts w:ascii="Arial" w:hAnsi="Arial" w:cs="Arial"/>
          <w:vertAlign w:val="superscript"/>
        </w:rPr>
        <w:t>+</w:t>
      </w:r>
      <w:r w:rsidR="005E6D4B" w:rsidRPr="00F75CD1">
        <w:rPr>
          <w:rFonts w:ascii="Arial" w:hAnsi="Arial" w:cs="Arial"/>
        </w:rPr>
        <w:t xml:space="preserve"> </w:t>
      </w:r>
      <w:r w:rsidR="005E6D4B">
        <w:rPr>
          <w:rFonts w:ascii="Arial" w:hAnsi="Arial" w:cs="Arial"/>
        </w:rPr>
        <w:t>r</w:t>
      </w:r>
      <w:r w:rsidR="005E6D4B" w:rsidRPr="00F75CD1">
        <w:rPr>
          <w:rFonts w:ascii="Arial" w:hAnsi="Arial" w:cs="Arial"/>
        </w:rPr>
        <w:t xml:space="preserve">ecipient mice </w:t>
      </w:r>
      <w:r w:rsidRPr="00F75CD1">
        <w:rPr>
          <w:rFonts w:ascii="Arial" w:hAnsi="Arial" w:cs="Arial"/>
        </w:rPr>
        <w:t xml:space="preserve">were sub-lethally irradiated and injected with </w:t>
      </w:r>
      <w:r w:rsidR="005E6D4B" w:rsidRPr="00F75CD1">
        <w:rPr>
          <w:rFonts w:ascii="Arial" w:hAnsi="Arial" w:cs="Arial"/>
        </w:rPr>
        <w:t>0.5</w:t>
      </w:r>
      <w:r w:rsidR="005E6D4B">
        <w:rPr>
          <w:rFonts w:ascii="Arial" w:hAnsi="Arial" w:cs="Arial"/>
        </w:rPr>
        <w:t>x10</w:t>
      </w:r>
      <w:r w:rsidR="005E6D4B" w:rsidRPr="005E6D4B">
        <w:rPr>
          <w:rFonts w:ascii="Arial" w:hAnsi="Arial" w:cs="Arial"/>
          <w:vertAlign w:val="superscript"/>
        </w:rPr>
        <w:t>6</w:t>
      </w:r>
      <w:r w:rsidR="005E6D4B" w:rsidRPr="00F75CD1">
        <w:rPr>
          <w:rFonts w:ascii="Arial" w:hAnsi="Arial" w:cs="Arial"/>
        </w:rPr>
        <w:t xml:space="preserve"> </w:t>
      </w:r>
      <w:r w:rsidR="005E6D4B">
        <w:rPr>
          <w:rFonts w:ascii="Arial" w:hAnsi="Arial" w:cs="Arial"/>
        </w:rPr>
        <w:t xml:space="preserve">VQ-D1 </w:t>
      </w:r>
      <w:r w:rsidR="005E6D4B" w:rsidRPr="00F75CD1">
        <w:rPr>
          <w:rFonts w:ascii="Arial" w:hAnsi="Arial" w:cs="Arial"/>
        </w:rPr>
        <w:t>bone marrow cells.</w:t>
      </w:r>
      <w:r w:rsidR="005E6D4B">
        <w:rPr>
          <w:rFonts w:ascii="Arial" w:hAnsi="Arial" w:cs="Arial"/>
        </w:rPr>
        <w:t xml:space="preserve"> Once MM was established</w:t>
      </w:r>
      <w:r w:rsidR="005E6D4B" w:rsidRPr="00F75CD1">
        <w:rPr>
          <w:rFonts w:ascii="Arial" w:hAnsi="Arial" w:cs="Arial"/>
        </w:rPr>
        <w:t xml:space="preserve">, </w:t>
      </w:r>
      <w:r w:rsidRPr="00F75CD1">
        <w:rPr>
          <w:rFonts w:ascii="Arial" w:hAnsi="Arial" w:cs="Arial"/>
        </w:rPr>
        <w:t xml:space="preserve">mice were treated with </w:t>
      </w:r>
      <w:r w:rsidR="005E6D4B">
        <w:rPr>
          <w:rFonts w:ascii="Arial" w:hAnsi="Arial" w:cs="Arial"/>
        </w:rPr>
        <w:t>vehicle (</w:t>
      </w:r>
      <w:proofErr w:type="spellStart"/>
      <w:r w:rsidR="005E6D4B">
        <w:rPr>
          <w:rFonts w:ascii="Arial" w:hAnsi="Arial" w:cs="Arial"/>
        </w:rPr>
        <w:t>Veh</w:t>
      </w:r>
      <w:proofErr w:type="spellEnd"/>
      <w:r w:rsidR="005E6D4B">
        <w:rPr>
          <w:rFonts w:ascii="Arial" w:hAnsi="Arial" w:cs="Arial"/>
        </w:rPr>
        <w:t>) or combined c</w:t>
      </w:r>
      <w:r w:rsidRPr="00F75CD1">
        <w:rPr>
          <w:rFonts w:ascii="Arial" w:hAnsi="Arial" w:cs="Arial"/>
        </w:rPr>
        <w:t xml:space="preserve">arfilzomib </w:t>
      </w:r>
      <w:r w:rsidR="005E6D4B">
        <w:rPr>
          <w:rFonts w:ascii="Arial" w:hAnsi="Arial" w:cs="Arial"/>
        </w:rPr>
        <w:t>(</w:t>
      </w:r>
      <w:proofErr w:type="spellStart"/>
      <w:r w:rsidR="005E6D4B">
        <w:rPr>
          <w:rFonts w:ascii="Arial" w:hAnsi="Arial" w:cs="Arial"/>
        </w:rPr>
        <w:t>Cfz</w:t>
      </w:r>
      <w:proofErr w:type="spellEnd"/>
      <w:r w:rsidR="005E6D4B">
        <w:rPr>
          <w:rFonts w:ascii="Arial" w:hAnsi="Arial" w:cs="Arial"/>
        </w:rPr>
        <w:t xml:space="preserve">) </w:t>
      </w:r>
      <w:r w:rsidRPr="00F75CD1">
        <w:rPr>
          <w:rFonts w:ascii="Arial" w:hAnsi="Arial" w:cs="Arial"/>
        </w:rPr>
        <w:t xml:space="preserve">and </w:t>
      </w:r>
      <w:bookmarkStart w:id="1" w:name="_Hlk82702822"/>
      <w:r w:rsidR="005E6D4B">
        <w:rPr>
          <w:rFonts w:ascii="Arial" w:hAnsi="Arial" w:cs="Arial"/>
        </w:rPr>
        <w:t>d</w:t>
      </w:r>
      <w:r w:rsidRPr="00F75CD1">
        <w:rPr>
          <w:rFonts w:ascii="Arial" w:hAnsi="Arial" w:cs="Arial"/>
        </w:rPr>
        <w:t xml:space="preserve">examethasone </w:t>
      </w:r>
      <w:r w:rsidR="005E6D4B">
        <w:rPr>
          <w:rFonts w:ascii="Arial" w:hAnsi="Arial" w:cs="Arial"/>
        </w:rPr>
        <w:t>(</w:t>
      </w:r>
      <w:proofErr w:type="spellStart"/>
      <w:r w:rsidR="005E6D4B">
        <w:rPr>
          <w:rFonts w:ascii="Arial" w:hAnsi="Arial" w:cs="Arial"/>
        </w:rPr>
        <w:t>Dex</w:t>
      </w:r>
      <w:proofErr w:type="spellEnd"/>
      <w:r w:rsidR="005E6D4B">
        <w:rPr>
          <w:rFonts w:ascii="Arial" w:hAnsi="Arial" w:cs="Arial"/>
        </w:rPr>
        <w:t xml:space="preserve">) </w:t>
      </w:r>
      <w:r w:rsidRPr="00F75CD1">
        <w:rPr>
          <w:rFonts w:ascii="Arial" w:hAnsi="Arial" w:cs="Arial"/>
        </w:rPr>
        <w:t xml:space="preserve">for two weeks, followed by daily treatment with </w:t>
      </w:r>
      <w:r w:rsidR="005E6D4B">
        <w:rPr>
          <w:rFonts w:ascii="Arial" w:hAnsi="Arial" w:cs="Arial"/>
        </w:rPr>
        <w:t>t</w:t>
      </w:r>
      <w:r w:rsidRPr="00F75CD1">
        <w:rPr>
          <w:rFonts w:ascii="Arial" w:hAnsi="Arial" w:cs="Arial"/>
        </w:rPr>
        <w:t xml:space="preserve">rametinib </w:t>
      </w:r>
      <w:r w:rsidR="005E6D4B">
        <w:rPr>
          <w:rFonts w:ascii="Arial" w:hAnsi="Arial" w:cs="Arial"/>
        </w:rPr>
        <w:t>(</w:t>
      </w:r>
      <w:proofErr w:type="spellStart"/>
      <w:r w:rsidR="005E6D4B">
        <w:rPr>
          <w:rFonts w:ascii="Arial" w:hAnsi="Arial" w:cs="Arial"/>
        </w:rPr>
        <w:t>Tra</w:t>
      </w:r>
      <w:proofErr w:type="spellEnd"/>
      <w:r w:rsidR="005E6D4B">
        <w:rPr>
          <w:rFonts w:ascii="Arial" w:hAnsi="Arial" w:cs="Arial"/>
        </w:rPr>
        <w:t xml:space="preserve">) </w:t>
      </w:r>
      <w:r w:rsidRPr="00F75CD1">
        <w:rPr>
          <w:rFonts w:ascii="Arial" w:hAnsi="Arial" w:cs="Arial"/>
        </w:rPr>
        <w:t xml:space="preserve">and GSK525762 </w:t>
      </w:r>
      <w:r w:rsidR="005E6D4B">
        <w:rPr>
          <w:rFonts w:ascii="Arial" w:hAnsi="Arial" w:cs="Arial"/>
        </w:rPr>
        <w:t xml:space="preserve">(GSK) </w:t>
      </w:r>
      <w:r w:rsidRPr="00F75CD1">
        <w:rPr>
          <w:rFonts w:ascii="Arial" w:hAnsi="Arial" w:cs="Arial"/>
        </w:rPr>
        <w:t>for one week</w:t>
      </w:r>
      <w:r w:rsidR="005773BE">
        <w:rPr>
          <w:rFonts w:ascii="Arial" w:hAnsi="Arial" w:cs="Arial"/>
        </w:rPr>
        <w:t>. The three-week treatment cycles were separated by</w:t>
      </w:r>
      <w:r w:rsidRPr="00F75CD1">
        <w:rPr>
          <w:rFonts w:ascii="Arial" w:hAnsi="Arial" w:cs="Arial"/>
        </w:rPr>
        <w:t xml:space="preserve"> one week of rest. (E)  Serum protein electrophoresis (SPEP) was performed to quantify the </w:t>
      </w:r>
      <w:r w:rsidR="000421ED">
        <w:rPr>
          <w:rFonts w:ascii="Arial" w:hAnsi="Arial" w:cs="Arial"/>
        </w:rPr>
        <w:t>G/A</w:t>
      </w:r>
      <w:r w:rsidRPr="00F75CD1">
        <w:rPr>
          <w:rFonts w:ascii="Arial" w:hAnsi="Arial" w:cs="Arial"/>
        </w:rPr>
        <w:t xml:space="preserve"> ratios in VQ recipient mice before treatment and at day 21 of treatment. (F) Kaplan-Meier survival curves were plotted against days after treatment. Log-rank test was performed. **, p&lt;0.01; ***, p&lt;0.001. ns, not significant.</w:t>
      </w:r>
      <w:bookmarkEnd w:id="1"/>
    </w:p>
    <w:p w14:paraId="0F1125CC" w14:textId="77777777" w:rsidR="006461ED" w:rsidRPr="00F75CD1" w:rsidRDefault="006461ED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F4F32E" w14:textId="4FFDDF6D" w:rsidR="00F75CD1" w:rsidRDefault="00F75CD1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5CD1">
        <w:rPr>
          <w:rFonts w:ascii="Arial" w:hAnsi="Arial" w:cs="Arial"/>
          <w:b/>
          <w:bCs/>
        </w:rPr>
        <w:t xml:space="preserve">Figure S5. Combination Index analysis shows synergy between </w:t>
      </w:r>
      <w:r w:rsidR="005773BE">
        <w:rPr>
          <w:rFonts w:ascii="Arial" w:hAnsi="Arial" w:cs="Arial"/>
          <w:b/>
          <w:bCs/>
        </w:rPr>
        <w:t>t</w:t>
      </w:r>
      <w:r w:rsidRPr="00F75CD1">
        <w:rPr>
          <w:rFonts w:ascii="Arial" w:hAnsi="Arial" w:cs="Arial"/>
          <w:b/>
          <w:bCs/>
        </w:rPr>
        <w:t xml:space="preserve">rametinib and </w:t>
      </w:r>
      <w:r w:rsidR="005773BE">
        <w:rPr>
          <w:rFonts w:ascii="Arial" w:hAnsi="Arial" w:cs="Arial"/>
          <w:b/>
          <w:bCs/>
        </w:rPr>
        <w:t>p</w:t>
      </w:r>
      <w:r w:rsidRPr="00F75CD1">
        <w:rPr>
          <w:rFonts w:ascii="Arial" w:hAnsi="Arial" w:cs="Arial"/>
          <w:b/>
          <w:bCs/>
        </w:rPr>
        <w:t xml:space="preserve">onatinib </w:t>
      </w:r>
      <w:r w:rsidRPr="00F75CD1">
        <w:rPr>
          <w:rFonts w:ascii="Arial" w:hAnsi="Arial" w:cs="Arial"/>
        </w:rPr>
        <w:t xml:space="preserve">VQ 4935 </w:t>
      </w:r>
      <w:r w:rsidR="005773BE">
        <w:rPr>
          <w:rFonts w:ascii="Arial" w:hAnsi="Arial" w:cs="Arial"/>
        </w:rPr>
        <w:t xml:space="preserve">(A) </w:t>
      </w:r>
      <w:r w:rsidRPr="00F75CD1">
        <w:rPr>
          <w:rFonts w:ascii="Arial" w:hAnsi="Arial" w:cs="Arial"/>
        </w:rPr>
        <w:t xml:space="preserve">and 4938 </w:t>
      </w:r>
      <w:r w:rsidR="005773BE">
        <w:rPr>
          <w:rFonts w:ascii="Arial" w:hAnsi="Arial" w:cs="Arial"/>
        </w:rPr>
        <w:t xml:space="preserve">(B) </w:t>
      </w:r>
      <w:r w:rsidRPr="00F75CD1">
        <w:rPr>
          <w:rFonts w:ascii="Arial" w:hAnsi="Arial" w:cs="Arial"/>
        </w:rPr>
        <w:t xml:space="preserve">cells were treated with the indicated concentrations of </w:t>
      </w:r>
      <w:r w:rsidR="005773BE" w:rsidRPr="005773BE">
        <w:rPr>
          <w:rFonts w:ascii="Arial" w:hAnsi="Arial" w:cs="Arial"/>
        </w:rPr>
        <w:t xml:space="preserve">trametinib </w:t>
      </w:r>
      <w:r w:rsidR="005773BE">
        <w:rPr>
          <w:rFonts w:ascii="Arial" w:hAnsi="Arial" w:cs="Arial"/>
        </w:rPr>
        <w:t>(</w:t>
      </w:r>
      <w:proofErr w:type="spellStart"/>
      <w:r w:rsidR="005773BE">
        <w:rPr>
          <w:rFonts w:ascii="Arial" w:hAnsi="Arial" w:cs="Arial"/>
        </w:rPr>
        <w:t>Tra</w:t>
      </w:r>
      <w:proofErr w:type="spellEnd"/>
      <w:r w:rsidR="005773BE">
        <w:rPr>
          <w:rFonts w:ascii="Arial" w:hAnsi="Arial" w:cs="Arial"/>
        </w:rPr>
        <w:t xml:space="preserve">) </w:t>
      </w:r>
      <w:r w:rsidR="005773BE" w:rsidRPr="005773BE">
        <w:rPr>
          <w:rFonts w:ascii="Arial" w:hAnsi="Arial" w:cs="Arial"/>
        </w:rPr>
        <w:t xml:space="preserve">and ponatinib </w:t>
      </w:r>
      <w:r w:rsidR="005773BE">
        <w:rPr>
          <w:rFonts w:ascii="Arial" w:hAnsi="Arial" w:cs="Arial"/>
        </w:rPr>
        <w:t>(</w:t>
      </w:r>
      <w:proofErr w:type="spellStart"/>
      <w:r w:rsidR="005773BE">
        <w:rPr>
          <w:rFonts w:ascii="Arial" w:hAnsi="Arial" w:cs="Arial"/>
        </w:rPr>
        <w:t>Pon</w:t>
      </w:r>
      <w:proofErr w:type="spellEnd"/>
      <w:r w:rsidR="005773BE">
        <w:rPr>
          <w:rFonts w:ascii="Arial" w:hAnsi="Arial" w:cs="Arial"/>
        </w:rPr>
        <w:t xml:space="preserve">) </w:t>
      </w:r>
      <w:r w:rsidRPr="005773BE">
        <w:rPr>
          <w:rFonts w:ascii="Arial" w:hAnsi="Arial" w:cs="Arial"/>
        </w:rPr>
        <w:t xml:space="preserve">for 48 hours. </w:t>
      </w:r>
      <w:r w:rsidR="005773BE">
        <w:rPr>
          <w:rFonts w:ascii="Arial" w:hAnsi="Arial" w:cs="Arial"/>
        </w:rPr>
        <w:t>Cell v</w:t>
      </w:r>
      <w:r w:rsidR="005773BE" w:rsidRPr="00F75CD1">
        <w:rPr>
          <w:rFonts w:ascii="Arial" w:hAnsi="Arial" w:cs="Arial"/>
        </w:rPr>
        <w:t xml:space="preserve">iability was then measured using the </w:t>
      </w:r>
      <w:proofErr w:type="spellStart"/>
      <w:r w:rsidR="005773BE" w:rsidRPr="00F75CD1">
        <w:rPr>
          <w:rFonts w:ascii="Arial" w:hAnsi="Arial" w:cs="Arial"/>
        </w:rPr>
        <w:t>CellTiter</w:t>
      </w:r>
      <w:proofErr w:type="spellEnd"/>
      <w:r w:rsidR="005773BE">
        <w:rPr>
          <w:rFonts w:ascii="Arial" w:hAnsi="Arial" w:cs="Arial"/>
        </w:rPr>
        <w:t>-</w:t>
      </w:r>
      <w:r w:rsidR="005773BE" w:rsidRPr="00F75CD1">
        <w:rPr>
          <w:rFonts w:ascii="Arial" w:hAnsi="Arial" w:cs="Arial"/>
        </w:rPr>
        <w:t xml:space="preserve">Glo assay. </w:t>
      </w:r>
      <w:r w:rsidR="005773BE">
        <w:rPr>
          <w:rFonts w:ascii="Arial" w:hAnsi="Arial" w:cs="Arial"/>
        </w:rPr>
        <w:t xml:space="preserve">Relative viabilities </w:t>
      </w:r>
      <w:r w:rsidR="005773BE" w:rsidRPr="00F75CD1">
        <w:rPr>
          <w:rFonts w:ascii="Arial" w:hAnsi="Arial" w:cs="Arial"/>
        </w:rPr>
        <w:t xml:space="preserve">to DMSO treated control </w:t>
      </w:r>
      <w:r w:rsidR="005773BE">
        <w:rPr>
          <w:rFonts w:ascii="Arial" w:hAnsi="Arial" w:cs="Arial"/>
        </w:rPr>
        <w:t xml:space="preserve">are presented. </w:t>
      </w:r>
      <w:r w:rsidRPr="005773BE">
        <w:rPr>
          <w:rFonts w:ascii="Arial" w:hAnsi="Arial" w:cs="Arial"/>
        </w:rPr>
        <w:t>Combination Index (CI</w:t>
      </w:r>
      <w:r w:rsidRPr="00F75CD1">
        <w:rPr>
          <w:rFonts w:ascii="Arial" w:hAnsi="Arial" w:cs="Arial"/>
        </w:rPr>
        <w:t xml:space="preserve">) analysis was carried out using </w:t>
      </w:r>
      <w:proofErr w:type="spellStart"/>
      <w:r w:rsidRPr="00F75CD1">
        <w:rPr>
          <w:rFonts w:ascii="Arial" w:hAnsi="Arial" w:cs="Arial"/>
        </w:rPr>
        <w:t>Compusyn</w:t>
      </w:r>
      <w:proofErr w:type="spellEnd"/>
      <w:r w:rsidRPr="00F75CD1">
        <w:rPr>
          <w:rFonts w:ascii="Arial" w:hAnsi="Arial" w:cs="Arial"/>
        </w:rPr>
        <w:t xml:space="preserve"> v1.0 software. </w:t>
      </w:r>
      <w:r w:rsidR="005773BE">
        <w:rPr>
          <w:rFonts w:ascii="Arial" w:hAnsi="Arial" w:cs="Arial"/>
        </w:rPr>
        <w:t>CI&lt;1 indicates synergism.</w:t>
      </w:r>
    </w:p>
    <w:p w14:paraId="00F6E69B" w14:textId="77777777" w:rsidR="006461ED" w:rsidRPr="00F75CD1" w:rsidRDefault="006461ED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840B00" w14:textId="44336F69" w:rsidR="00F75CD1" w:rsidRPr="00F75CD1" w:rsidRDefault="00F75CD1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75CD1">
        <w:rPr>
          <w:rFonts w:ascii="Arial" w:hAnsi="Arial" w:cs="Arial"/>
          <w:b/>
          <w:bCs/>
        </w:rPr>
        <w:t xml:space="preserve">Figure S6. </w:t>
      </w:r>
      <w:r w:rsidR="00414F70">
        <w:rPr>
          <w:rFonts w:ascii="Arial" w:hAnsi="Arial" w:cs="Arial"/>
          <w:b/>
          <w:bCs/>
        </w:rPr>
        <w:t>C</w:t>
      </w:r>
      <w:r w:rsidRPr="00F75CD1">
        <w:rPr>
          <w:rFonts w:ascii="Arial" w:hAnsi="Arial" w:cs="Arial"/>
          <w:b/>
          <w:bCs/>
        </w:rPr>
        <w:t>omplete blood count results for VQ</w:t>
      </w:r>
      <w:r w:rsidR="005773BE">
        <w:rPr>
          <w:rFonts w:ascii="Arial" w:hAnsi="Arial" w:cs="Arial"/>
          <w:b/>
          <w:bCs/>
        </w:rPr>
        <w:t>-D1</w:t>
      </w:r>
      <w:r w:rsidRPr="00F75CD1">
        <w:rPr>
          <w:rFonts w:ascii="Arial" w:hAnsi="Arial" w:cs="Arial"/>
          <w:b/>
          <w:bCs/>
        </w:rPr>
        <w:t xml:space="preserve"> mice treated with</w:t>
      </w:r>
      <w:r w:rsidR="0038679A">
        <w:rPr>
          <w:rFonts w:ascii="Arial" w:hAnsi="Arial" w:cs="Arial"/>
          <w:b/>
          <w:bCs/>
        </w:rPr>
        <w:t xml:space="preserve"> 0.2mg/kg</w:t>
      </w:r>
      <w:r w:rsidRPr="00F75CD1">
        <w:rPr>
          <w:rFonts w:ascii="Arial" w:hAnsi="Arial" w:cs="Arial"/>
          <w:b/>
          <w:bCs/>
        </w:rPr>
        <w:t xml:space="preserve"> </w:t>
      </w:r>
      <w:r w:rsidR="005773BE">
        <w:rPr>
          <w:rFonts w:ascii="Arial" w:hAnsi="Arial" w:cs="Arial"/>
          <w:b/>
          <w:bCs/>
        </w:rPr>
        <w:t>t</w:t>
      </w:r>
      <w:r w:rsidRPr="00F75CD1">
        <w:rPr>
          <w:rFonts w:ascii="Arial" w:hAnsi="Arial" w:cs="Arial"/>
          <w:b/>
          <w:bCs/>
        </w:rPr>
        <w:t xml:space="preserve">rametinib and </w:t>
      </w:r>
      <w:r w:rsidR="0038679A">
        <w:rPr>
          <w:rFonts w:ascii="Arial" w:hAnsi="Arial" w:cs="Arial"/>
          <w:b/>
          <w:bCs/>
        </w:rPr>
        <w:t xml:space="preserve">10mg/kg </w:t>
      </w:r>
      <w:r w:rsidR="005773BE">
        <w:rPr>
          <w:rFonts w:ascii="Arial" w:hAnsi="Arial" w:cs="Arial"/>
          <w:b/>
          <w:bCs/>
        </w:rPr>
        <w:t>p</w:t>
      </w:r>
      <w:r w:rsidRPr="00F75CD1">
        <w:rPr>
          <w:rFonts w:ascii="Arial" w:hAnsi="Arial" w:cs="Arial"/>
          <w:b/>
          <w:bCs/>
        </w:rPr>
        <w:t>onatinib.</w:t>
      </w:r>
    </w:p>
    <w:p w14:paraId="6AA6E3B4" w14:textId="0445EFE2" w:rsidR="00F75CD1" w:rsidRPr="00F75CD1" w:rsidRDefault="00F75CD1" w:rsidP="00D41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5CD1">
        <w:rPr>
          <w:rFonts w:ascii="Arial" w:hAnsi="Arial" w:cs="Arial"/>
        </w:rPr>
        <w:lastRenderedPageBreak/>
        <w:t xml:space="preserve">Complete </w:t>
      </w:r>
      <w:r w:rsidR="00AC2AE0">
        <w:rPr>
          <w:rFonts w:ascii="Arial" w:hAnsi="Arial" w:cs="Arial"/>
        </w:rPr>
        <w:t>b</w:t>
      </w:r>
      <w:r w:rsidRPr="00F75CD1">
        <w:rPr>
          <w:rFonts w:ascii="Arial" w:hAnsi="Arial" w:cs="Arial"/>
        </w:rPr>
        <w:t xml:space="preserve">lood </w:t>
      </w:r>
      <w:r w:rsidR="00AC2AE0">
        <w:rPr>
          <w:rFonts w:ascii="Arial" w:hAnsi="Arial" w:cs="Arial"/>
        </w:rPr>
        <w:t>c</w:t>
      </w:r>
      <w:r w:rsidRPr="00F75CD1">
        <w:rPr>
          <w:rFonts w:ascii="Arial" w:hAnsi="Arial" w:cs="Arial"/>
        </w:rPr>
        <w:t>ount of peripheral blood samples collected from VQ</w:t>
      </w:r>
      <w:r w:rsidR="00AC2AE0">
        <w:rPr>
          <w:rFonts w:ascii="Arial" w:hAnsi="Arial" w:cs="Arial"/>
        </w:rPr>
        <w:t>-D1</w:t>
      </w:r>
      <w:r w:rsidRPr="00F75CD1">
        <w:rPr>
          <w:rFonts w:ascii="Arial" w:hAnsi="Arial" w:cs="Arial"/>
        </w:rPr>
        <w:t xml:space="preserve"> recipient mice before treatment and at day 21 of treatment. </w:t>
      </w:r>
      <w:r w:rsidR="00AC2AE0">
        <w:rPr>
          <w:rFonts w:ascii="Arial" w:hAnsi="Arial" w:cs="Arial"/>
        </w:rPr>
        <w:t>Quantification of platelet (</w:t>
      </w:r>
      <w:r w:rsidR="005E7D9B">
        <w:rPr>
          <w:rFonts w:ascii="Arial" w:hAnsi="Arial" w:cs="Arial"/>
        </w:rPr>
        <w:t>A</w:t>
      </w:r>
      <w:r w:rsidR="00AC2AE0">
        <w:rPr>
          <w:rFonts w:ascii="Arial" w:hAnsi="Arial" w:cs="Arial"/>
        </w:rPr>
        <w:t xml:space="preserve">), lymphocyte </w:t>
      </w:r>
      <w:r w:rsidRPr="00F75CD1">
        <w:rPr>
          <w:rFonts w:ascii="Arial" w:hAnsi="Arial" w:cs="Arial"/>
        </w:rPr>
        <w:t>(</w:t>
      </w:r>
      <w:r w:rsidR="005E7D9B">
        <w:rPr>
          <w:rFonts w:ascii="Arial" w:hAnsi="Arial" w:cs="Arial"/>
        </w:rPr>
        <w:t>B</w:t>
      </w:r>
      <w:r w:rsidRPr="00F75CD1">
        <w:rPr>
          <w:rFonts w:ascii="Arial" w:hAnsi="Arial" w:cs="Arial"/>
        </w:rPr>
        <w:t>)</w:t>
      </w:r>
      <w:r w:rsidR="00477953">
        <w:rPr>
          <w:rFonts w:ascii="Arial" w:hAnsi="Arial" w:cs="Arial"/>
        </w:rPr>
        <w:t>,</w:t>
      </w:r>
      <w:r w:rsidRPr="00F75CD1">
        <w:rPr>
          <w:rFonts w:ascii="Arial" w:hAnsi="Arial" w:cs="Arial"/>
        </w:rPr>
        <w:t xml:space="preserve"> </w:t>
      </w:r>
      <w:r w:rsidR="00AC2AE0">
        <w:rPr>
          <w:rFonts w:ascii="Arial" w:hAnsi="Arial" w:cs="Arial"/>
        </w:rPr>
        <w:t>and w</w:t>
      </w:r>
      <w:r w:rsidRPr="00F75CD1">
        <w:rPr>
          <w:rFonts w:ascii="Arial" w:hAnsi="Arial" w:cs="Arial"/>
        </w:rPr>
        <w:t>hite blood cell (WBC)</w:t>
      </w:r>
      <w:r w:rsidR="00AC2AE0">
        <w:rPr>
          <w:rFonts w:ascii="Arial" w:hAnsi="Arial" w:cs="Arial"/>
        </w:rPr>
        <w:t xml:space="preserve"> (</w:t>
      </w:r>
      <w:r w:rsidR="005E7D9B">
        <w:rPr>
          <w:rFonts w:ascii="Arial" w:hAnsi="Arial" w:cs="Arial"/>
        </w:rPr>
        <w:t>C</w:t>
      </w:r>
      <w:r w:rsidR="00AC2AE0">
        <w:rPr>
          <w:rFonts w:ascii="Arial" w:hAnsi="Arial" w:cs="Arial"/>
        </w:rPr>
        <w:t>)</w:t>
      </w:r>
      <w:r w:rsidRPr="00F75CD1">
        <w:rPr>
          <w:rFonts w:ascii="Arial" w:hAnsi="Arial" w:cs="Arial"/>
        </w:rPr>
        <w:t xml:space="preserve">. </w:t>
      </w:r>
      <w:r w:rsidR="00AC2AE0">
        <w:rPr>
          <w:rFonts w:ascii="Arial" w:hAnsi="Arial" w:cs="Arial"/>
        </w:rPr>
        <w:t xml:space="preserve">Results are presented as mean </w:t>
      </w:r>
      <w:r w:rsidR="00AC2AE0" w:rsidRPr="00AC2AE0">
        <w:rPr>
          <w:rFonts w:ascii="Arial" w:hAnsi="Arial" w:cs="Arial"/>
          <w:u w:val="single"/>
        </w:rPr>
        <w:t>+</w:t>
      </w:r>
      <w:r w:rsidR="00AC2AE0">
        <w:rPr>
          <w:rFonts w:ascii="Arial" w:hAnsi="Arial" w:cs="Arial"/>
        </w:rPr>
        <w:t xml:space="preserve"> SD. </w:t>
      </w:r>
      <w:r w:rsidRPr="00F75CD1">
        <w:rPr>
          <w:rFonts w:ascii="Arial" w:hAnsi="Arial" w:cs="Arial"/>
        </w:rPr>
        <w:t>**, p&lt;0.01.</w:t>
      </w:r>
    </w:p>
    <w:p w14:paraId="4C570F53" w14:textId="01A6B03D" w:rsidR="00F75CD1" w:rsidRDefault="00F75CD1" w:rsidP="00D418E9">
      <w:pPr>
        <w:spacing w:after="0" w:line="240" w:lineRule="auto"/>
        <w:rPr>
          <w:rFonts w:ascii="Arial" w:hAnsi="Arial" w:cs="Arial"/>
        </w:rPr>
      </w:pPr>
    </w:p>
    <w:p w14:paraId="5B0832CF" w14:textId="5D724E61" w:rsidR="0038679A" w:rsidRPr="00F75CD1" w:rsidRDefault="0038679A" w:rsidP="003867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75CD1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7</w:t>
      </w:r>
      <w:r w:rsidRPr="00F75CD1">
        <w:rPr>
          <w:rFonts w:ascii="Arial" w:hAnsi="Arial" w:cs="Arial"/>
          <w:b/>
          <w:bCs/>
        </w:rPr>
        <w:t xml:space="preserve">. </w:t>
      </w:r>
      <w:r w:rsidR="00414F70">
        <w:rPr>
          <w:rFonts w:ascii="Arial" w:hAnsi="Arial" w:cs="Arial"/>
          <w:b/>
          <w:bCs/>
        </w:rPr>
        <w:t>C</w:t>
      </w:r>
      <w:r w:rsidRPr="00F75CD1">
        <w:rPr>
          <w:rFonts w:ascii="Arial" w:hAnsi="Arial" w:cs="Arial"/>
          <w:b/>
          <w:bCs/>
        </w:rPr>
        <w:t>omplete blood count results for VQ</w:t>
      </w:r>
      <w:r>
        <w:rPr>
          <w:rFonts w:ascii="Arial" w:hAnsi="Arial" w:cs="Arial"/>
          <w:b/>
          <w:bCs/>
        </w:rPr>
        <w:t>-D1</w:t>
      </w:r>
      <w:r w:rsidRPr="00F75CD1">
        <w:rPr>
          <w:rFonts w:ascii="Arial" w:hAnsi="Arial" w:cs="Arial"/>
          <w:b/>
          <w:bCs/>
        </w:rPr>
        <w:t xml:space="preserve"> mice treated with </w:t>
      </w:r>
      <w:r>
        <w:rPr>
          <w:rFonts w:ascii="Arial" w:hAnsi="Arial" w:cs="Arial"/>
          <w:b/>
          <w:bCs/>
        </w:rPr>
        <w:t>0.5mg/kg</w:t>
      </w:r>
      <w:r w:rsidRPr="00F75CD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</w:t>
      </w:r>
      <w:r w:rsidRPr="00F75CD1">
        <w:rPr>
          <w:rFonts w:ascii="Arial" w:hAnsi="Arial" w:cs="Arial"/>
          <w:b/>
          <w:bCs/>
        </w:rPr>
        <w:t xml:space="preserve">rametinib and </w:t>
      </w:r>
      <w:r>
        <w:rPr>
          <w:rFonts w:ascii="Arial" w:hAnsi="Arial" w:cs="Arial"/>
          <w:b/>
          <w:bCs/>
        </w:rPr>
        <w:t>10mg/kg p</w:t>
      </w:r>
      <w:r w:rsidRPr="00F75CD1">
        <w:rPr>
          <w:rFonts w:ascii="Arial" w:hAnsi="Arial" w:cs="Arial"/>
          <w:b/>
          <w:bCs/>
        </w:rPr>
        <w:t>onatinib.</w:t>
      </w:r>
    </w:p>
    <w:p w14:paraId="64922403" w14:textId="116D0720" w:rsidR="0038679A" w:rsidRPr="00F75CD1" w:rsidRDefault="0038679A" w:rsidP="003867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5CD1">
        <w:rPr>
          <w:rFonts w:ascii="Arial" w:hAnsi="Arial" w:cs="Arial"/>
        </w:rPr>
        <w:t xml:space="preserve">Complete </w:t>
      </w:r>
      <w:r>
        <w:rPr>
          <w:rFonts w:ascii="Arial" w:hAnsi="Arial" w:cs="Arial"/>
        </w:rPr>
        <w:t>b</w:t>
      </w:r>
      <w:r w:rsidRPr="00F75CD1">
        <w:rPr>
          <w:rFonts w:ascii="Arial" w:hAnsi="Arial" w:cs="Arial"/>
        </w:rPr>
        <w:t xml:space="preserve">lood </w:t>
      </w:r>
      <w:r>
        <w:rPr>
          <w:rFonts w:ascii="Arial" w:hAnsi="Arial" w:cs="Arial"/>
        </w:rPr>
        <w:t>c</w:t>
      </w:r>
      <w:r w:rsidRPr="00F75CD1">
        <w:rPr>
          <w:rFonts w:ascii="Arial" w:hAnsi="Arial" w:cs="Arial"/>
        </w:rPr>
        <w:t>ount of peripheral blood samples collected from VQ</w:t>
      </w:r>
      <w:r>
        <w:rPr>
          <w:rFonts w:ascii="Arial" w:hAnsi="Arial" w:cs="Arial"/>
        </w:rPr>
        <w:t>-D1</w:t>
      </w:r>
      <w:r w:rsidRPr="00F75CD1">
        <w:rPr>
          <w:rFonts w:ascii="Arial" w:hAnsi="Arial" w:cs="Arial"/>
        </w:rPr>
        <w:t xml:space="preserve"> recipient mice before treatment and at day 21 of treatment. </w:t>
      </w:r>
      <w:r>
        <w:rPr>
          <w:rFonts w:ascii="Arial" w:hAnsi="Arial" w:cs="Arial"/>
        </w:rPr>
        <w:t xml:space="preserve">Quantification of platelet (A), lymphocyte </w:t>
      </w:r>
      <w:r w:rsidRPr="00F75CD1">
        <w:rPr>
          <w:rFonts w:ascii="Arial" w:hAnsi="Arial" w:cs="Arial"/>
        </w:rPr>
        <w:t>(</w:t>
      </w:r>
      <w:r>
        <w:rPr>
          <w:rFonts w:ascii="Arial" w:hAnsi="Arial" w:cs="Arial"/>
        </w:rPr>
        <w:t>B</w:t>
      </w:r>
      <w:r w:rsidRPr="00F75CD1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F75C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w</w:t>
      </w:r>
      <w:r w:rsidRPr="00F75CD1">
        <w:rPr>
          <w:rFonts w:ascii="Arial" w:hAnsi="Arial" w:cs="Arial"/>
        </w:rPr>
        <w:t>hite blood cell (WBC)</w:t>
      </w:r>
      <w:r>
        <w:rPr>
          <w:rFonts w:ascii="Arial" w:hAnsi="Arial" w:cs="Arial"/>
        </w:rPr>
        <w:t xml:space="preserve"> (C)</w:t>
      </w:r>
      <w:r w:rsidRPr="00F75CD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Results are presented as mean </w:t>
      </w:r>
      <w:r w:rsidRPr="00AC2AE0">
        <w:rPr>
          <w:rFonts w:ascii="Arial" w:hAnsi="Arial" w:cs="Arial"/>
          <w:u w:val="single"/>
        </w:rPr>
        <w:t>+</w:t>
      </w:r>
      <w:r>
        <w:rPr>
          <w:rFonts w:ascii="Arial" w:hAnsi="Arial" w:cs="Arial"/>
        </w:rPr>
        <w:t xml:space="preserve"> SD. </w:t>
      </w:r>
      <w:r w:rsidR="00414F70">
        <w:rPr>
          <w:rFonts w:ascii="Arial" w:hAnsi="Arial" w:cs="Arial"/>
        </w:rPr>
        <w:t>ns, not significant.</w:t>
      </w:r>
    </w:p>
    <w:p w14:paraId="72C3C277" w14:textId="77777777" w:rsidR="0038679A" w:rsidRPr="00F75CD1" w:rsidRDefault="0038679A" w:rsidP="00D418E9">
      <w:pPr>
        <w:spacing w:after="0" w:line="240" w:lineRule="auto"/>
        <w:rPr>
          <w:rFonts w:ascii="Arial" w:hAnsi="Arial" w:cs="Arial"/>
        </w:rPr>
      </w:pPr>
    </w:p>
    <w:sectPr w:rsidR="0038679A" w:rsidRPr="00F75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1577"/>
    <w:multiLevelType w:val="hybridMultilevel"/>
    <w:tmpl w:val="51602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D1"/>
    <w:rsid w:val="000421ED"/>
    <w:rsid w:val="00062188"/>
    <w:rsid w:val="000912EE"/>
    <w:rsid w:val="000E35E1"/>
    <w:rsid w:val="00145CCF"/>
    <w:rsid w:val="00245330"/>
    <w:rsid w:val="002D6704"/>
    <w:rsid w:val="0038679A"/>
    <w:rsid w:val="00414F70"/>
    <w:rsid w:val="00435361"/>
    <w:rsid w:val="00477953"/>
    <w:rsid w:val="004A2C00"/>
    <w:rsid w:val="00554170"/>
    <w:rsid w:val="005773BE"/>
    <w:rsid w:val="00580B04"/>
    <w:rsid w:val="005E6D4B"/>
    <w:rsid w:val="005E7D9B"/>
    <w:rsid w:val="00611C76"/>
    <w:rsid w:val="006461ED"/>
    <w:rsid w:val="006B2FD0"/>
    <w:rsid w:val="00734E1E"/>
    <w:rsid w:val="00771D3A"/>
    <w:rsid w:val="00992B02"/>
    <w:rsid w:val="00AC2AE0"/>
    <w:rsid w:val="00CB6D60"/>
    <w:rsid w:val="00D418E9"/>
    <w:rsid w:val="00F02801"/>
    <w:rsid w:val="00F75CD1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3B20E"/>
  <w15:chartTrackingRefBased/>
  <w15:docId w15:val="{25425DC3-1B24-4CA1-8233-37CDB792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7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F75C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75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C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CD1"/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CD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75C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llows-h4Char">
    <w:name w:val="follows-h4 Char"/>
    <w:basedOn w:val="DefaultParagraphFont"/>
    <w:link w:val="follows-h4"/>
    <w:locked/>
    <w:rsid w:val="00F75CD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llows-h4">
    <w:name w:val="follows-h4"/>
    <w:basedOn w:val="Normal"/>
    <w:link w:val="follows-h4Char"/>
    <w:rsid w:val="00F7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F75CD1"/>
  </w:style>
  <w:style w:type="character" w:customStyle="1" w:styleId="Heading2Char">
    <w:name w:val="Heading 2 Char"/>
    <w:basedOn w:val="DefaultParagraphFont"/>
    <w:link w:val="Heading2"/>
    <w:uiPriority w:val="9"/>
    <w:semiHidden/>
    <w:rsid w:val="002D67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CB6D60"/>
    <w:pPr>
      <w:spacing w:after="0" w:line="240" w:lineRule="auto"/>
    </w:pPr>
    <w:rPr>
      <w:rFonts w:eastAsiaTheme="minorEastAs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9097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Flietner</dc:creator>
  <cp:keywords/>
  <dc:description/>
  <cp:lastModifiedBy>Jing Zhang</cp:lastModifiedBy>
  <cp:revision>4</cp:revision>
  <dcterms:created xsi:type="dcterms:W3CDTF">2022-01-21T16:28:00Z</dcterms:created>
  <dcterms:modified xsi:type="dcterms:W3CDTF">2022-01-21T19:46:00Z</dcterms:modified>
</cp:coreProperties>
</file>