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40A4" w:rsidRDefault="00A340A4" w:rsidP="009F57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213B28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213B28">
        <w:rPr>
          <w:rFonts w:ascii="Times New Roman" w:hAnsi="Times New Roman" w:cs="Times New Roman"/>
          <w:sz w:val="24"/>
          <w:szCs w:val="24"/>
        </w:rPr>
        <w:t xml:space="preserve">. Detailed information of target proteins and </w:t>
      </w:r>
    </w:p>
    <w:p w:rsidR="00A340A4" w:rsidRPr="00213B28" w:rsidRDefault="00A340A4" w:rsidP="009F573D">
      <w:pPr>
        <w:jc w:val="center"/>
        <w:rPr>
          <w:rFonts w:ascii="Times New Roman" w:hAnsi="Times New Roman" w:cs="Times New Roman"/>
          <w:sz w:val="24"/>
          <w:szCs w:val="24"/>
        </w:rPr>
      </w:pPr>
      <w:r w:rsidRPr="00213B28">
        <w:rPr>
          <w:rFonts w:ascii="Times New Roman" w:hAnsi="Times New Roman" w:cs="Times New Roman"/>
          <w:sz w:val="24"/>
          <w:szCs w:val="24"/>
        </w:rPr>
        <w:t>docking parameters</w:t>
      </w:r>
    </w:p>
    <w:tbl>
      <w:tblPr>
        <w:tblStyle w:val="a7"/>
        <w:tblW w:w="864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1357"/>
        <w:gridCol w:w="1331"/>
        <w:gridCol w:w="2538"/>
        <w:gridCol w:w="2271"/>
      </w:tblGrid>
      <w:tr w:rsidR="00A340A4" w:rsidRPr="00C611FB" w:rsidTr="00884001">
        <w:trPr>
          <w:jc w:val="center"/>
        </w:trPr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:rsidR="00A340A4" w:rsidRPr="00C611FB" w:rsidRDefault="00A340A4" w:rsidP="00F537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4" w:space="0" w:color="auto"/>
            </w:tcBorders>
          </w:tcPr>
          <w:p w:rsidR="00A340A4" w:rsidRPr="00C611FB" w:rsidRDefault="00A340A4" w:rsidP="00F537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611FB">
              <w:rPr>
                <w:rFonts w:ascii="Times New Roman" w:hAnsi="Times New Roman" w:cs="Times New Roman"/>
                <w:szCs w:val="21"/>
              </w:rPr>
              <w:t>Uniprot</w:t>
            </w:r>
            <w:proofErr w:type="spellEnd"/>
            <w:r w:rsidRPr="00C611FB">
              <w:rPr>
                <w:rFonts w:ascii="Times New Roman" w:hAnsi="Times New Roman" w:cs="Times New Roman"/>
                <w:szCs w:val="21"/>
              </w:rPr>
              <w:t xml:space="preserve"> ID</w:t>
            </w:r>
          </w:p>
        </w:tc>
        <w:tc>
          <w:tcPr>
            <w:tcW w:w="1334" w:type="dxa"/>
            <w:tcBorders>
              <w:top w:val="single" w:sz="12" w:space="0" w:color="auto"/>
              <w:bottom w:val="single" w:sz="4" w:space="0" w:color="auto"/>
            </w:tcBorders>
          </w:tcPr>
          <w:p w:rsidR="00A340A4" w:rsidRPr="00C611FB" w:rsidRDefault="00A340A4" w:rsidP="00F537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PDB code</w:t>
            </w:r>
          </w:p>
        </w:tc>
        <w:tc>
          <w:tcPr>
            <w:tcW w:w="2546" w:type="dxa"/>
            <w:tcBorders>
              <w:top w:val="single" w:sz="12" w:space="0" w:color="auto"/>
              <w:bottom w:val="single" w:sz="4" w:space="0" w:color="auto"/>
            </w:tcBorders>
          </w:tcPr>
          <w:p w:rsidR="00A340A4" w:rsidRPr="00C611FB" w:rsidRDefault="00A340A4" w:rsidP="00F537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Docking site</w:t>
            </w:r>
          </w:p>
        </w:tc>
        <w:tc>
          <w:tcPr>
            <w:tcW w:w="2273" w:type="dxa"/>
            <w:tcBorders>
              <w:top w:val="single" w:sz="12" w:space="0" w:color="auto"/>
              <w:bottom w:val="single" w:sz="4" w:space="0" w:color="auto"/>
            </w:tcBorders>
          </w:tcPr>
          <w:p w:rsidR="00A340A4" w:rsidRPr="00C611FB" w:rsidRDefault="00A340A4" w:rsidP="00F537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Docking coordinate</w:t>
            </w:r>
          </w:p>
          <w:p w:rsidR="00A340A4" w:rsidRPr="00C611FB" w:rsidRDefault="00A340A4" w:rsidP="00F537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(X, Y, Z) Å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  <w:tcBorders>
              <w:top w:val="single" w:sz="4" w:space="0" w:color="auto"/>
            </w:tcBorders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IL6</w:t>
            </w:r>
          </w:p>
        </w:tc>
        <w:tc>
          <w:tcPr>
            <w:tcW w:w="1360" w:type="dxa"/>
            <w:tcBorders>
              <w:top w:val="single" w:sz="4" w:space="0" w:color="auto"/>
            </w:tcBorders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P05231</w:t>
            </w:r>
          </w:p>
        </w:tc>
        <w:tc>
          <w:tcPr>
            <w:tcW w:w="1334" w:type="dxa"/>
            <w:tcBorders>
              <w:top w:val="single" w:sz="4" w:space="0" w:color="auto"/>
            </w:tcBorders>
          </w:tcPr>
          <w:p w:rsidR="00A340A4" w:rsidRPr="00C611FB" w:rsidRDefault="00A340A4" w:rsidP="008F2782">
            <w:pPr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1ALU</w:t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GLU42, ASN61</w:t>
            </w:r>
            <w:r w:rsidRPr="00C611FB">
              <w:rPr>
                <w:rFonts w:ascii="Times New Roman" w:hAnsi="Times New Roman" w:cs="Times New Roman"/>
                <w:noProof/>
                <w:szCs w:val="21"/>
              </w:rPr>
              <w:t>[1]</w:t>
            </w:r>
          </w:p>
        </w:tc>
        <w:tc>
          <w:tcPr>
            <w:tcW w:w="2273" w:type="dxa"/>
            <w:tcBorders>
              <w:top w:val="single" w:sz="4" w:space="0" w:color="auto"/>
            </w:tcBorders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5.392, -30.536, 3.504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VEGFA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P15692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3V2A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Active cavity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22.945, -16.763, 14.616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ESR1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P03372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1ERE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ARG394, GLY521</w:t>
            </w:r>
            <w:r w:rsidRPr="00C611FB">
              <w:rPr>
                <w:rFonts w:ascii="Times New Roman" w:hAnsi="Times New Roman" w:cs="Times New Roman"/>
                <w:noProof/>
                <w:szCs w:val="21"/>
              </w:rPr>
              <w:t>[2]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6.151, 53.525, 131.421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HIF1A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Q16665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3KCX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HIS279</w:t>
            </w:r>
            <w:r w:rsidRPr="00C611FB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C611FB">
              <w:rPr>
                <w:rFonts w:ascii="Times New Roman" w:hAnsi="Times New Roman" w:cs="Times New Roman"/>
                <w:szCs w:val="21"/>
              </w:rPr>
              <w:t xml:space="preserve"> ILE281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-21.331,25.461,9.364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MMP9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P14780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4HMA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Tyr179, Leu187</w:t>
            </w:r>
            <w:r w:rsidRPr="00C611FB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C611FB">
              <w:rPr>
                <w:rFonts w:ascii="Times New Roman" w:hAnsi="Times New Roman" w:cs="Times New Roman"/>
                <w:szCs w:val="21"/>
              </w:rPr>
              <w:t xml:space="preserve"> Ala191</w:t>
            </w:r>
            <w:r w:rsidRPr="00C611FB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C611FB">
              <w:rPr>
                <w:rFonts w:ascii="Times New Roman" w:hAnsi="Times New Roman" w:cs="Times New Roman"/>
                <w:szCs w:val="21"/>
              </w:rPr>
              <w:t xml:space="preserve"> Phe192</w:t>
            </w:r>
            <w:r w:rsidRPr="00C611FB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C611FB">
              <w:rPr>
                <w:rFonts w:ascii="Times New Roman" w:hAnsi="Times New Roman" w:cs="Times New Roman"/>
                <w:szCs w:val="21"/>
              </w:rPr>
              <w:t xml:space="preserve"> His230</w:t>
            </w:r>
            <w:r w:rsidRPr="00C611FB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C611FB">
              <w:rPr>
                <w:rFonts w:ascii="Times New Roman" w:hAnsi="Times New Roman" w:cs="Times New Roman"/>
                <w:szCs w:val="21"/>
              </w:rPr>
              <w:t xml:space="preserve"> Leu234</w:t>
            </w:r>
            <w:r w:rsidRPr="00C611FB">
              <w:rPr>
                <w:rFonts w:ascii="Times New Roman" w:hAnsi="Times New Roman" w:cs="Times New Roman"/>
                <w:noProof/>
                <w:szCs w:val="21"/>
              </w:rPr>
              <w:t>[3]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7.967, 13.951, -2.996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APP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P05067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5BUO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Active cavity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13.864, 23.025, 13.986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FGF1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P05230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1AFC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 xml:space="preserve">ASN18, LYS112, LYS113, LYS118, ARG122, GLN127 </w:t>
            </w:r>
            <w:r w:rsidRPr="00C611FB">
              <w:rPr>
                <w:rFonts w:ascii="Times New Roman" w:hAnsi="Times New Roman" w:cs="Times New Roman"/>
                <w:noProof/>
                <w:szCs w:val="21"/>
              </w:rPr>
              <w:t>[4]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20.736, 18.465, 10.283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IL2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P60568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3QB1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ARG38, VAL69, LYS76</w:t>
            </w:r>
            <w:r w:rsidRPr="00C611FB">
              <w:rPr>
                <w:rFonts w:ascii="Times New Roman" w:hAnsi="Times New Roman" w:cs="Times New Roman"/>
                <w:noProof/>
                <w:szCs w:val="21"/>
              </w:rPr>
              <w:t>[5]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16.202, 20.076, -9.631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LGALS3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P17931 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1KJL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 xml:space="preserve">ASN174, GLU184, ARG160, ALA146 </w:t>
            </w:r>
            <w:r w:rsidRPr="00C611FB">
              <w:rPr>
                <w:rFonts w:ascii="Times New Roman" w:hAnsi="Times New Roman" w:cs="Times New Roman"/>
                <w:noProof/>
                <w:szCs w:val="21"/>
              </w:rPr>
              <w:t>[6]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-0.914, -3.938, -2.862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SLC5A1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P13866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2XQ2</w:t>
            </w:r>
            <w:r w:rsidRPr="00C611FB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LEU74, SER77, TYR290, ASP294, GLN295</w:t>
            </w:r>
            <w:r w:rsidRPr="00C611FB">
              <w:rPr>
                <w:rFonts w:ascii="Times New Roman" w:hAnsi="Times New Roman" w:cs="Times New Roman"/>
                <w:noProof/>
                <w:szCs w:val="21"/>
              </w:rPr>
              <w:t>[7]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 xml:space="preserve">-1.864, -31.824, </w:t>
            </w:r>
          </w:p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-52.181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F3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P13726 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2HFT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Active cavity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35.135, 42.671, 41.832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eastAsia="等线" w:hAnsi="Times New Roman" w:cs="Times New Roman"/>
                <w:color w:val="000000"/>
                <w:szCs w:val="21"/>
              </w:rPr>
              <w:t>ALDH1B1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P30837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5I13</w:t>
            </w:r>
            <w:r w:rsidRPr="00C611FB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Active cavity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92.116, 43.166, 41.290</w:t>
            </w:r>
          </w:p>
        </w:tc>
      </w:tr>
      <w:tr w:rsidR="00A340A4" w:rsidRPr="00C611FB" w:rsidTr="00884001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CES2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O00748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5A7G</w:t>
            </w:r>
            <w:r w:rsidRPr="00C611FB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SER228, GLY347, GLU103</w:t>
            </w:r>
            <w:r w:rsidRPr="00C611FB">
              <w:rPr>
                <w:rFonts w:ascii="Times New Roman" w:hAnsi="Times New Roman" w:cs="Times New Roman"/>
                <w:noProof/>
                <w:szCs w:val="21"/>
              </w:rPr>
              <w:t>[8]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91.169, 88.498, 24.784</w:t>
            </w:r>
          </w:p>
        </w:tc>
      </w:tr>
      <w:tr w:rsidR="00A340A4" w:rsidRPr="00C611FB" w:rsidTr="006B3A97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P4HB</w:t>
            </w:r>
          </w:p>
        </w:tc>
        <w:tc>
          <w:tcPr>
            <w:tcW w:w="1360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P07237</w:t>
            </w: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4EKZ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 xml:space="preserve">TRP396, GLY398 </w:t>
            </w:r>
            <w:r w:rsidRPr="00C611FB">
              <w:rPr>
                <w:rFonts w:ascii="Times New Roman" w:hAnsi="Times New Roman" w:cs="Times New Roman"/>
                <w:noProof/>
                <w:szCs w:val="21"/>
              </w:rPr>
              <w:t>[9]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-11.447, -47.531, 3.629</w:t>
            </w:r>
          </w:p>
        </w:tc>
      </w:tr>
      <w:tr w:rsidR="00A340A4" w:rsidRPr="00C611FB" w:rsidTr="006B3A97">
        <w:trPr>
          <w:jc w:val="center"/>
        </w:trPr>
        <w:tc>
          <w:tcPr>
            <w:tcW w:w="1134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 w:hint="eastAsia"/>
                <w:szCs w:val="21"/>
              </w:rPr>
              <w:t>HSP</w:t>
            </w:r>
            <w:r w:rsidRPr="00C611FB">
              <w:rPr>
                <w:rFonts w:ascii="Times New Roman" w:hAnsi="Times New Roman" w:cs="Times New Roman"/>
                <w:szCs w:val="21"/>
              </w:rPr>
              <w:t>A5</w:t>
            </w:r>
          </w:p>
        </w:tc>
        <w:tc>
          <w:tcPr>
            <w:tcW w:w="1360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814"/>
            </w:tblGrid>
            <w:tr w:rsidR="00A340A4" w:rsidRPr="00C611FB" w:rsidTr="006B3A9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340A4" w:rsidRPr="00C611FB" w:rsidRDefault="00A340A4" w:rsidP="006B3A97">
                  <w:pPr>
                    <w:widowControl/>
                    <w:jc w:val="left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340A4" w:rsidRPr="00C611FB" w:rsidRDefault="00A340A4" w:rsidP="006B3A97">
                  <w:pPr>
                    <w:widowControl/>
                    <w:spacing w:before="100" w:beforeAutospacing="1" w:after="100" w:afterAutospacing="1"/>
                    <w:jc w:val="center"/>
                    <w:outlineLvl w:val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611FB">
                    <w:rPr>
                      <w:rFonts w:ascii="Times New Roman" w:hAnsi="Times New Roman" w:cs="Times New Roman"/>
                      <w:szCs w:val="21"/>
                    </w:rPr>
                    <w:t xml:space="preserve"> P11021</w:t>
                  </w:r>
                </w:p>
              </w:tc>
            </w:tr>
          </w:tbl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34" w:type="dxa"/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C611FB">
              <w:rPr>
                <w:rFonts w:ascii="Times New Roman" w:hAnsi="Times New Roman" w:cs="Times New Roman"/>
                <w:szCs w:val="21"/>
              </w:rPr>
              <w:t>LDL</w:t>
            </w:r>
          </w:p>
        </w:tc>
        <w:tc>
          <w:tcPr>
            <w:tcW w:w="2546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 xml:space="preserve">ARG367, GLY364, TYR39, ILE61 </w:t>
            </w:r>
            <w:r w:rsidRPr="00C611FB">
              <w:rPr>
                <w:rFonts w:ascii="Times New Roman" w:hAnsi="Times New Roman" w:cs="Times New Roman"/>
                <w:noProof/>
                <w:szCs w:val="21"/>
              </w:rPr>
              <w:t>[10]</w:t>
            </w:r>
          </w:p>
        </w:tc>
        <w:tc>
          <w:tcPr>
            <w:tcW w:w="2273" w:type="dxa"/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19.150, -7.243, 1.555</w:t>
            </w:r>
          </w:p>
        </w:tc>
      </w:tr>
      <w:tr w:rsidR="00A340A4" w:rsidRPr="00213B28" w:rsidTr="00884001">
        <w:trPr>
          <w:jc w:val="center"/>
        </w:trPr>
        <w:tc>
          <w:tcPr>
            <w:tcW w:w="1134" w:type="dxa"/>
            <w:tcBorders>
              <w:bottom w:val="single" w:sz="12" w:space="0" w:color="auto"/>
            </w:tcBorders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C611FB">
              <w:rPr>
                <w:rFonts w:ascii="Times New Roman" w:hAnsi="Times New Roman" w:cs="Times New Roman"/>
                <w:szCs w:val="21"/>
              </w:rPr>
              <w:t>ELA</w:t>
            </w:r>
          </w:p>
        </w:tc>
        <w:tc>
          <w:tcPr>
            <w:tcW w:w="1360" w:type="dxa"/>
            <w:tcBorders>
              <w:bottom w:val="single" w:sz="12" w:space="0" w:color="auto"/>
            </w:tcBorders>
          </w:tcPr>
          <w:p w:rsidR="00A340A4" w:rsidRPr="00C611FB" w:rsidRDefault="00A340A4" w:rsidP="006B3A97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Q04206</w:t>
            </w:r>
          </w:p>
        </w:tc>
        <w:tc>
          <w:tcPr>
            <w:tcW w:w="1334" w:type="dxa"/>
            <w:tcBorders>
              <w:bottom w:val="single" w:sz="12" w:space="0" w:color="auto"/>
            </w:tcBorders>
          </w:tcPr>
          <w:p w:rsidR="00A340A4" w:rsidRPr="00C611FB" w:rsidRDefault="00A340A4" w:rsidP="008F2782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3QXY</w:t>
            </w:r>
          </w:p>
        </w:tc>
        <w:tc>
          <w:tcPr>
            <w:tcW w:w="2546" w:type="dxa"/>
            <w:tcBorders>
              <w:bottom w:val="single" w:sz="12" w:space="0" w:color="auto"/>
            </w:tcBorders>
          </w:tcPr>
          <w:p w:rsidR="00A340A4" w:rsidRPr="00C611FB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Active cavity</w:t>
            </w:r>
          </w:p>
        </w:tc>
        <w:tc>
          <w:tcPr>
            <w:tcW w:w="2273" w:type="dxa"/>
            <w:tcBorders>
              <w:bottom w:val="single" w:sz="12" w:space="0" w:color="auto"/>
            </w:tcBorders>
          </w:tcPr>
          <w:p w:rsidR="00A340A4" w:rsidRPr="0039603A" w:rsidRDefault="00A340A4" w:rsidP="008F278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11FB">
              <w:rPr>
                <w:rFonts w:ascii="Times New Roman" w:hAnsi="Times New Roman" w:cs="Times New Roman"/>
                <w:szCs w:val="21"/>
              </w:rPr>
              <w:t>63.987, 20.416, 10.276</w:t>
            </w:r>
          </w:p>
        </w:tc>
      </w:tr>
    </w:tbl>
    <w:p w:rsidR="00A340A4" w:rsidRDefault="00A340A4" w:rsidP="00593D69">
      <w:pPr>
        <w:spacing w:after="24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#The structure was constructed by homology modeling</w:t>
      </w:r>
    </w:p>
    <w:p w:rsidR="00A340A4" w:rsidRDefault="00A340A4" w:rsidP="00B02163">
      <w:pPr>
        <w:rPr>
          <w:rFonts w:ascii="Times New Roman" w:hAnsi="Times New Roman" w:cs="Times New Roman"/>
          <w:sz w:val="24"/>
          <w:szCs w:val="24"/>
        </w:rPr>
      </w:pPr>
      <w:r w:rsidRPr="00593D69">
        <w:rPr>
          <w:rFonts w:ascii="Times New Roman" w:hAnsi="Times New Roman" w:cs="Times New Roman" w:hint="eastAsia"/>
          <w:sz w:val="24"/>
          <w:szCs w:val="24"/>
        </w:rPr>
        <w:t>R</w:t>
      </w:r>
      <w:r w:rsidRPr="00593D69">
        <w:rPr>
          <w:rFonts w:ascii="Times New Roman" w:hAnsi="Times New Roman" w:cs="Times New Roman"/>
          <w:sz w:val="24"/>
          <w:szCs w:val="24"/>
        </w:rPr>
        <w:t>eferences</w:t>
      </w:r>
    </w:p>
    <w:p w:rsidR="00A340A4" w:rsidRPr="00A340A4" w:rsidRDefault="00A340A4" w:rsidP="00777C2C">
      <w:pPr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A340A4">
        <w:rPr>
          <w:rFonts w:ascii="Times New Roman" w:hAnsi="Times New Roman" w:cs="Times New Roman"/>
          <w:sz w:val="24"/>
          <w:szCs w:val="24"/>
        </w:rPr>
        <w:t>1</w:t>
      </w:r>
      <w:r w:rsidR="00777C2C">
        <w:rPr>
          <w:rFonts w:ascii="Times New Roman" w:hAnsi="Times New Roman" w:cs="Times New Roman" w:hint="eastAsia"/>
          <w:sz w:val="24"/>
          <w:szCs w:val="24"/>
        </w:rPr>
        <w:t>.</w:t>
      </w:r>
      <w:r w:rsidRPr="00A340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0A4">
        <w:rPr>
          <w:rFonts w:ascii="Times New Roman" w:hAnsi="Times New Roman" w:cs="Times New Roman"/>
          <w:sz w:val="24"/>
          <w:szCs w:val="24"/>
        </w:rPr>
        <w:t>Prathap</w:t>
      </w:r>
      <w:proofErr w:type="spellEnd"/>
      <w:r w:rsidRPr="00A340A4">
        <w:rPr>
          <w:rFonts w:ascii="Times New Roman" w:hAnsi="Times New Roman" w:cs="Times New Roman"/>
          <w:sz w:val="24"/>
          <w:szCs w:val="24"/>
        </w:rPr>
        <w:t xml:space="preserve"> L, Jayaraman S, Roy A, et al. Molecular docking analysis of </w:t>
      </w:r>
      <w:proofErr w:type="spellStart"/>
      <w:r w:rsidRPr="00A340A4">
        <w:rPr>
          <w:rFonts w:ascii="Times New Roman" w:hAnsi="Times New Roman" w:cs="Times New Roman"/>
          <w:sz w:val="24"/>
          <w:szCs w:val="24"/>
        </w:rPr>
        <w:t>stachydrine</w:t>
      </w:r>
      <w:proofErr w:type="spellEnd"/>
      <w:r w:rsidRPr="00A340A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340A4">
        <w:rPr>
          <w:rFonts w:ascii="Times New Roman" w:hAnsi="Times New Roman" w:cs="Times New Roman"/>
          <w:sz w:val="24"/>
          <w:szCs w:val="24"/>
        </w:rPr>
        <w:t>sakuranetin</w:t>
      </w:r>
      <w:proofErr w:type="spellEnd"/>
      <w:r w:rsidRPr="00A340A4">
        <w:rPr>
          <w:rFonts w:ascii="Times New Roman" w:hAnsi="Times New Roman" w:cs="Times New Roman"/>
          <w:sz w:val="24"/>
          <w:szCs w:val="24"/>
        </w:rPr>
        <w:t xml:space="preserve"> with IL-6 and TNF-α in the context of inflammation. Bioinformation. (2021); 17: 363-368.</w:t>
      </w:r>
    </w:p>
    <w:p w:rsidR="00A340A4" w:rsidRPr="00A340A4" w:rsidRDefault="00A340A4" w:rsidP="00777C2C">
      <w:pPr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A340A4">
        <w:rPr>
          <w:rFonts w:ascii="Times New Roman" w:hAnsi="Times New Roman" w:cs="Times New Roman"/>
          <w:sz w:val="24"/>
          <w:szCs w:val="24"/>
        </w:rPr>
        <w:t>2</w:t>
      </w:r>
      <w:r w:rsidR="00777C2C">
        <w:rPr>
          <w:rFonts w:ascii="Times New Roman" w:hAnsi="Times New Roman" w:cs="Times New Roman"/>
          <w:sz w:val="24"/>
          <w:szCs w:val="24"/>
        </w:rPr>
        <w:t>.</w:t>
      </w:r>
      <w:r w:rsidRPr="00A340A4">
        <w:rPr>
          <w:rFonts w:ascii="Times New Roman" w:hAnsi="Times New Roman" w:cs="Times New Roman"/>
          <w:sz w:val="24"/>
          <w:szCs w:val="24"/>
        </w:rPr>
        <w:t xml:space="preserve"> Lu Q, Cai Z, Fu J, et al. Molecular docking and molecular dynamics studies on the interactions of hydroxylated polybrominated diphenyl ethers to estrogen receptor alpha. Ecotoxicol Environ Saf. (2014); 101: 83-89.</w:t>
      </w:r>
    </w:p>
    <w:p w:rsidR="00A340A4" w:rsidRPr="00A340A4" w:rsidRDefault="00A340A4" w:rsidP="00777C2C">
      <w:pPr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A340A4">
        <w:rPr>
          <w:rFonts w:ascii="Times New Roman" w:hAnsi="Times New Roman" w:cs="Times New Roman"/>
          <w:sz w:val="24"/>
          <w:szCs w:val="24"/>
        </w:rPr>
        <w:t>3</w:t>
      </w:r>
      <w:r w:rsidR="00777C2C">
        <w:rPr>
          <w:rFonts w:ascii="Times New Roman" w:hAnsi="Times New Roman" w:cs="Times New Roman"/>
          <w:sz w:val="24"/>
          <w:szCs w:val="24"/>
        </w:rPr>
        <w:t>.</w:t>
      </w:r>
      <w:r w:rsidRPr="00A340A4">
        <w:rPr>
          <w:rFonts w:ascii="Times New Roman" w:hAnsi="Times New Roman" w:cs="Times New Roman"/>
          <w:sz w:val="24"/>
          <w:szCs w:val="24"/>
        </w:rPr>
        <w:t xml:space="preserve"> Mukund V, </w:t>
      </w:r>
      <w:proofErr w:type="spellStart"/>
      <w:r w:rsidRPr="00A340A4">
        <w:rPr>
          <w:rFonts w:ascii="Times New Roman" w:hAnsi="Times New Roman" w:cs="Times New Roman"/>
          <w:sz w:val="24"/>
          <w:szCs w:val="24"/>
        </w:rPr>
        <w:t>Saddala</w:t>
      </w:r>
      <w:proofErr w:type="spellEnd"/>
      <w:r w:rsidRPr="00A340A4">
        <w:rPr>
          <w:rFonts w:ascii="Times New Roman" w:hAnsi="Times New Roman" w:cs="Times New Roman"/>
          <w:sz w:val="24"/>
          <w:szCs w:val="24"/>
        </w:rPr>
        <w:t xml:space="preserve"> MS, Farran B, et al. Molecular docking studies of angiogenesis target protein HIF-1α and genistein in breast cancer. Gene. (2019); 701: 169-172.</w:t>
      </w:r>
    </w:p>
    <w:p w:rsidR="00A340A4" w:rsidRPr="00A340A4" w:rsidRDefault="00A340A4" w:rsidP="00777C2C">
      <w:pPr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A340A4">
        <w:rPr>
          <w:rFonts w:ascii="Times New Roman" w:hAnsi="Times New Roman" w:cs="Times New Roman"/>
          <w:sz w:val="24"/>
          <w:szCs w:val="24"/>
        </w:rPr>
        <w:t>4</w:t>
      </w:r>
      <w:r w:rsidR="00777C2C">
        <w:rPr>
          <w:rFonts w:ascii="Times New Roman" w:hAnsi="Times New Roman" w:cs="Times New Roman"/>
          <w:sz w:val="24"/>
          <w:szCs w:val="24"/>
        </w:rPr>
        <w:t>.</w:t>
      </w:r>
      <w:r w:rsidRPr="00A340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40A4">
        <w:rPr>
          <w:rFonts w:ascii="Times New Roman" w:hAnsi="Times New Roman" w:cs="Times New Roman"/>
          <w:sz w:val="24"/>
          <w:szCs w:val="24"/>
        </w:rPr>
        <w:t>Lv</w:t>
      </w:r>
      <w:proofErr w:type="spellEnd"/>
      <w:r w:rsidRPr="00A340A4">
        <w:rPr>
          <w:rFonts w:ascii="Times New Roman" w:hAnsi="Times New Roman" w:cs="Times New Roman"/>
          <w:sz w:val="24"/>
          <w:szCs w:val="24"/>
        </w:rPr>
        <w:t xml:space="preserve"> X, Wang H, Wu R, et al. The Active Compounds of Yixin Ningshen Tablet and Their Potential Action Mechanism in Treating Coronary Heart Disease- A Network Pharmacology and Proteomics Approach. Evid Based Complement Alternat Med. (2020); 2020: 4912395.</w:t>
      </w:r>
    </w:p>
    <w:p w:rsidR="00A340A4" w:rsidRPr="00A340A4" w:rsidRDefault="00A340A4" w:rsidP="00777C2C">
      <w:pPr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A340A4">
        <w:rPr>
          <w:rFonts w:ascii="Times New Roman" w:hAnsi="Times New Roman" w:cs="Times New Roman"/>
          <w:sz w:val="24"/>
          <w:szCs w:val="24"/>
        </w:rPr>
        <w:t>5</w:t>
      </w:r>
      <w:r w:rsidR="00777C2C">
        <w:rPr>
          <w:rFonts w:ascii="Times New Roman" w:hAnsi="Times New Roman" w:cs="Times New Roman"/>
          <w:sz w:val="24"/>
          <w:szCs w:val="24"/>
        </w:rPr>
        <w:t>.</w:t>
      </w:r>
      <w:r w:rsidRPr="00A340A4">
        <w:rPr>
          <w:rFonts w:ascii="Times New Roman" w:hAnsi="Times New Roman" w:cs="Times New Roman"/>
          <w:sz w:val="24"/>
          <w:szCs w:val="24"/>
        </w:rPr>
        <w:t xml:space="preserve"> Wang W, Zhang Y, Luo J, et al. Virtual Screening Technique Used to Estimate the </w:t>
      </w:r>
      <w:r w:rsidRPr="00A340A4">
        <w:rPr>
          <w:rFonts w:ascii="Times New Roman" w:hAnsi="Times New Roman" w:cs="Times New Roman"/>
          <w:sz w:val="24"/>
          <w:szCs w:val="24"/>
        </w:rPr>
        <w:lastRenderedPageBreak/>
        <w:t>Mechanism of Adhatoda vasica Nees for the Treatment of Rheumatoid Arthritis Based on Network Pharmacology and Molecular Docking. Evid Based Complement Alternat Med. (2020); 2020: 5872980.</w:t>
      </w:r>
    </w:p>
    <w:p w:rsidR="00A340A4" w:rsidRPr="00A340A4" w:rsidRDefault="00A340A4" w:rsidP="00777C2C">
      <w:pPr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A340A4">
        <w:rPr>
          <w:rFonts w:ascii="Times New Roman" w:hAnsi="Times New Roman" w:cs="Times New Roman"/>
          <w:sz w:val="24"/>
          <w:szCs w:val="24"/>
        </w:rPr>
        <w:t>6</w:t>
      </w:r>
      <w:r w:rsidR="00777C2C">
        <w:rPr>
          <w:rFonts w:ascii="Times New Roman" w:hAnsi="Times New Roman" w:cs="Times New Roman"/>
          <w:sz w:val="24"/>
          <w:szCs w:val="24"/>
        </w:rPr>
        <w:t>.</w:t>
      </w:r>
      <w:r w:rsidRPr="00A340A4">
        <w:rPr>
          <w:rFonts w:ascii="Times New Roman" w:hAnsi="Times New Roman" w:cs="Times New Roman"/>
          <w:sz w:val="24"/>
          <w:szCs w:val="24"/>
        </w:rPr>
        <w:t xml:space="preserve"> Jayakody RS, </w:t>
      </w:r>
      <w:proofErr w:type="spellStart"/>
      <w:r w:rsidRPr="00A340A4">
        <w:rPr>
          <w:rFonts w:ascii="Times New Roman" w:hAnsi="Times New Roman" w:cs="Times New Roman"/>
          <w:sz w:val="24"/>
          <w:szCs w:val="24"/>
        </w:rPr>
        <w:t>Wijewardhane</w:t>
      </w:r>
      <w:proofErr w:type="spellEnd"/>
      <w:r w:rsidRPr="00A340A4">
        <w:rPr>
          <w:rFonts w:ascii="Times New Roman" w:hAnsi="Times New Roman" w:cs="Times New Roman"/>
          <w:sz w:val="24"/>
          <w:szCs w:val="24"/>
        </w:rPr>
        <w:t xml:space="preserve"> P, Herath C, et al. Bergenin: a computationally proven promising scaffold for novel galectin-3 inhibitors. J Mol Model. (2018); 24: 302.</w:t>
      </w:r>
    </w:p>
    <w:p w:rsidR="00A340A4" w:rsidRPr="00A340A4" w:rsidRDefault="00A340A4" w:rsidP="00777C2C">
      <w:pPr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A340A4">
        <w:rPr>
          <w:rFonts w:ascii="Times New Roman" w:hAnsi="Times New Roman" w:cs="Times New Roman"/>
          <w:sz w:val="24"/>
          <w:szCs w:val="24"/>
        </w:rPr>
        <w:t>7</w:t>
      </w:r>
      <w:r w:rsidR="00777C2C">
        <w:rPr>
          <w:rFonts w:ascii="Times New Roman" w:hAnsi="Times New Roman" w:cs="Times New Roman"/>
          <w:sz w:val="24"/>
          <w:szCs w:val="24"/>
        </w:rPr>
        <w:t>.</w:t>
      </w:r>
      <w:r w:rsidRPr="00A340A4">
        <w:rPr>
          <w:rFonts w:ascii="Times New Roman" w:hAnsi="Times New Roman" w:cs="Times New Roman"/>
          <w:sz w:val="24"/>
          <w:szCs w:val="24"/>
        </w:rPr>
        <w:t xml:space="preserve"> Wang L, Liu M, Yin F, et al. Trilobatin, a Novel SGLT1/2 Inhibitor, Selectively Induces the Proliferation of Human Hepatoblastoma Cells. Molecules. (2019); 24.</w:t>
      </w:r>
    </w:p>
    <w:p w:rsidR="00A340A4" w:rsidRPr="00A340A4" w:rsidRDefault="00A340A4" w:rsidP="00777C2C">
      <w:pPr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A340A4">
        <w:rPr>
          <w:rFonts w:ascii="Times New Roman" w:hAnsi="Times New Roman" w:cs="Times New Roman"/>
          <w:sz w:val="24"/>
          <w:szCs w:val="24"/>
        </w:rPr>
        <w:t>8</w:t>
      </w:r>
      <w:r w:rsidR="00777C2C">
        <w:rPr>
          <w:rFonts w:ascii="Times New Roman" w:hAnsi="Times New Roman" w:cs="Times New Roman"/>
          <w:sz w:val="24"/>
          <w:szCs w:val="24"/>
        </w:rPr>
        <w:t>.</w:t>
      </w:r>
      <w:r w:rsidRPr="00A340A4">
        <w:rPr>
          <w:rFonts w:ascii="Times New Roman" w:hAnsi="Times New Roman" w:cs="Times New Roman"/>
          <w:sz w:val="24"/>
          <w:szCs w:val="24"/>
        </w:rPr>
        <w:t xml:space="preserve"> Song YQ, He RJ, Pu D, et al. Discovery and Characterization of the Biflavones From Ginkgo biloba as Highly Specific and Potent Inhibitors Against Human Carboxylesterase 2. Front Pharmacol. (2021); 12: 655659.</w:t>
      </w:r>
    </w:p>
    <w:p w:rsidR="00A340A4" w:rsidRPr="00A340A4" w:rsidRDefault="00A340A4" w:rsidP="00777C2C">
      <w:pPr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A340A4">
        <w:rPr>
          <w:rFonts w:ascii="Times New Roman" w:hAnsi="Times New Roman" w:cs="Times New Roman"/>
          <w:sz w:val="24"/>
          <w:szCs w:val="24"/>
        </w:rPr>
        <w:t>9</w:t>
      </w:r>
      <w:r w:rsidR="00777C2C">
        <w:rPr>
          <w:rFonts w:ascii="Times New Roman" w:hAnsi="Times New Roman" w:cs="Times New Roman"/>
          <w:sz w:val="24"/>
          <w:szCs w:val="24"/>
        </w:rPr>
        <w:t>.</w:t>
      </w:r>
      <w:r w:rsidRPr="00A340A4">
        <w:rPr>
          <w:rFonts w:ascii="Times New Roman" w:hAnsi="Times New Roman" w:cs="Times New Roman"/>
          <w:sz w:val="24"/>
          <w:szCs w:val="24"/>
        </w:rPr>
        <w:t xml:space="preserve"> Kung PH, Hsieh PW, Lin YT, et al. HPW-RX40 prevents human platelet activation by attenuating cell surface protein disulfide isomerases. Redox Biol. (2017); 13: 266-277.</w:t>
      </w:r>
    </w:p>
    <w:p w:rsidR="00A340A4" w:rsidRPr="00A340A4" w:rsidRDefault="00A340A4" w:rsidP="00777C2C">
      <w:pPr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A340A4">
        <w:rPr>
          <w:rFonts w:ascii="Times New Roman" w:hAnsi="Times New Roman" w:cs="Times New Roman"/>
          <w:sz w:val="24"/>
          <w:szCs w:val="24"/>
        </w:rPr>
        <w:t>10</w:t>
      </w:r>
      <w:r w:rsidR="00777C2C">
        <w:rPr>
          <w:rFonts w:ascii="Times New Roman" w:hAnsi="Times New Roman" w:cs="Times New Roman"/>
          <w:sz w:val="24"/>
          <w:szCs w:val="24"/>
        </w:rPr>
        <w:t>.</w:t>
      </w:r>
      <w:r w:rsidRPr="00A340A4">
        <w:rPr>
          <w:rFonts w:ascii="Times New Roman" w:hAnsi="Times New Roman" w:cs="Times New Roman"/>
          <w:sz w:val="24"/>
          <w:szCs w:val="24"/>
        </w:rPr>
        <w:t xml:space="preserve"> Bhattacharjee R, Devi A and Mishra S. Molecular docking and molecular dynamics </w:t>
      </w:r>
      <w:bookmarkStart w:id="0" w:name="_GoBack"/>
      <w:bookmarkEnd w:id="0"/>
      <w:r w:rsidRPr="00A340A4">
        <w:rPr>
          <w:rFonts w:ascii="Times New Roman" w:hAnsi="Times New Roman" w:cs="Times New Roman"/>
          <w:sz w:val="24"/>
          <w:szCs w:val="24"/>
        </w:rPr>
        <w:t>studies reveal structural basis of inhibition and selectivity of inhibitors EGCG and OSU-03012 toward glucose regulated protein-78 (GRP78) overexpressed in glioblastoma. J Mol Model. (2015); 21: 272.</w:t>
      </w:r>
    </w:p>
    <w:sectPr w:rsidR="00A340A4" w:rsidRPr="00A340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0F1B40"/>
    <w:multiLevelType w:val="hybridMultilevel"/>
    <w:tmpl w:val="7BBA13DC"/>
    <w:lvl w:ilvl="0" w:tplc="FBBAAAFE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A340A4"/>
    <w:rsid w:val="00777C2C"/>
    <w:rsid w:val="00A3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A0198"/>
  <w15:chartTrackingRefBased/>
  <w15:docId w15:val="{CD3A6C8C-1D39-4CB5-BE1B-58DB0DE0C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40A4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340A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340A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A34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40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4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40A4"/>
    <w:rPr>
      <w:sz w:val="18"/>
      <w:szCs w:val="18"/>
    </w:rPr>
  </w:style>
  <w:style w:type="table" w:styleId="a7">
    <w:name w:val="Table Grid"/>
    <w:basedOn w:val="a1"/>
    <w:uiPriority w:val="39"/>
    <w:rsid w:val="00A340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A340A4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A340A4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A340A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340A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340A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340A4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504</Words>
  <Characters>2876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2109853ycw30001@student.must.edu.mo</dc:creator>
  <cp:keywords/>
  <dc:description/>
  <cp:lastModifiedBy>2109853ycw30001@student.must.edu.mo</cp:lastModifiedBy>
  <cp:revision>2</cp:revision>
  <dcterms:created xsi:type="dcterms:W3CDTF">2022-01-17T08:15:00Z</dcterms:created>
  <dcterms:modified xsi:type="dcterms:W3CDTF">2022-01-24T03:54:00Z</dcterms:modified>
</cp:coreProperties>
</file>