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99B" w:rsidRDefault="004D799B" w:rsidP="004D79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plementary </w:t>
      </w:r>
      <w:r>
        <w:rPr>
          <w:rFonts w:ascii="Times New Roman" w:hAnsi="Times New Roman" w:cs="Times New Roman" w:hint="eastAsia"/>
          <w:sz w:val="24"/>
          <w:szCs w:val="24"/>
        </w:rPr>
        <w:t>Table 1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Potential factors associated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hyperammonemia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 admission </w:t>
      </w:r>
    </w:p>
    <w:tbl>
      <w:tblPr>
        <w:tblStyle w:val="a3"/>
        <w:tblW w:w="10490" w:type="dxa"/>
        <w:tblInd w:w="-8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5"/>
        <w:gridCol w:w="2321"/>
        <w:gridCol w:w="2214"/>
        <w:gridCol w:w="2268"/>
        <w:gridCol w:w="992"/>
      </w:tblGrid>
      <w:tr w:rsidR="004D799B" w:rsidTr="00E148EE">
        <w:tc>
          <w:tcPr>
            <w:tcW w:w="2695" w:type="dxa"/>
            <w:tcBorders>
              <w:top w:val="single" w:sz="4" w:space="0" w:color="auto"/>
              <w:bottom w:val="single" w:sz="4" w:space="0" w:color="auto"/>
            </w:tcBorders>
          </w:tcPr>
          <w:p w:rsidR="004D799B" w:rsidRDefault="004D799B" w:rsidP="00E148E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  <w:tcBorders>
              <w:top w:val="single" w:sz="4" w:space="0" w:color="auto"/>
              <w:bottom w:val="single" w:sz="4" w:space="0" w:color="auto"/>
            </w:tcBorders>
          </w:tcPr>
          <w:p w:rsidR="004D799B" w:rsidRDefault="004D799B" w:rsidP="00E148E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Overall</w:t>
            </w:r>
          </w:p>
        </w:tc>
        <w:tc>
          <w:tcPr>
            <w:tcW w:w="2214" w:type="dxa"/>
            <w:tcBorders>
              <w:top w:val="single" w:sz="4" w:space="0" w:color="auto"/>
              <w:bottom w:val="single" w:sz="4" w:space="0" w:color="auto"/>
            </w:tcBorders>
          </w:tcPr>
          <w:p w:rsidR="004D799B" w:rsidRDefault="004D799B" w:rsidP="00E148E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Normal ammonia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D799B" w:rsidRPr="00A02EA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ammonia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D799B" w:rsidRPr="00A02EAB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2EAB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P</w:t>
            </w:r>
          </w:p>
        </w:tc>
      </w:tr>
      <w:tr w:rsidR="004D799B" w:rsidTr="00E148EE">
        <w:tc>
          <w:tcPr>
            <w:tcW w:w="2695" w:type="dxa"/>
            <w:tcBorders>
              <w:top w:val="single" w:sz="4" w:space="0" w:color="auto"/>
              <w:bottom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No. </w:t>
            </w:r>
          </w:p>
        </w:tc>
        <w:tc>
          <w:tcPr>
            <w:tcW w:w="2321" w:type="dxa"/>
            <w:tcBorders>
              <w:top w:val="single" w:sz="4" w:space="0" w:color="auto"/>
              <w:bottom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972 (100%)</w:t>
            </w:r>
          </w:p>
        </w:tc>
        <w:tc>
          <w:tcPr>
            <w:tcW w:w="2214" w:type="dxa"/>
            <w:tcBorders>
              <w:top w:val="single" w:sz="4" w:space="0" w:color="auto"/>
              <w:bottom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585 (60.2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387 (39.8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:rsidR="004D799B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799B" w:rsidTr="00E148EE">
        <w:tc>
          <w:tcPr>
            <w:tcW w:w="2695" w:type="dxa"/>
            <w:tcBorders>
              <w:top w:val="nil"/>
              <w:bottom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Generalized seizures</w:t>
            </w:r>
          </w:p>
        </w:tc>
        <w:tc>
          <w:tcPr>
            <w:tcW w:w="2321" w:type="dxa"/>
            <w:tcBorders>
              <w:top w:val="nil"/>
              <w:bottom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33 (3.4%)</w:t>
            </w: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17 (2.9%)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16 (4.1%)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4D799B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0.366</w:t>
            </w:r>
          </w:p>
        </w:tc>
      </w:tr>
      <w:tr w:rsidR="004D799B" w:rsidTr="00E148EE">
        <w:tc>
          <w:tcPr>
            <w:tcW w:w="2695" w:type="dxa"/>
            <w:tcBorders>
              <w:top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Hematologic malignancy</w:t>
            </w:r>
          </w:p>
        </w:tc>
        <w:tc>
          <w:tcPr>
            <w:tcW w:w="2321" w:type="dxa"/>
            <w:tcBorders>
              <w:top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6 (0.6%)</w:t>
            </w:r>
          </w:p>
        </w:tc>
        <w:tc>
          <w:tcPr>
            <w:tcW w:w="2214" w:type="dxa"/>
            <w:tcBorders>
              <w:top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2 (0.3%)</w:t>
            </w:r>
          </w:p>
        </w:tc>
        <w:tc>
          <w:tcPr>
            <w:tcW w:w="2268" w:type="dxa"/>
            <w:tcBorders>
              <w:top w:val="nil"/>
            </w:tcBorders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4 (1.0%)</w:t>
            </w:r>
          </w:p>
        </w:tc>
        <w:tc>
          <w:tcPr>
            <w:tcW w:w="992" w:type="dxa"/>
            <w:tcBorders>
              <w:top w:val="nil"/>
            </w:tcBorders>
          </w:tcPr>
          <w:p w:rsidR="004D799B" w:rsidRPr="00D3409E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0.223</w:t>
            </w:r>
          </w:p>
        </w:tc>
      </w:tr>
      <w:tr w:rsidR="004D799B" w:rsidTr="00E148EE">
        <w:tc>
          <w:tcPr>
            <w:tcW w:w="2695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AKI</w:t>
            </w:r>
          </w:p>
        </w:tc>
        <w:tc>
          <w:tcPr>
            <w:tcW w:w="2321" w:type="dxa"/>
          </w:tcPr>
          <w:p w:rsidR="004D799B" w:rsidRPr="00264B3A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314 (32.3%)</w:t>
            </w:r>
          </w:p>
        </w:tc>
        <w:tc>
          <w:tcPr>
            <w:tcW w:w="2214" w:type="dxa"/>
          </w:tcPr>
          <w:p w:rsidR="004D799B" w:rsidRPr="00D27647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157 (26.8%)</w:t>
            </w:r>
          </w:p>
        </w:tc>
        <w:tc>
          <w:tcPr>
            <w:tcW w:w="2268" w:type="dxa"/>
          </w:tcPr>
          <w:p w:rsidR="004D799B" w:rsidRPr="00D27647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157 (40.6%)</w:t>
            </w:r>
          </w:p>
        </w:tc>
        <w:tc>
          <w:tcPr>
            <w:tcW w:w="992" w:type="dxa"/>
          </w:tcPr>
          <w:p w:rsidR="004D799B" w:rsidRPr="00761009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D799B" w:rsidTr="00E148EE">
        <w:tc>
          <w:tcPr>
            <w:tcW w:w="2695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GI bleeding</w:t>
            </w:r>
          </w:p>
        </w:tc>
        <w:tc>
          <w:tcPr>
            <w:tcW w:w="2321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21 (2.2%)</w:t>
            </w:r>
          </w:p>
        </w:tc>
        <w:tc>
          <w:tcPr>
            <w:tcW w:w="2214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10 (1.7%)</w:t>
            </w:r>
          </w:p>
        </w:tc>
        <w:tc>
          <w:tcPr>
            <w:tcW w:w="2268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11 (2.8%)</w:t>
            </w:r>
          </w:p>
        </w:tc>
        <w:tc>
          <w:tcPr>
            <w:tcW w:w="992" w:type="dxa"/>
          </w:tcPr>
          <w:p w:rsidR="004D799B" w:rsidRPr="00D27647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91B">
              <w:rPr>
                <w:rFonts w:ascii="Times New Roman" w:hAnsi="Times New Roman" w:cs="Times New Roman"/>
                <w:sz w:val="24"/>
                <w:szCs w:val="24"/>
              </w:rPr>
              <w:t>0.264</w:t>
            </w:r>
          </w:p>
        </w:tc>
      </w:tr>
      <w:tr w:rsidR="004D799B" w:rsidTr="00E148EE">
        <w:tc>
          <w:tcPr>
            <w:tcW w:w="2695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Gastric bypass surgery</w:t>
            </w:r>
          </w:p>
        </w:tc>
        <w:tc>
          <w:tcPr>
            <w:tcW w:w="2321" w:type="dxa"/>
          </w:tcPr>
          <w:p w:rsidR="004D799B" w:rsidRPr="00A1683F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16 (1.6%)</w:t>
            </w:r>
          </w:p>
        </w:tc>
        <w:tc>
          <w:tcPr>
            <w:tcW w:w="2214" w:type="dxa"/>
          </w:tcPr>
          <w:p w:rsidR="004D799B" w:rsidRPr="00A1683F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11 (1.9%)</w:t>
            </w:r>
          </w:p>
        </w:tc>
        <w:tc>
          <w:tcPr>
            <w:tcW w:w="2268" w:type="dxa"/>
          </w:tcPr>
          <w:p w:rsidR="004D799B" w:rsidRPr="00A1683F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5 (1.3%)</w:t>
            </w:r>
          </w:p>
        </w:tc>
        <w:tc>
          <w:tcPr>
            <w:tcW w:w="992" w:type="dxa"/>
          </w:tcPr>
          <w:p w:rsidR="004D799B" w:rsidRPr="00380DEB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D799B" w:rsidTr="00E148EE">
        <w:tc>
          <w:tcPr>
            <w:tcW w:w="2695" w:type="dxa"/>
          </w:tcPr>
          <w:p w:rsidR="004D799B" w:rsidRDefault="004D799B" w:rsidP="00E148E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TPN</w:t>
            </w:r>
          </w:p>
        </w:tc>
        <w:tc>
          <w:tcPr>
            <w:tcW w:w="2321" w:type="dxa"/>
          </w:tcPr>
          <w:p w:rsidR="004D799B" w:rsidRPr="00264B3A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6 (0.6%)</w:t>
            </w:r>
          </w:p>
        </w:tc>
        <w:tc>
          <w:tcPr>
            <w:tcW w:w="2214" w:type="dxa"/>
          </w:tcPr>
          <w:p w:rsidR="004D799B" w:rsidRPr="00380DE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1 (0.2%)</w:t>
            </w:r>
          </w:p>
        </w:tc>
        <w:tc>
          <w:tcPr>
            <w:tcW w:w="2268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5 (1.3%)</w:t>
            </w:r>
          </w:p>
        </w:tc>
        <w:tc>
          <w:tcPr>
            <w:tcW w:w="992" w:type="dxa"/>
          </w:tcPr>
          <w:p w:rsidR="004D799B" w:rsidRPr="00D3409E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D799B" w:rsidTr="00E148EE">
        <w:tc>
          <w:tcPr>
            <w:tcW w:w="2695" w:type="dxa"/>
          </w:tcPr>
          <w:p w:rsidR="004D799B" w:rsidRDefault="004D799B" w:rsidP="00E148E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2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Valproate/Carbamazepine </w:t>
            </w:r>
            <w:bookmarkEnd w:id="1"/>
          </w:p>
        </w:tc>
        <w:tc>
          <w:tcPr>
            <w:tcW w:w="2321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4 (0.4%)</w:t>
            </w:r>
          </w:p>
        </w:tc>
        <w:tc>
          <w:tcPr>
            <w:tcW w:w="2214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2 (0.3%)</w:t>
            </w:r>
          </w:p>
        </w:tc>
        <w:tc>
          <w:tcPr>
            <w:tcW w:w="2268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2 (0.5%)</w:t>
            </w:r>
          </w:p>
        </w:tc>
        <w:tc>
          <w:tcPr>
            <w:tcW w:w="992" w:type="dxa"/>
          </w:tcPr>
          <w:p w:rsidR="004D799B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0.652</w:t>
            </w:r>
          </w:p>
        </w:tc>
      </w:tr>
      <w:tr w:rsidR="004D799B" w:rsidTr="00E148EE">
        <w:tc>
          <w:tcPr>
            <w:tcW w:w="2695" w:type="dxa"/>
          </w:tcPr>
          <w:p w:rsidR="004D799B" w:rsidRDefault="004D799B" w:rsidP="00E148E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PPI</w:t>
            </w:r>
          </w:p>
        </w:tc>
        <w:tc>
          <w:tcPr>
            <w:tcW w:w="2321" w:type="dxa"/>
          </w:tcPr>
          <w:p w:rsidR="004D799B" w:rsidRPr="00264B3A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45 (4.6%)</w:t>
            </w:r>
          </w:p>
        </w:tc>
        <w:tc>
          <w:tcPr>
            <w:tcW w:w="2214" w:type="dxa"/>
          </w:tcPr>
          <w:p w:rsidR="004D799B" w:rsidRPr="00380DE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28 (4.8%)</w:t>
            </w:r>
          </w:p>
        </w:tc>
        <w:tc>
          <w:tcPr>
            <w:tcW w:w="2268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17 (4.4%)</w:t>
            </w:r>
          </w:p>
        </w:tc>
        <w:tc>
          <w:tcPr>
            <w:tcW w:w="992" w:type="dxa"/>
          </w:tcPr>
          <w:p w:rsidR="004D799B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41B">
              <w:rPr>
                <w:rFonts w:ascii="Times New Roman" w:hAnsi="Times New Roman" w:cs="Times New Roman"/>
                <w:sz w:val="24"/>
                <w:szCs w:val="24"/>
              </w:rPr>
              <w:t>0.876</w:t>
            </w:r>
          </w:p>
        </w:tc>
      </w:tr>
      <w:tr w:rsidR="004D799B" w:rsidTr="00E148EE">
        <w:tc>
          <w:tcPr>
            <w:tcW w:w="2695" w:type="dxa"/>
          </w:tcPr>
          <w:p w:rsidR="004D799B" w:rsidRDefault="004D799B" w:rsidP="00E148E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Steroid</w:t>
            </w:r>
          </w:p>
        </w:tc>
        <w:tc>
          <w:tcPr>
            <w:tcW w:w="2321" w:type="dxa"/>
          </w:tcPr>
          <w:p w:rsidR="004D799B" w:rsidRPr="00317E53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10B4">
              <w:rPr>
                <w:rFonts w:ascii="Times New Roman" w:hAnsi="Times New Roman" w:cs="Times New Roman"/>
                <w:sz w:val="24"/>
                <w:szCs w:val="24"/>
              </w:rPr>
              <w:t>23 (2.4%)</w:t>
            </w:r>
          </w:p>
        </w:tc>
        <w:tc>
          <w:tcPr>
            <w:tcW w:w="2214" w:type="dxa"/>
          </w:tcPr>
          <w:p w:rsidR="004D799B" w:rsidRPr="00380DE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10B4">
              <w:rPr>
                <w:rFonts w:ascii="Times New Roman" w:hAnsi="Times New Roman" w:cs="Times New Roman"/>
                <w:sz w:val="24"/>
                <w:szCs w:val="24"/>
              </w:rPr>
              <w:t>14 (2.4%)</w:t>
            </w:r>
          </w:p>
        </w:tc>
        <w:tc>
          <w:tcPr>
            <w:tcW w:w="2268" w:type="dxa"/>
          </w:tcPr>
          <w:p w:rsidR="004D799B" w:rsidRPr="00380DE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10B4">
              <w:rPr>
                <w:rFonts w:ascii="Times New Roman" w:hAnsi="Times New Roman" w:cs="Times New Roman"/>
                <w:sz w:val="24"/>
                <w:szCs w:val="24"/>
              </w:rPr>
              <w:t>9 (2.3%)</w:t>
            </w:r>
          </w:p>
        </w:tc>
        <w:tc>
          <w:tcPr>
            <w:tcW w:w="992" w:type="dxa"/>
          </w:tcPr>
          <w:p w:rsidR="004D799B" w:rsidRPr="00B00A9F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4D799B" w:rsidTr="00E148EE">
        <w:tc>
          <w:tcPr>
            <w:tcW w:w="2695" w:type="dxa"/>
          </w:tcPr>
          <w:p w:rsidR="004D799B" w:rsidRPr="00900E74" w:rsidRDefault="004D799B" w:rsidP="00E148E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Infection</w:t>
            </w:r>
          </w:p>
        </w:tc>
        <w:tc>
          <w:tcPr>
            <w:tcW w:w="2321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C78">
              <w:rPr>
                <w:rFonts w:ascii="Times New Roman" w:hAnsi="Times New Roman" w:cs="Times New Roman"/>
                <w:sz w:val="24"/>
                <w:szCs w:val="24"/>
              </w:rPr>
              <w:t>387 (39.8%)</w:t>
            </w:r>
          </w:p>
        </w:tc>
        <w:tc>
          <w:tcPr>
            <w:tcW w:w="2214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C78">
              <w:rPr>
                <w:rFonts w:ascii="Times New Roman" w:hAnsi="Times New Roman" w:cs="Times New Roman"/>
                <w:sz w:val="24"/>
                <w:szCs w:val="24"/>
              </w:rPr>
              <w:t>211 (36.1%)</w:t>
            </w:r>
          </w:p>
        </w:tc>
        <w:tc>
          <w:tcPr>
            <w:tcW w:w="2268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C78">
              <w:rPr>
                <w:rFonts w:ascii="Times New Roman" w:hAnsi="Times New Roman" w:cs="Times New Roman"/>
                <w:sz w:val="24"/>
                <w:szCs w:val="24"/>
              </w:rPr>
              <w:t>176 (45.5%)</w:t>
            </w:r>
          </w:p>
        </w:tc>
        <w:tc>
          <w:tcPr>
            <w:tcW w:w="992" w:type="dxa"/>
          </w:tcPr>
          <w:p w:rsidR="004D799B" w:rsidRPr="003A7216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C78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4D799B" w:rsidTr="00E148EE">
        <w:tc>
          <w:tcPr>
            <w:tcW w:w="2695" w:type="dxa"/>
          </w:tcPr>
          <w:p w:rsidR="004D799B" w:rsidRDefault="004D799B" w:rsidP="00E148E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Trauma</w:t>
            </w:r>
          </w:p>
        </w:tc>
        <w:tc>
          <w:tcPr>
            <w:tcW w:w="2321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C78">
              <w:rPr>
                <w:rFonts w:ascii="Times New Roman" w:hAnsi="Times New Roman" w:cs="Times New Roman"/>
                <w:sz w:val="24"/>
                <w:szCs w:val="24"/>
              </w:rPr>
              <w:t>58 (6.0%)</w:t>
            </w:r>
          </w:p>
        </w:tc>
        <w:tc>
          <w:tcPr>
            <w:tcW w:w="2214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C78">
              <w:rPr>
                <w:rFonts w:ascii="Times New Roman" w:hAnsi="Times New Roman" w:cs="Times New Roman"/>
                <w:sz w:val="24"/>
                <w:szCs w:val="24"/>
              </w:rPr>
              <w:t>38 (6.5%)</w:t>
            </w:r>
          </w:p>
        </w:tc>
        <w:tc>
          <w:tcPr>
            <w:tcW w:w="2268" w:type="dxa"/>
          </w:tcPr>
          <w:p w:rsidR="004D799B" w:rsidRDefault="004D799B" w:rsidP="00E148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C78">
              <w:rPr>
                <w:rFonts w:ascii="Times New Roman" w:hAnsi="Times New Roman" w:cs="Times New Roman"/>
                <w:sz w:val="24"/>
                <w:szCs w:val="24"/>
              </w:rPr>
              <w:t>20 (5.2%)</w:t>
            </w:r>
          </w:p>
        </w:tc>
        <w:tc>
          <w:tcPr>
            <w:tcW w:w="992" w:type="dxa"/>
          </w:tcPr>
          <w:p w:rsidR="004D799B" w:rsidRPr="003A7216" w:rsidRDefault="004D799B" w:rsidP="00E148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C78">
              <w:rPr>
                <w:rFonts w:ascii="Times New Roman" w:hAnsi="Times New Roman" w:cs="Times New Roman"/>
                <w:sz w:val="24"/>
                <w:szCs w:val="24"/>
              </w:rPr>
              <w:t>0.411</w:t>
            </w:r>
          </w:p>
        </w:tc>
      </w:tr>
    </w:tbl>
    <w:p w:rsidR="001A4C12" w:rsidRPr="004D799B" w:rsidRDefault="004D799B" w:rsidP="004D799B">
      <w:r w:rsidRPr="00C81186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>: AKI, acute kidney injury; GI, gastrointestinal; TPN, total parenteral nutrition, PPI, proton pump inhibitor.</w:t>
      </w:r>
    </w:p>
    <w:sectPr w:rsidR="001A4C12" w:rsidRPr="004D799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99B"/>
    <w:rsid w:val="001A4C12"/>
    <w:rsid w:val="004D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B6758A-8707-4E65-863F-8BD413EAD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799B"/>
    <w:pPr>
      <w:widowControl w:val="0"/>
      <w:wordWrap w:val="0"/>
      <w:autoSpaceDE w:val="0"/>
      <w:autoSpaceDN w:val="0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79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이상수</dc:creator>
  <cp:keywords/>
  <dc:description/>
  <cp:lastModifiedBy>이상수</cp:lastModifiedBy>
  <cp:revision>1</cp:revision>
  <dcterms:created xsi:type="dcterms:W3CDTF">2020-11-25T05:31:00Z</dcterms:created>
  <dcterms:modified xsi:type="dcterms:W3CDTF">2020-11-25T05:32:00Z</dcterms:modified>
</cp:coreProperties>
</file>