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2BE5" w:rsidRPr="000A7344" w:rsidRDefault="004C2BE5" w:rsidP="004C2BE5">
      <w:pPr>
        <w:spacing w:after="0"/>
        <w:rPr>
          <w:rFonts w:ascii="Arial" w:hAnsi="Arial" w:cs="Arial"/>
          <w:b/>
        </w:rPr>
      </w:pPr>
      <w:bookmarkStart w:id="0" w:name="_Hlk514751165"/>
      <w:r w:rsidRPr="000A7344">
        <w:rPr>
          <w:rFonts w:ascii="Arial" w:hAnsi="Arial" w:cs="Arial"/>
          <w:b/>
        </w:rPr>
        <w:t>Impact of toothpaste on oral health-related quality of life in people with dentine hypersensitivity</w:t>
      </w:r>
    </w:p>
    <w:p w:rsidR="004C2BE5" w:rsidRPr="000A7344" w:rsidRDefault="004C2BE5" w:rsidP="004C2BE5">
      <w:pPr>
        <w:spacing w:after="0"/>
        <w:rPr>
          <w:rFonts w:ascii="Arial" w:hAnsi="Arial" w:cs="Arial"/>
          <w:highlight w:val="yellow"/>
          <w:lang w:val="en-US"/>
        </w:rPr>
      </w:pPr>
      <w:r w:rsidRPr="000A7344">
        <w:rPr>
          <w:rFonts w:ascii="Arial" w:hAnsi="Arial" w:cs="Arial"/>
          <w:lang w:val="en-US"/>
        </w:rPr>
        <w:t xml:space="preserve">Stephen Mason, Gary R. Burnett, Nisha Patel, Avinash Patil, Robert Maclure </w:t>
      </w:r>
    </w:p>
    <w:p w:rsidR="004C2BE5" w:rsidRPr="000A7344" w:rsidRDefault="004C2BE5">
      <w:pPr>
        <w:spacing w:after="160" w:afterAutospacing="0" w:line="259" w:lineRule="auto"/>
        <w:rPr>
          <w:rFonts w:ascii="Arial" w:hAnsi="Arial" w:cs="Arial"/>
          <w:b/>
          <w:lang w:val="en-US"/>
        </w:rPr>
      </w:pPr>
      <w:r w:rsidRPr="000A7344">
        <w:rPr>
          <w:rFonts w:ascii="Arial" w:hAnsi="Arial" w:cs="Arial"/>
          <w:b/>
          <w:lang w:val="en-US"/>
        </w:rPr>
        <w:br w:type="page"/>
      </w:r>
    </w:p>
    <w:p w:rsidR="00251C8D" w:rsidRPr="000A7344" w:rsidRDefault="00CE7B78" w:rsidP="000A7344">
      <w:pPr>
        <w:spacing w:after="0" w:afterAutospacing="0" w:line="360" w:lineRule="auto"/>
        <w:rPr>
          <w:rFonts w:ascii="Arial" w:hAnsi="Arial" w:cs="Arial"/>
        </w:rPr>
      </w:pPr>
      <w:r>
        <w:rPr>
          <w:rFonts w:ascii="Arial" w:hAnsi="Arial" w:cs="Arial"/>
          <w:b/>
          <w:lang w:val="en-US"/>
        </w:rPr>
        <w:lastRenderedPageBreak/>
        <w:t>Supplemental</w:t>
      </w:r>
      <w:r w:rsidR="00251C8D" w:rsidRPr="000A7344">
        <w:rPr>
          <w:rFonts w:ascii="Arial" w:hAnsi="Arial" w:cs="Arial"/>
          <w:b/>
          <w:lang w:val="en-US"/>
        </w:rPr>
        <w:t xml:space="preserve"> Table </w:t>
      </w:r>
      <w:r>
        <w:rPr>
          <w:rFonts w:ascii="Arial" w:hAnsi="Arial" w:cs="Arial"/>
          <w:b/>
          <w:lang w:val="en-US"/>
        </w:rPr>
        <w:t>S</w:t>
      </w:r>
      <w:r w:rsidR="00251C8D" w:rsidRPr="000A7344">
        <w:rPr>
          <w:rFonts w:ascii="Arial" w:hAnsi="Arial" w:cs="Arial"/>
          <w:b/>
          <w:lang w:val="en-US"/>
        </w:rPr>
        <w:t xml:space="preserve">1. </w:t>
      </w:r>
      <w:bookmarkStart w:id="1" w:name="_Hlk527373965"/>
      <w:r w:rsidR="00251C8D" w:rsidRPr="000A7344">
        <w:rPr>
          <w:rFonts w:ascii="Arial" w:hAnsi="Arial" w:cs="Arial"/>
          <w:lang w:val="en-US"/>
        </w:rPr>
        <w:t>Adjusted mean change from baseline in DHEQ Section 1, Q7, Q8, Q9 scores at each time point compared to baseline (ITT population)</w:t>
      </w:r>
    </w:p>
    <w:tbl>
      <w:tblPr>
        <w:tblStyle w:val="TableGrid"/>
        <w:tblW w:w="9640"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3"/>
        <w:gridCol w:w="2680"/>
        <w:gridCol w:w="2694"/>
        <w:gridCol w:w="2693"/>
      </w:tblGrid>
      <w:tr w:rsidR="00251C8D" w:rsidRPr="000A7344" w:rsidTr="00F93FA0">
        <w:trPr>
          <w:trHeight w:val="455"/>
        </w:trPr>
        <w:tc>
          <w:tcPr>
            <w:tcW w:w="1573" w:type="dxa"/>
            <w:vMerge w:val="restart"/>
            <w:tcBorders>
              <w:top w:val="single" w:sz="4" w:space="0" w:color="auto"/>
            </w:tcBorders>
            <w:vAlign w:val="bottom"/>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 xml:space="preserve">Week </w:t>
            </w:r>
            <w:proofErr w:type="gramStart"/>
            <w:r w:rsidRPr="000A7344">
              <w:rPr>
                <w:rFonts w:ascii="Arial" w:hAnsi="Arial" w:cs="Arial"/>
                <w:b/>
                <w:lang w:val="en-US"/>
              </w:rPr>
              <w:t>comparison  vs</w:t>
            </w:r>
            <w:proofErr w:type="gramEnd"/>
            <w:r w:rsidRPr="000A7344">
              <w:rPr>
                <w:rFonts w:ascii="Arial" w:hAnsi="Arial" w:cs="Arial"/>
                <w:b/>
                <w:lang w:val="en-US"/>
              </w:rPr>
              <w:t xml:space="preserve"> baseline</w:t>
            </w:r>
          </w:p>
        </w:tc>
        <w:tc>
          <w:tcPr>
            <w:tcW w:w="8067" w:type="dxa"/>
            <w:gridSpan w:val="3"/>
            <w:tcBorders>
              <w:top w:val="single" w:sz="4" w:space="0" w:color="auto"/>
              <w:bottom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Adjusted mean difference</w:t>
            </w:r>
            <w:r w:rsidRPr="000A7344">
              <w:rPr>
                <w:rFonts w:ascii="Arial" w:hAnsi="Arial" w:cs="Arial"/>
                <w:b/>
                <w:vertAlign w:val="superscript"/>
                <w:lang w:val="en-US"/>
              </w:rPr>
              <w:t>a</w:t>
            </w:r>
            <w:r w:rsidRPr="000A7344">
              <w:rPr>
                <w:rFonts w:ascii="Arial" w:hAnsi="Arial" w:cs="Arial"/>
                <w:b/>
                <w:lang w:val="en-US"/>
              </w:rPr>
              <w:t xml:space="preserve"> (95% CI) p-value</w:t>
            </w:r>
          </w:p>
        </w:tc>
      </w:tr>
      <w:tr w:rsidR="00251C8D" w:rsidRPr="000A7344" w:rsidTr="00F93FA0">
        <w:trPr>
          <w:trHeight w:val="78"/>
        </w:trPr>
        <w:tc>
          <w:tcPr>
            <w:tcW w:w="1573" w:type="dxa"/>
            <w:vMerge/>
            <w:tcBorders>
              <w:bottom w:val="single" w:sz="4" w:space="0" w:color="auto"/>
            </w:tcBorders>
          </w:tcPr>
          <w:p w:rsidR="00251C8D" w:rsidRPr="000A7344" w:rsidRDefault="00251C8D" w:rsidP="000A7344">
            <w:pPr>
              <w:spacing w:after="0" w:afterAutospacing="0" w:line="360" w:lineRule="auto"/>
              <w:jc w:val="center"/>
              <w:rPr>
                <w:rFonts w:ascii="Arial" w:hAnsi="Arial" w:cs="Arial"/>
                <w:b/>
                <w:lang w:val="en-US"/>
              </w:rPr>
            </w:pPr>
          </w:p>
        </w:tc>
        <w:tc>
          <w:tcPr>
            <w:tcW w:w="2680" w:type="dxa"/>
            <w:tcBorders>
              <w:top w:val="single" w:sz="4" w:space="0" w:color="auto"/>
              <w:bottom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Q7: How intense were the sensations?</w:t>
            </w:r>
          </w:p>
        </w:tc>
        <w:tc>
          <w:tcPr>
            <w:tcW w:w="2694" w:type="dxa"/>
            <w:tcBorders>
              <w:top w:val="single" w:sz="4" w:space="0" w:color="auto"/>
              <w:bottom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Q8: How bothered are you by the sensations?</w:t>
            </w:r>
          </w:p>
        </w:tc>
        <w:tc>
          <w:tcPr>
            <w:tcW w:w="2693" w:type="dxa"/>
            <w:tcBorders>
              <w:top w:val="single" w:sz="4" w:space="0" w:color="auto"/>
              <w:bottom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Q9: How well can you tolerate the sensations?</w:t>
            </w:r>
          </w:p>
        </w:tc>
      </w:tr>
      <w:tr w:rsidR="00251C8D" w:rsidRPr="000A7344" w:rsidTr="00F93FA0">
        <w:tc>
          <w:tcPr>
            <w:tcW w:w="1573" w:type="dxa"/>
            <w:tcBorders>
              <w:top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4</w:t>
            </w:r>
          </w:p>
        </w:tc>
        <w:tc>
          <w:tcPr>
            <w:tcW w:w="2680" w:type="dxa"/>
            <w:tcBorders>
              <w:top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0.88 (0.474, 1.295) &lt;0.0001</w:t>
            </w:r>
          </w:p>
        </w:tc>
        <w:tc>
          <w:tcPr>
            <w:tcW w:w="2694" w:type="dxa"/>
            <w:tcBorders>
              <w:top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1.18 (0.703, 1.660) &lt;0.0001</w:t>
            </w:r>
          </w:p>
        </w:tc>
        <w:tc>
          <w:tcPr>
            <w:tcW w:w="2693" w:type="dxa"/>
            <w:tcBorders>
              <w:top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0.43 (-0.050, 0.919) 0.0786</w:t>
            </w:r>
          </w:p>
        </w:tc>
      </w:tr>
      <w:tr w:rsidR="00251C8D" w:rsidRPr="000A7344" w:rsidTr="00F93FA0">
        <w:tc>
          <w:tcPr>
            <w:tcW w:w="1573" w:type="dxa"/>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8</w:t>
            </w:r>
          </w:p>
        </w:tc>
        <w:tc>
          <w:tcPr>
            <w:tcW w:w="2680"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1.28 (0.875, 1.690) &lt;0.0001</w:t>
            </w:r>
          </w:p>
        </w:tc>
        <w:tc>
          <w:tcPr>
            <w:tcW w:w="2694"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1.45 (0.977, 1.926) &lt;0.0001</w:t>
            </w:r>
          </w:p>
        </w:tc>
        <w:tc>
          <w:tcPr>
            <w:tcW w:w="2693"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0.69 (0.210, 1.717) 0.0050</w:t>
            </w:r>
          </w:p>
        </w:tc>
      </w:tr>
      <w:tr w:rsidR="00251C8D" w:rsidRPr="000A7344" w:rsidTr="00F93FA0">
        <w:tc>
          <w:tcPr>
            <w:tcW w:w="1573" w:type="dxa"/>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12</w:t>
            </w:r>
          </w:p>
        </w:tc>
        <w:tc>
          <w:tcPr>
            <w:tcW w:w="2680"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1.74 (1.333, 2.145) &lt;0.0001</w:t>
            </w:r>
          </w:p>
        </w:tc>
        <w:tc>
          <w:tcPr>
            <w:tcW w:w="2694"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1.95 (1.473, 2.418) &lt;0.0001</w:t>
            </w:r>
          </w:p>
        </w:tc>
        <w:tc>
          <w:tcPr>
            <w:tcW w:w="2693"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1.40 (0.918, 1.875) &lt;0.0001</w:t>
            </w:r>
          </w:p>
        </w:tc>
      </w:tr>
      <w:tr w:rsidR="00251C8D" w:rsidRPr="000A7344" w:rsidTr="00F93FA0">
        <w:tc>
          <w:tcPr>
            <w:tcW w:w="1573" w:type="dxa"/>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16</w:t>
            </w:r>
          </w:p>
        </w:tc>
        <w:tc>
          <w:tcPr>
            <w:tcW w:w="2680"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1.96 (1.545, 2.371) &lt;0.0001</w:t>
            </w:r>
          </w:p>
        </w:tc>
        <w:tc>
          <w:tcPr>
            <w:tcW w:w="2694"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2.33 (1.848, 2.810) &lt;0.0001</w:t>
            </w:r>
          </w:p>
        </w:tc>
        <w:tc>
          <w:tcPr>
            <w:tcW w:w="2693"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1.44 (0.951, 1.926) &lt;0.0001</w:t>
            </w:r>
          </w:p>
        </w:tc>
      </w:tr>
      <w:tr w:rsidR="00251C8D" w:rsidRPr="000A7344" w:rsidTr="00F93FA0">
        <w:tc>
          <w:tcPr>
            <w:tcW w:w="1573" w:type="dxa"/>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20</w:t>
            </w:r>
          </w:p>
        </w:tc>
        <w:tc>
          <w:tcPr>
            <w:tcW w:w="2680"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2.06 (1.643, 2.469) &lt;0.0001</w:t>
            </w:r>
          </w:p>
        </w:tc>
        <w:tc>
          <w:tcPr>
            <w:tcW w:w="2694"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2.21 (1.732, 2.694) &lt;0.0001</w:t>
            </w:r>
          </w:p>
        </w:tc>
        <w:tc>
          <w:tcPr>
            <w:tcW w:w="2693" w:type="dxa"/>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1.17 (0.678, 1.653) &lt;0.0001</w:t>
            </w:r>
          </w:p>
        </w:tc>
      </w:tr>
      <w:tr w:rsidR="00251C8D" w:rsidRPr="000A7344" w:rsidTr="00F93FA0">
        <w:tc>
          <w:tcPr>
            <w:tcW w:w="1573" w:type="dxa"/>
            <w:tcBorders>
              <w:bottom w:val="single" w:sz="4" w:space="0" w:color="auto"/>
            </w:tcBorders>
            <w:vAlign w:val="center"/>
          </w:tcPr>
          <w:p w:rsidR="00251C8D" w:rsidRPr="000A7344" w:rsidRDefault="00251C8D" w:rsidP="000A7344">
            <w:pPr>
              <w:spacing w:after="0" w:afterAutospacing="0" w:line="360" w:lineRule="auto"/>
              <w:jc w:val="center"/>
              <w:rPr>
                <w:rFonts w:ascii="Arial" w:hAnsi="Arial" w:cs="Arial"/>
                <w:b/>
                <w:lang w:val="en-US"/>
              </w:rPr>
            </w:pPr>
            <w:r w:rsidRPr="000A7344">
              <w:rPr>
                <w:rFonts w:ascii="Arial" w:hAnsi="Arial" w:cs="Arial"/>
                <w:b/>
                <w:lang w:val="en-US"/>
              </w:rPr>
              <w:t>Week 24</w:t>
            </w:r>
          </w:p>
        </w:tc>
        <w:tc>
          <w:tcPr>
            <w:tcW w:w="2680" w:type="dxa"/>
            <w:tcBorders>
              <w:bottom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2.21 (1.794, 2.620) &lt;0.0001</w:t>
            </w:r>
          </w:p>
        </w:tc>
        <w:tc>
          <w:tcPr>
            <w:tcW w:w="2694" w:type="dxa"/>
            <w:tcBorders>
              <w:bottom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2.50 (2.020, 2.982) &lt;0.0001</w:t>
            </w:r>
          </w:p>
        </w:tc>
        <w:tc>
          <w:tcPr>
            <w:tcW w:w="2693" w:type="dxa"/>
            <w:tcBorders>
              <w:bottom w:val="single" w:sz="4" w:space="0" w:color="auto"/>
            </w:tcBorders>
            <w:vAlign w:val="center"/>
          </w:tcPr>
          <w:p w:rsidR="00251C8D" w:rsidRPr="000A7344" w:rsidRDefault="00251C8D" w:rsidP="000A7344">
            <w:pPr>
              <w:spacing w:after="0" w:afterAutospacing="0" w:line="360" w:lineRule="auto"/>
              <w:jc w:val="center"/>
              <w:rPr>
                <w:rFonts w:ascii="Arial" w:hAnsi="Arial" w:cs="Arial"/>
                <w:lang w:val="en-US"/>
              </w:rPr>
            </w:pPr>
            <w:r w:rsidRPr="000A7344">
              <w:rPr>
                <w:rFonts w:ascii="Arial" w:hAnsi="Arial" w:cs="Arial"/>
                <w:lang w:val="en-US"/>
              </w:rPr>
              <w:t>1.56 (1.072, 2.047) &lt;0.0001</w:t>
            </w:r>
          </w:p>
        </w:tc>
      </w:tr>
    </w:tbl>
    <w:p w:rsidR="00251C8D" w:rsidRPr="000A7344" w:rsidRDefault="00251C8D" w:rsidP="000A7344">
      <w:pPr>
        <w:spacing w:after="0" w:afterAutospacing="0" w:line="360" w:lineRule="auto"/>
        <w:rPr>
          <w:rFonts w:ascii="Arial" w:hAnsi="Arial" w:cs="Arial"/>
          <w:lang w:val="en-US"/>
        </w:rPr>
      </w:pPr>
      <w:r w:rsidRPr="000A7344">
        <w:rPr>
          <w:rFonts w:ascii="Arial" w:hAnsi="Arial" w:cs="Arial"/>
          <w:lang w:val="en-US"/>
        </w:rPr>
        <w:t>a. Difference is the baseline score minus Week score such that a positive difference shows an improvement in score</w:t>
      </w:r>
    </w:p>
    <w:bookmarkEnd w:id="0"/>
    <w:p w:rsidR="00251C8D" w:rsidRPr="000A7344" w:rsidRDefault="00251C8D" w:rsidP="00F93FA0">
      <w:pPr>
        <w:spacing w:after="0" w:afterAutospacing="0"/>
        <w:rPr>
          <w:rFonts w:ascii="Arial" w:hAnsi="Arial" w:cs="Arial"/>
          <w:lang w:val="en-US"/>
        </w:rPr>
      </w:pPr>
      <w:r w:rsidRPr="000A7344">
        <w:rPr>
          <w:rFonts w:ascii="Arial" w:hAnsi="Arial" w:cs="Arial"/>
          <w:lang w:val="en-US"/>
        </w:rPr>
        <w:br w:type="page"/>
      </w:r>
    </w:p>
    <w:bookmarkEnd w:id="1"/>
    <w:p w:rsidR="00251C8D" w:rsidRPr="000A7344" w:rsidRDefault="00251C8D" w:rsidP="00F93FA0">
      <w:pPr>
        <w:spacing w:after="0" w:afterAutospacing="0"/>
        <w:rPr>
          <w:rFonts w:ascii="Arial" w:hAnsi="Arial" w:cs="Arial"/>
          <w:b/>
          <w:lang w:val="en-US"/>
        </w:rPr>
        <w:sectPr w:rsidR="00251C8D" w:rsidRPr="000A7344" w:rsidSect="00F93FA0">
          <w:footerReference w:type="default" r:id="rId7"/>
          <w:pgSz w:w="11906" w:h="16838"/>
          <w:pgMar w:top="1701" w:right="1701" w:bottom="1701" w:left="1701" w:header="709" w:footer="709" w:gutter="0"/>
          <w:cols w:space="708"/>
          <w:docGrid w:linePitch="360"/>
        </w:sectPr>
      </w:pPr>
    </w:p>
    <w:p w:rsidR="00251C8D" w:rsidRPr="000A7344" w:rsidRDefault="00CE7B78" w:rsidP="000A7344">
      <w:pPr>
        <w:spacing w:after="0" w:afterAutospacing="0" w:line="360" w:lineRule="auto"/>
        <w:rPr>
          <w:rFonts w:ascii="Arial" w:hAnsi="Arial" w:cs="Arial"/>
          <w:b/>
          <w:lang w:val="en-US"/>
        </w:rPr>
      </w:pPr>
      <w:r>
        <w:rPr>
          <w:rFonts w:ascii="Arial" w:hAnsi="Arial" w:cs="Arial"/>
          <w:b/>
          <w:lang w:val="en-US"/>
        </w:rPr>
        <w:t>Supplemental</w:t>
      </w:r>
      <w:r w:rsidR="00251C8D" w:rsidRPr="000A7344">
        <w:rPr>
          <w:rFonts w:ascii="Arial" w:hAnsi="Arial" w:cs="Arial"/>
          <w:b/>
          <w:lang w:val="en-US"/>
        </w:rPr>
        <w:t xml:space="preserve"> Table </w:t>
      </w:r>
      <w:r>
        <w:rPr>
          <w:rFonts w:ascii="Arial" w:hAnsi="Arial" w:cs="Arial"/>
          <w:b/>
          <w:lang w:val="en-US"/>
        </w:rPr>
        <w:t>S</w:t>
      </w:r>
      <w:r w:rsidR="00251C8D" w:rsidRPr="000A7344">
        <w:rPr>
          <w:rFonts w:ascii="Arial" w:hAnsi="Arial" w:cs="Arial"/>
          <w:b/>
          <w:lang w:val="en-US"/>
        </w:rPr>
        <w:t xml:space="preserve">2. </w:t>
      </w:r>
      <w:bookmarkStart w:id="2" w:name="_Hlk527373980"/>
      <w:bookmarkStart w:id="3" w:name="_GoBack"/>
      <w:r w:rsidR="00251C8D" w:rsidRPr="000A7344">
        <w:rPr>
          <w:rFonts w:ascii="Arial" w:hAnsi="Arial" w:cs="Arial"/>
          <w:lang w:val="en-US"/>
        </w:rPr>
        <w:t>Adjusted mean change from baseline in DHEQ Section 2 scores: Total score (Q1–34), Restrictions (Q1–4), Adaptation (Q5–16), Social Impact (Q17–21), Emotional Impact (Q22–29), Identity (Q30–34), Global Oral Health rating (Q35), Effect on Life Overall (Q36–39) at each time point compared to baseline (ITT population)</w:t>
      </w:r>
    </w:p>
    <w:tbl>
      <w:tblPr>
        <w:tblStyle w:val="TableGrid"/>
        <w:tblW w:w="9493"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63"/>
        <w:gridCol w:w="2081"/>
        <w:gridCol w:w="1984"/>
        <w:gridCol w:w="1980"/>
        <w:gridCol w:w="1966"/>
        <w:gridCol w:w="19"/>
      </w:tblGrid>
      <w:tr w:rsidR="000A7344" w:rsidRPr="000A7344" w:rsidTr="00E54C09">
        <w:trPr>
          <w:trHeight w:val="455"/>
        </w:trPr>
        <w:tc>
          <w:tcPr>
            <w:tcW w:w="1463" w:type="dxa"/>
            <w:vMerge w:val="restart"/>
            <w:tcBorders>
              <w:top w:val="single" w:sz="4" w:space="0" w:color="auto"/>
              <w:bottom w:val="nil"/>
            </w:tcBorders>
            <w:vAlign w:val="bottom"/>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comparison vs baseline</w:t>
            </w:r>
          </w:p>
        </w:tc>
        <w:tc>
          <w:tcPr>
            <w:tcW w:w="8030" w:type="dxa"/>
            <w:gridSpan w:val="5"/>
            <w:tcBorders>
              <w:top w:val="single" w:sz="4" w:space="0" w:color="auto"/>
              <w:bottom w:val="nil"/>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Adjusted mean difference</w:t>
            </w:r>
            <w:r w:rsidRPr="000A7344">
              <w:rPr>
                <w:rFonts w:ascii="Arial" w:hAnsi="Arial" w:cs="Arial"/>
                <w:b/>
                <w:sz w:val="20"/>
                <w:szCs w:val="20"/>
                <w:vertAlign w:val="superscript"/>
                <w:lang w:val="en-US"/>
              </w:rPr>
              <w:t>a</w:t>
            </w:r>
            <w:r w:rsidRPr="000A7344">
              <w:rPr>
                <w:rFonts w:ascii="Arial" w:hAnsi="Arial" w:cs="Arial"/>
                <w:b/>
                <w:sz w:val="20"/>
                <w:szCs w:val="20"/>
                <w:lang w:val="en-US"/>
              </w:rPr>
              <w:t xml:space="preserve"> (95% CI) p-value</w:t>
            </w:r>
          </w:p>
        </w:tc>
      </w:tr>
      <w:tr w:rsidR="000A7344" w:rsidRPr="000A7344" w:rsidTr="00E54C09">
        <w:trPr>
          <w:gridAfter w:val="1"/>
          <w:wAfter w:w="19" w:type="dxa"/>
          <w:trHeight w:val="78"/>
        </w:trPr>
        <w:tc>
          <w:tcPr>
            <w:tcW w:w="1463" w:type="dxa"/>
            <w:vMerge/>
            <w:tcBorders>
              <w:top w:val="nil"/>
              <w:bottom w:val="single" w:sz="4" w:space="0" w:color="auto"/>
            </w:tcBorders>
          </w:tcPr>
          <w:p w:rsidR="000A7344" w:rsidRPr="000A7344" w:rsidRDefault="000A7344" w:rsidP="000A7344">
            <w:pPr>
              <w:spacing w:after="0" w:afterAutospacing="0" w:line="360" w:lineRule="auto"/>
              <w:jc w:val="center"/>
              <w:rPr>
                <w:rFonts w:ascii="Arial" w:hAnsi="Arial" w:cs="Arial"/>
                <w:b/>
                <w:sz w:val="20"/>
                <w:szCs w:val="20"/>
                <w:lang w:val="en-US"/>
              </w:rPr>
            </w:pPr>
          </w:p>
        </w:tc>
        <w:tc>
          <w:tcPr>
            <w:tcW w:w="2081" w:type="dxa"/>
            <w:tcBorders>
              <w:top w:val="nil"/>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Restrictions</w:t>
            </w:r>
          </w:p>
        </w:tc>
        <w:tc>
          <w:tcPr>
            <w:tcW w:w="1984" w:type="dxa"/>
            <w:tcBorders>
              <w:top w:val="nil"/>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Adaptation</w:t>
            </w:r>
          </w:p>
        </w:tc>
        <w:tc>
          <w:tcPr>
            <w:tcW w:w="1980" w:type="dxa"/>
            <w:tcBorders>
              <w:top w:val="nil"/>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Social Impact</w:t>
            </w:r>
          </w:p>
        </w:tc>
        <w:tc>
          <w:tcPr>
            <w:tcW w:w="1966" w:type="dxa"/>
            <w:tcBorders>
              <w:top w:val="nil"/>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Emotional Impact</w:t>
            </w:r>
          </w:p>
        </w:tc>
      </w:tr>
      <w:tr w:rsidR="000A7344" w:rsidRPr="000A7344" w:rsidTr="00E54C09">
        <w:trPr>
          <w:gridAfter w:val="1"/>
          <w:wAfter w:w="19" w:type="dxa"/>
        </w:trPr>
        <w:tc>
          <w:tcPr>
            <w:tcW w:w="1463" w:type="dxa"/>
            <w:tcBorders>
              <w:top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4</w:t>
            </w:r>
          </w:p>
        </w:tc>
        <w:tc>
          <w:tcPr>
            <w:tcW w:w="2081" w:type="dxa"/>
            <w:tcBorders>
              <w:top w:val="single" w:sz="4" w:space="0" w:color="auto"/>
            </w:tcBorders>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1.18 (0.108, 2.262) 0.0312</w:t>
            </w:r>
          </w:p>
        </w:tc>
        <w:tc>
          <w:tcPr>
            <w:tcW w:w="1984" w:type="dxa"/>
            <w:tcBorders>
              <w:top w:val="single" w:sz="4" w:space="0" w:color="auto"/>
            </w:tcBorders>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1.11 (-1.592, 3.821) 0.4185</w:t>
            </w:r>
          </w:p>
        </w:tc>
        <w:tc>
          <w:tcPr>
            <w:tcW w:w="1980"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0.57 (-0.604, 1.738) 0.3415</w:t>
            </w:r>
          </w:p>
        </w:tc>
        <w:tc>
          <w:tcPr>
            <w:tcW w:w="1966"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2.42 (0.483, 4.352) 0.0145</w:t>
            </w: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8</w:t>
            </w:r>
          </w:p>
        </w:tc>
        <w:tc>
          <w:tcPr>
            <w:tcW w:w="2081"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2.08 (1.728, 3.866) &lt;0.0001</w:t>
            </w:r>
          </w:p>
        </w:tc>
        <w:tc>
          <w:tcPr>
            <w:tcW w:w="1984"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7.08 (4.391, 9.764) &lt;0.0001</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1.77 (0.610, 2.935) 0.0029</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4.42 (2.498, 6.339) &lt;0.0001</w:t>
            </w: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12</w:t>
            </w:r>
          </w:p>
        </w:tc>
        <w:tc>
          <w:tcPr>
            <w:tcW w:w="2081"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3.26 (2.192, 4.322) &lt;0.0001</w:t>
            </w:r>
          </w:p>
        </w:tc>
        <w:tc>
          <w:tcPr>
            <w:tcW w:w="1984"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8.35 (5.674, 11.026) &lt;0.0001</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2.42 (1.266, 3.582)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6.85 (4.933, 8.759) &lt;0.0001</w:t>
            </w: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16</w:t>
            </w:r>
          </w:p>
        </w:tc>
        <w:tc>
          <w:tcPr>
            <w:tcW w:w="2081"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3.93 (2.844, 5.012) &lt;0.0001</w:t>
            </w:r>
          </w:p>
        </w:tc>
        <w:tc>
          <w:tcPr>
            <w:tcW w:w="1984"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10.43 (7.708, 13.158) &lt;0.0001</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3.55 (2.371, 4.729)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7.17 (5.219, 9.115) &lt;0.0001</w:t>
            </w: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20</w:t>
            </w:r>
          </w:p>
        </w:tc>
        <w:tc>
          <w:tcPr>
            <w:tcW w:w="2081"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4.15 (3.063, 5.232) &lt;0.0001</w:t>
            </w:r>
          </w:p>
        </w:tc>
        <w:tc>
          <w:tcPr>
            <w:tcW w:w="1984" w:type="dxa"/>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11.73 (9.008, 14.459) &lt;0.0001</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4.39 (3.210, 5.568)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8.39 (6.438, 10.335) &lt;0.0001</w:t>
            </w:r>
          </w:p>
        </w:tc>
      </w:tr>
      <w:tr w:rsidR="000A7344" w:rsidRPr="000A7344" w:rsidTr="00E54C09">
        <w:trPr>
          <w:gridAfter w:val="1"/>
          <w:wAfter w:w="19" w:type="dxa"/>
        </w:trPr>
        <w:tc>
          <w:tcPr>
            <w:tcW w:w="1463" w:type="dxa"/>
            <w:tcBorders>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24</w:t>
            </w:r>
          </w:p>
        </w:tc>
        <w:tc>
          <w:tcPr>
            <w:tcW w:w="2081" w:type="dxa"/>
            <w:tcBorders>
              <w:bottom w:val="single" w:sz="4" w:space="0" w:color="auto"/>
            </w:tcBorders>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4.74 (3.654, 5.823) &lt;0.0001</w:t>
            </w:r>
          </w:p>
        </w:tc>
        <w:tc>
          <w:tcPr>
            <w:tcW w:w="1984" w:type="dxa"/>
            <w:tcBorders>
              <w:bottom w:val="single" w:sz="4" w:space="0" w:color="auto"/>
            </w:tcBorders>
            <w:vAlign w:val="center"/>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11.96 (9.235, 14.686) &lt;0.0001</w:t>
            </w:r>
          </w:p>
        </w:tc>
        <w:tc>
          <w:tcPr>
            <w:tcW w:w="1980" w:type="dxa"/>
            <w:tcBorders>
              <w:bottom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4.30 (3.119, 5.477) &lt;0.0001</w:t>
            </w:r>
          </w:p>
        </w:tc>
        <w:tc>
          <w:tcPr>
            <w:tcW w:w="1966" w:type="dxa"/>
            <w:tcBorders>
              <w:bottom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8.67 (6.726, 10.623) &lt;0.0001</w:t>
            </w:r>
          </w:p>
        </w:tc>
      </w:tr>
      <w:tr w:rsidR="000A7344" w:rsidRPr="000A7344" w:rsidTr="00E54C09">
        <w:trPr>
          <w:gridAfter w:val="1"/>
          <w:wAfter w:w="19" w:type="dxa"/>
        </w:trPr>
        <w:tc>
          <w:tcPr>
            <w:tcW w:w="1463" w:type="dxa"/>
            <w:tcBorders>
              <w:top w:val="single" w:sz="4" w:space="0" w:color="auto"/>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p>
        </w:tc>
        <w:tc>
          <w:tcPr>
            <w:tcW w:w="2081" w:type="dxa"/>
            <w:tcBorders>
              <w:top w:val="single" w:sz="4" w:space="0" w:color="auto"/>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Identity</w:t>
            </w:r>
          </w:p>
        </w:tc>
        <w:tc>
          <w:tcPr>
            <w:tcW w:w="1984" w:type="dxa"/>
            <w:tcBorders>
              <w:top w:val="single" w:sz="4" w:space="0" w:color="auto"/>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Global Oral Health Rating</w:t>
            </w:r>
          </w:p>
        </w:tc>
        <w:tc>
          <w:tcPr>
            <w:tcW w:w="1980" w:type="dxa"/>
            <w:tcBorders>
              <w:top w:val="single" w:sz="4" w:space="0" w:color="auto"/>
              <w:bottom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Effect on Life Overall</w:t>
            </w:r>
          </w:p>
        </w:tc>
        <w:tc>
          <w:tcPr>
            <w:tcW w:w="1966" w:type="dxa"/>
            <w:tcBorders>
              <w:top w:val="single" w:sz="4" w:space="0" w:color="auto"/>
              <w:bottom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tcBorders>
              <w:top w:val="single" w:sz="4" w:space="0" w:color="auto"/>
            </w:tcBorders>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4</w:t>
            </w:r>
          </w:p>
        </w:tc>
        <w:tc>
          <w:tcPr>
            <w:tcW w:w="2081"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0.63 (-0.738, 1.989) 0.3676</w:t>
            </w:r>
          </w:p>
        </w:tc>
        <w:tc>
          <w:tcPr>
            <w:tcW w:w="1984"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0.09 (-0.059, 0.243) 0.2326</w:t>
            </w:r>
          </w:p>
        </w:tc>
        <w:tc>
          <w:tcPr>
            <w:tcW w:w="1980"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0.60 (0.002, 1.194) 0.0493</w:t>
            </w:r>
          </w:p>
        </w:tc>
        <w:tc>
          <w:tcPr>
            <w:tcW w:w="1966" w:type="dxa"/>
            <w:tcBorders>
              <w:top w:val="single" w:sz="4" w:space="0" w:color="auto"/>
            </w:tcBorders>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8</w:t>
            </w:r>
          </w:p>
        </w:tc>
        <w:tc>
          <w:tcPr>
            <w:tcW w:w="2081"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0.90 (-0.451, 2.255) 0.1907</w:t>
            </w:r>
          </w:p>
        </w:tc>
        <w:tc>
          <w:tcPr>
            <w:tcW w:w="1984"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0.07 (-0.085, 0.216) 0.3934</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1.42 (0.830, 2.013)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12</w:t>
            </w:r>
          </w:p>
        </w:tc>
        <w:tc>
          <w:tcPr>
            <w:tcW w:w="2081"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1.81 (0.467, 3.162) 0.0085</w:t>
            </w:r>
          </w:p>
        </w:tc>
        <w:tc>
          <w:tcPr>
            <w:tcW w:w="1984"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0.13 (-0.016, 0.284) 0.0785</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1.87 (1.278, 2.457)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16</w:t>
            </w:r>
          </w:p>
        </w:tc>
        <w:tc>
          <w:tcPr>
            <w:tcW w:w="2081"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2.12 (0.744, 3.489) 0.0026</w:t>
            </w:r>
          </w:p>
        </w:tc>
        <w:tc>
          <w:tcPr>
            <w:tcW w:w="1984"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0.14 (-0.011, 0.294) 0.0682</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2.03 1.429, 2.629)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20</w:t>
            </w:r>
          </w:p>
        </w:tc>
        <w:tc>
          <w:tcPr>
            <w:tcW w:w="2081"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2.74 (1.371, 4.116) 0.0001</w:t>
            </w:r>
          </w:p>
        </w:tc>
        <w:tc>
          <w:tcPr>
            <w:tcW w:w="1984"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0.13 (-0.018, 0.287) 0.0844</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2.34 (1.743, 2.943)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p>
        </w:tc>
      </w:tr>
      <w:tr w:rsidR="000A7344" w:rsidRPr="000A7344" w:rsidTr="00E54C09">
        <w:trPr>
          <w:gridAfter w:val="1"/>
          <w:wAfter w:w="19" w:type="dxa"/>
        </w:trPr>
        <w:tc>
          <w:tcPr>
            <w:tcW w:w="1463" w:type="dxa"/>
            <w:vAlign w:val="center"/>
          </w:tcPr>
          <w:p w:rsidR="000A7344" w:rsidRPr="000A7344" w:rsidRDefault="000A7344" w:rsidP="000A7344">
            <w:pPr>
              <w:spacing w:after="0" w:afterAutospacing="0" w:line="360" w:lineRule="auto"/>
              <w:jc w:val="center"/>
              <w:rPr>
                <w:rFonts w:ascii="Arial" w:hAnsi="Arial" w:cs="Arial"/>
                <w:b/>
                <w:sz w:val="20"/>
                <w:szCs w:val="20"/>
                <w:lang w:val="en-US"/>
              </w:rPr>
            </w:pPr>
            <w:r w:rsidRPr="000A7344">
              <w:rPr>
                <w:rFonts w:ascii="Arial" w:hAnsi="Arial" w:cs="Arial"/>
                <w:b/>
                <w:sz w:val="20"/>
                <w:szCs w:val="20"/>
                <w:lang w:val="en-US"/>
              </w:rPr>
              <w:t>Week 24</w:t>
            </w:r>
          </w:p>
        </w:tc>
        <w:tc>
          <w:tcPr>
            <w:tcW w:w="2081"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2.85 (1.477, 4.222) &lt;0.0001</w:t>
            </w:r>
          </w:p>
        </w:tc>
        <w:tc>
          <w:tcPr>
            <w:tcW w:w="1984"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0.18 (0.027, 0.332) 0.0211</w:t>
            </w:r>
          </w:p>
        </w:tc>
        <w:tc>
          <w:tcPr>
            <w:tcW w:w="1980" w:type="dxa"/>
          </w:tcPr>
          <w:p w:rsidR="000A7344" w:rsidRPr="000A7344" w:rsidRDefault="000A7344" w:rsidP="000A7344">
            <w:pPr>
              <w:spacing w:after="0" w:afterAutospacing="0" w:line="360" w:lineRule="auto"/>
              <w:jc w:val="center"/>
              <w:rPr>
                <w:rFonts w:ascii="Arial" w:hAnsi="Arial" w:cs="Arial"/>
                <w:sz w:val="20"/>
                <w:szCs w:val="20"/>
                <w:lang w:val="en-US"/>
              </w:rPr>
            </w:pPr>
            <w:r w:rsidRPr="000A7344">
              <w:rPr>
                <w:rFonts w:ascii="Arial" w:hAnsi="Arial" w:cs="Arial"/>
                <w:sz w:val="20"/>
                <w:szCs w:val="20"/>
                <w:lang w:val="en-US"/>
              </w:rPr>
              <w:t>2.34 (1.743, 2.943) &lt;0.0001</w:t>
            </w:r>
          </w:p>
        </w:tc>
        <w:tc>
          <w:tcPr>
            <w:tcW w:w="1966" w:type="dxa"/>
          </w:tcPr>
          <w:p w:rsidR="000A7344" w:rsidRPr="000A7344" w:rsidRDefault="000A7344" w:rsidP="000A7344">
            <w:pPr>
              <w:spacing w:after="0" w:afterAutospacing="0" w:line="360" w:lineRule="auto"/>
              <w:jc w:val="center"/>
              <w:rPr>
                <w:rFonts w:ascii="Arial" w:hAnsi="Arial" w:cs="Arial"/>
                <w:sz w:val="20"/>
                <w:szCs w:val="20"/>
                <w:lang w:val="en-US"/>
              </w:rPr>
            </w:pPr>
          </w:p>
        </w:tc>
      </w:tr>
    </w:tbl>
    <w:p w:rsidR="00DD689E" w:rsidRPr="000A7344" w:rsidRDefault="00251C8D" w:rsidP="000E414B">
      <w:pPr>
        <w:spacing w:after="0" w:afterAutospacing="0"/>
        <w:rPr>
          <w:rFonts w:ascii="Arial" w:hAnsi="Arial" w:cs="Arial"/>
          <w:highlight w:val="yellow"/>
          <w:lang w:val="en-US"/>
        </w:rPr>
      </w:pPr>
      <w:r w:rsidRPr="000A7344">
        <w:rPr>
          <w:rFonts w:ascii="Arial" w:hAnsi="Arial" w:cs="Arial"/>
          <w:lang w:val="en-US"/>
        </w:rPr>
        <w:t xml:space="preserve">a. Difference is the baseline score minus Week score such that a positive difference shows </w:t>
      </w:r>
      <w:r w:rsidR="000E414B" w:rsidRPr="000A7344">
        <w:rPr>
          <w:rFonts w:ascii="Arial" w:hAnsi="Arial" w:cs="Arial"/>
          <w:lang w:val="en-US"/>
        </w:rPr>
        <w:t>an improvement in score</w:t>
      </w:r>
      <w:bookmarkEnd w:id="2"/>
      <w:bookmarkEnd w:id="3"/>
    </w:p>
    <w:sectPr w:rsidR="00DD689E" w:rsidRPr="000A7344" w:rsidSect="000A7344">
      <w:pgSz w:w="11906" w:h="16838"/>
      <w:pgMar w:top="1701" w:right="1701" w:bottom="1701"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3FA0" w:rsidRDefault="00F93FA0">
      <w:pPr>
        <w:spacing w:after="0" w:line="240" w:lineRule="auto"/>
      </w:pPr>
      <w:r>
        <w:separator/>
      </w:r>
    </w:p>
  </w:endnote>
  <w:endnote w:type="continuationSeparator" w:id="0">
    <w:p w:rsidR="00F93FA0" w:rsidRDefault="00F93F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52474425"/>
      <w:docPartObj>
        <w:docPartGallery w:val="Page Numbers (Bottom of Page)"/>
        <w:docPartUnique/>
      </w:docPartObj>
    </w:sdtPr>
    <w:sdtEndPr>
      <w:rPr>
        <w:noProof/>
      </w:rPr>
    </w:sdtEndPr>
    <w:sdtContent>
      <w:p w:rsidR="00F93FA0" w:rsidRDefault="00F93FA0">
        <w:pPr>
          <w:pStyle w:val="Footer"/>
          <w:jc w:val="right"/>
        </w:pPr>
        <w:r>
          <w:fldChar w:fldCharType="begin"/>
        </w:r>
        <w:r>
          <w:instrText xml:space="preserve"> PAGE   \* MERGEFORMAT </w:instrText>
        </w:r>
        <w:r>
          <w:fldChar w:fldCharType="separate"/>
        </w:r>
        <w:r w:rsidR="00FE4AD7">
          <w:rPr>
            <w:noProof/>
          </w:rPr>
          <w:t>4</w:t>
        </w:r>
        <w:r>
          <w:rPr>
            <w:noProof/>
          </w:rPr>
          <w:fldChar w:fldCharType="end"/>
        </w:r>
      </w:p>
    </w:sdtContent>
  </w:sdt>
  <w:p w:rsidR="00F93FA0" w:rsidRDefault="00F93F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3FA0" w:rsidRDefault="00F93FA0">
      <w:pPr>
        <w:spacing w:after="0" w:line="240" w:lineRule="auto"/>
      </w:pPr>
      <w:r>
        <w:separator/>
      </w:r>
    </w:p>
  </w:footnote>
  <w:footnote w:type="continuationSeparator" w:id="0">
    <w:p w:rsidR="00F93FA0" w:rsidRDefault="00F93F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668B1"/>
    <w:multiLevelType w:val="hybridMultilevel"/>
    <w:tmpl w:val="420C56E6"/>
    <w:lvl w:ilvl="0" w:tplc="08090001">
      <w:start w:val="1"/>
      <w:numFmt w:val="bullet"/>
      <w:lvlText w:val=""/>
      <w:lvlJc w:val="left"/>
      <w:pPr>
        <w:tabs>
          <w:tab w:val="num" w:pos="720"/>
        </w:tabs>
        <w:ind w:left="720" w:hanging="360"/>
      </w:pPr>
      <w:rPr>
        <w:rFonts w:ascii="Symbol" w:hAnsi="Symbol" w:hint="default"/>
      </w:rPr>
    </w:lvl>
    <w:lvl w:ilvl="1" w:tplc="927E8B38">
      <w:start w:val="1"/>
      <w:numFmt w:val="bullet"/>
      <w:lvlText w:val="–"/>
      <w:lvlJc w:val="left"/>
      <w:pPr>
        <w:tabs>
          <w:tab w:val="num" w:pos="1440"/>
        </w:tabs>
        <w:ind w:left="1440" w:hanging="360"/>
      </w:pPr>
      <w:rPr>
        <w:rFonts w:ascii="Arial" w:hAnsi="Arial" w:hint="default"/>
      </w:rPr>
    </w:lvl>
    <w:lvl w:ilvl="2" w:tplc="6BB6A36E" w:tentative="1">
      <w:start w:val="1"/>
      <w:numFmt w:val="bullet"/>
      <w:lvlText w:val="–"/>
      <w:lvlJc w:val="left"/>
      <w:pPr>
        <w:tabs>
          <w:tab w:val="num" w:pos="2160"/>
        </w:tabs>
        <w:ind w:left="2160" w:hanging="360"/>
      </w:pPr>
      <w:rPr>
        <w:rFonts w:ascii="Arial" w:hAnsi="Arial" w:hint="default"/>
      </w:rPr>
    </w:lvl>
    <w:lvl w:ilvl="3" w:tplc="5322C9FC" w:tentative="1">
      <w:start w:val="1"/>
      <w:numFmt w:val="bullet"/>
      <w:lvlText w:val="–"/>
      <w:lvlJc w:val="left"/>
      <w:pPr>
        <w:tabs>
          <w:tab w:val="num" w:pos="2880"/>
        </w:tabs>
        <w:ind w:left="2880" w:hanging="360"/>
      </w:pPr>
      <w:rPr>
        <w:rFonts w:ascii="Arial" w:hAnsi="Arial" w:hint="default"/>
      </w:rPr>
    </w:lvl>
    <w:lvl w:ilvl="4" w:tplc="84BA6F7E" w:tentative="1">
      <w:start w:val="1"/>
      <w:numFmt w:val="bullet"/>
      <w:lvlText w:val="–"/>
      <w:lvlJc w:val="left"/>
      <w:pPr>
        <w:tabs>
          <w:tab w:val="num" w:pos="3600"/>
        </w:tabs>
        <w:ind w:left="3600" w:hanging="360"/>
      </w:pPr>
      <w:rPr>
        <w:rFonts w:ascii="Arial" w:hAnsi="Arial" w:hint="default"/>
      </w:rPr>
    </w:lvl>
    <w:lvl w:ilvl="5" w:tplc="D77AE7E2" w:tentative="1">
      <w:start w:val="1"/>
      <w:numFmt w:val="bullet"/>
      <w:lvlText w:val="–"/>
      <w:lvlJc w:val="left"/>
      <w:pPr>
        <w:tabs>
          <w:tab w:val="num" w:pos="4320"/>
        </w:tabs>
        <w:ind w:left="4320" w:hanging="360"/>
      </w:pPr>
      <w:rPr>
        <w:rFonts w:ascii="Arial" w:hAnsi="Arial" w:hint="default"/>
      </w:rPr>
    </w:lvl>
    <w:lvl w:ilvl="6" w:tplc="5856593A" w:tentative="1">
      <w:start w:val="1"/>
      <w:numFmt w:val="bullet"/>
      <w:lvlText w:val="–"/>
      <w:lvlJc w:val="left"/>
      <w:pPr>
        <w:tabs>
          <w:tab w:val="num" w:pos="5040"/>
        </w:tabs>
        <w:ind w:left="5040" w:hanging="360"/>
      </w:pPr>
      <w:rPr>
        <w:rFonts w:ascii="Arial" w:hAnsi="Arial" w:hint="default"/>
      </w:rPr>
    </w:lvl>
    <w:lvl w:ilvl="7" w:tplc="91BEC03A" w:tentative="1">
      <w:start w:val="1"/>
      <w:numFmt w:val="bullet"/>
      <w:lvlText w:val="–"/>
      <w:lvlJc w:val="left"/>
      <w:pPr>
        <w:tabs>
          <w:tab w:val="num" w:pos="5760"/>
        </w:tabs>
        <w:ind w:left="5760" w:hanging="360"/>
      </w:pPr>
      <w:rPr>
        <w:rFonts w:ascii="Arial" w:hAnsi="Arial" w:hint="default"/>
      </w:rPr>
    </w:lvl>
    <w:lvl w:ilvl="8" w:tplc="2676F1F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7D112F1"/>
    <w:multiLevelType w:val="hybridMultilevel"/>
    <w:tmpl w:val="91BC71FE"/>
    <w:lvl w:ilvl="0" w:tplc="14090001">
      <w:start w:val="1"/>
      <w:numFmt w:val="bullet"/>
      <w:lvlText w:val=""/>
      <w:lvlJc w:val="left"/>
      <w:pPr>
        <w:ind w:left="766" w:hanging="360"/>
      </w:pPr>
      <w:rPr>
        <w:rFonts w:ascii="Symbol" w:hAnsi="Symbol" w:hint="default"/>
      </w:rPr>
    </w:lvl>
    <w:lvl w:ilvl="1" w:tplc="14090003" w:tentative="1">
      <w:start w:val="1"/>
      <w:numFmt w:val="bullet"/>
      <w:lvlText w:val="o"/>
      <w:lvlJc w:val="left"/>
      <w:pPr>
        <w:ind w:left="1486" w:hanging="360"/>
      </w:pPr>
      <w:rPr>
        <w:rFonts w:ascii="Courier New" w:hAnsi="Courier New" w:cs="Courier New" w:hint="default"/>
      </w:rPr>
    </w:lvl>
    <w:lvl w:ilvl="2" w:tplc="14090005" w:tentative="1">
      <w:start w:val="1"/>
      <w:numFmt w:val="bullet"/>
      <w:lvlText w:val=""/>
      <w:lvlJc w:val="left"/>
      <w:pPr>
        <w:ind w:left="2206" w:hanging="360"/>
      </w:pPr>
      <w:rPr>
        <w:rFonts w:ascii="Wingdings" w:hAnsi="Wingdings" w:hint="default"/>
      </w:rPr>
    </w:lvl>
    <w:lvl w:ilvl="3" w:tplc="14090001" w:tentative="1">
      <w:start w:val="1"/>
      <w:numFmt w:val="bullet"/>
      <w:lvlText w:val=""/>
      <w:lvlJc w:val="left"/>
      <w:pPr>
        <w:ind w:left="2926" w:hanging="360"/>
      </w:pPr>
      <w:rPr>
        <w:rFonts w:ascii="Symbol" w:hAnsi="Symbol" w:hint="default"/>
      </w:rPr>
    </w:lvl>
    <w:lvl w:ilvl="4" w:tplc="14090003" w:tentative="1">
      <w:start w:val="1"/>
      <w:numFmt w:val="bullet"/>
      <w:lvlText w:val="o"/>
      <w:lvlJc w:val="left"/>
      <w:pPr>
        <w:ind w:left="3646" w:hanging="360"/>
      </w:pPr>
      <w:rPr>
        <w:rFonts w:ascii="Courier New" w:hAnsi="Courier New" w:cs="Courier New" w:hint="default"/>
      </w:rPr>
    </w:lvl>
    <w:lvl w:ilvl="5" w:tplc="14090005" w:tentative="1">
      <w:start w:val="1"/>
      <w:numFmt w:val="bullet"/>
      <w:lvlText w:val=""/>
      <w:lvlJc w:val="left"/>
      <w:pPr>
        <w:ind w:left="4366" w:hanging="360"/>
      </w:pPr>
      <w:rPr>
        <w:rFonts w:ascii="Wingdings" w:hAnsi="Wingdings" w:hint="default"/>
      </w:rPr>
    </w:lvl>
    <w:lvl w:ilvl="6" w:tplc="14090001" w:tentative="1">
      <w:start w:val="1"/>
      <w:numFmt w:val="bullet"/>
      <w:lvlText w:val=""/>
      <w:lvlJc w:val="left"/>
      <w:pPr>
        <w:ind w:left="5086" w:hanging="360"/>
      </w:pPr>
      <w:rPr>
        <w:rFonts w:ascii="Symbol" w:hAnsi="Symbol" w:hint="default"/>
      </w:rPr>
    </w:lvl>
    <w:lvl w:ilvl="7" w:tplc="14090003" w:tentative="1">
      <w:start w:val="1"/>
      <w:numFmt w:val="bullet"/>
      <w:lvlText w:val="o"/>
      <w:lvlJc w:val="left"/>
      <w:pPr>
        <w:ind w:left="5806" w:hanging="360"/>
      </w:pPr>
      <w:rPr>
        <w:rFonts w:ascii="Courier New" w:hAnsi="Courier New" w:cs="Courier New" w:hint="default"/>
      </w:rPr>
    </w:lvl>
    <w:lvl w:ilvl="8" w:tplc="14090005" w:tentative="1">
      <w:start w:val="1"/>
      <w:numFmt w:val="bullet"/>
      <w:lvlText w:val=""/>
      <w:lvlJc w:val="left"/>
      <w:pPr>
        <w:ind w:left="6526" w:hanging="360"/>
      </w:pPr>
      <w:rPr>
        <w:rFonts w:ascii="Wingdings" w:hAnsi="Wingdings" w:hint="default"/>
      </w:rPr>
    </w:lvl>
  </w:abstractNum>
  <w:abstractNum w:abstractNumId="2" w15:restartNumberingAfterBreak="0">
    <w:nsid w:val="25683100"/>
    <w:multiLevelType w:val="hybridMultilevel"/>
    <w:tmpl w:val="7F544B5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 w15:restartNumberingAfterBreak="0">
    <w:nsid w:val="286A15E8"/>
    <w:multiLevelType w:val="hybridMultilevel"/>
    <w:tmpl w:val="1C9A981A"/>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4" w15:restartNumberingAfterBreak="0">
    <w:nsid w:val="41AF164B"/>
    <w:multiLevelType w:val="hybridMultilevel"/>
    <w:tmpl w:val="165AECAC"/>
    <w:lvl w:ilvl="0" w:tplc="14090019">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42EE5D33"/>
    <w:multiLevelType w:val="hybridMultilevel"/>
    <w:tmpl w:val="3386103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4A9A3583"/>
    <w:multiLevelType w:val="hybridMultilevel"/>
    <w:tmpl w:val="33D6075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4B5252EE"/>
    <w:multiLevelType w:val="hybridMultilevel"/>
    <w:tmpl w:val="A4A84580"/>
    <w:lvl w:ilvl="0" w:tplc="14090019">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540504DC"/>
    <w:multiLevelType w:val="hybridMultilevel"/>
    <w:tmpl w:val="ECDC5026"/>
    <w:lvl w:ilvl="0" w:tplc="08090001">
      <w:start w:val="1"/>
      <w:numFmt w:val="bullet"/>
      <w:lvlText w:val=""/>
      <w:lvlJc w:val="left"/>
      <w:pPr>
        <w:ind w:left="720" w:hanging="360"/>
      </w:pPr>
      <w:rPr>
        <w:rFonts w:ascii="Symbol" w:hAnsi="Symbol" w:hint="default"/>
      </w:rPr>
    </w:lvl>
    <w:lvl w:ilvl="1" w:tplc="927E8B38">
      <w:start w:val="1"/>
      <w:numFmt w:val="bullet"/>
      <w:lvlText w:val="–"/>
      <w:lvlJc w:val="left"/>
      <w:pPr>
        <w:ind w:left="1440" w:hanging="360"/>
      </w:pPr>
      <w:rPr>
        <w:rFonts w:ascii="Arial" w:hAnsi="Arial"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31A1AE0"/>
    <w:multiLevelType w:val="hybridMultilevel"/>
    <w:tmpl w:val="8A429E6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0" w15:restartNumberingAfterBreak="0">
    <w:nsid w:val="689455CF"/>
    <w:multiLevelType w:val="hybridMultilevel"/>
    <w:tmpl w:val="7F544B58"/>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1" w15:restartNumberingAfterBreak="0">
    <w:nsid w:val="7A002391"/>
    <w:multiLevelType w:val="hybridMultilevel"/>
    <w:tmpl w:val="66FC5E5E"/>
    <w:lvl w:ilvl="0" w:tplc="8C344076">
      <w:start w:val="1"/>
      <w:numFmt w:val="decimal"/>
      <w:lvlText w:val="%1."/>
      <w:lvlJc w:val="left"/>
      <w:pPr>
        <w:ind w:left="720" w:hanging="360"/>
      </w:pPr>
      <w:rPr>
        <w:rFonts w:eastAsiaTheme="minorHAnsi" w:cstheme="minorBidi"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0"/>
  </w:num>
  <w:num w:numId="3">
    <w:abstractNumId w:val="2"/>
  </w:num>
  <w:num w:numId="4">
    <w:abstractNumId w:val="6"/>
  </w:num>
  <w:num w:numId="5">
    <w:abstractNumId w:val="9"/>
  </w:num>
  <w:num w:numId="6">
    <w:abstractNumId w:val="4"/>
  </w:num>
  <w:num w:numId="7">
    <w:abstractNumId w:val="8"/>
  </w:num>
  <w:num w:numId="8">
    <w:abstractNumId w:val="0"/>
  </w:num>
  <w:num w:numId="9">
    <w:abstractNumId w:val="5"/>
  </w:num>
  <w:num w:numId="10">
    <w:abstractNumId w:val="7"/>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251C8D"/>
    <w:rsid w:val="000A7344"/>
    <w:rsid w:val="000D665A"/>
    <w:rsid w:val="000E414B"/>
    <w:rsid w:val="00251C8D"/>
    <w:rsid w:val="00275B42"/>
    <w:rsid w:val="00330EC7"/>
    <w:rsid w:val="004C2BE5"/>
    <w:rsid w:val="00682379"/>
    <w:rsid w:val="00731C01"/>
    <w:rsid w:val="007920AD"/>
    <w:rsid w:val="00930C3C"/>
    <w:rsid w:val="00A26159"/>
    <w:rsid w:val="00A902BC"/>
    <w:rsid w:val="00B51FBD"/>
    <w:rsid w:val="00CE7B78"/>
    <w:rsid w:val="00DD689E"/>
    <w:rsid w:val="00E038A9"/>
    <w:rsid w:val="00E54C09"/>
    <w:rsid w:val="00EC506E"/>
    <w:rsid w:val="00ED158C"/>
    <w:rsid w:val="00F93FA0"/>
    <w:rsid w:val="00FE4A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E96BE"/>
  <w15:chartTrackingRefBased/>
  <w15:docId w15:val="{494F7F85-FD5D-4B79-8829-5C24C9BCA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51C8D"/>
    <w:pPr>
      <w:spacing w:after="100" w:afterAutospacing="1" w:line="480" w:lineRule="auto"/>
    </w:pPr>
  </w:style>
  <w:style w:type="paragraph" w:styleId="Heading1">
    <w:name w:val="heading 1"/>
    <w:basedOn w:val="Normal"/>
    <w:next w:val="Normal"/>
    <w:link w:val="Heading1Char"/>
    <w:uiPriority w:val="9"/>
    <w:qFormat/>
    <w:rsid w:val="00251C8D"/>
    <w:pPr>
      <w:keepNext/>
      <w:keepLines/>
      <w:spacing w:before="240" w:after="0"/>
      <w:outlineLvl w:val="0"/>
    </w:pPr>
    <w:rPr>
      <w:rFonts w:eastAsiaTheme="majorEastAsia" w:cstheme="majorBidi"/>
      <w:b/>
      <w:sz w:val="28"/>
      <w:szCs w:val="32"/>
    </w:rPr>
  </w:style>
  <w:style w:type="paragraph" w:styleId="Heading2">
    <w:name w:val="heading 2"/>
    <w:basedOn w:val="Heading1"/>
    <w:next w:val="Normal"/>
    <w:link w:val="Heading2Char"/>
    <w:qFormat/>
    <w:rsid w:val="00251C8D"/>
    <w:pPr>
      <w:numPr>
        <w:ilvl w:val="1"/>
      </w:numPr>
      <w:tabs>
        <w:tab w:val="left" w:pos="1080"/>
      </w:tabs>
      <w:spacing w:before="0" w:afterAutospacing="0"/>
      <w:ind w:left="1080" w:hanging="1080"/>
      <w:outlineLvl w:val="1"/>
    </w:pPr>
    <w:rPr>
      <w:rFonts w:eastAsia="Calibri" w:cs="Times New Roman"/>
      <w:iCs/>
      <w:kern w:val="32"/>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51C8D"/>
    <w:rPr>
      <w:rFonts w:eastAsiaTheme="majorEastAsia" w:cstheme="majorBidi"/>
      <w:b/>
      <w:sz w:val="28"/>
      <w:szCs w:val="32"/>
    </w:rPr>
  </w:style>
  <w:style w:type="character" w:customStyle="1" w:styleId="Heading2Char">
    <w:name w:val="Heading 2 Char"/>
    <w:basedOn w:val="DefaultParagraphFont"/>
    <w:link w:val="Heading2"/>
    <w:rsid w:val="00251C8D"/>
    <w:rPr>
      <w:rFonts w:eastAsia="Calibri" w:cs="Times New Roman"/>
      <w:b/>
      <w:iCs/>
      <w:kern w:val="32"/>
      <w:sz w:val="26"/>
      <w:szCs w:val="26"/>
    </w:rPr>
  </w:style>
  <w:style w:type="character" w:styleId="CommentReference">
    <w:name w:val="annotation reference"/>
    <w:basedOn w:val="DefaultParagraphFont"/>
    <w:uiPriority w:val="99"/>
    <w:unhideWhenUsed/>
    <w:rsid w:val="00251C8D"/>
    <w:rPr>
      <w:sz w:val="16"/>
      <w:szCs w:val="16"/>
    </w:rPr>
  </w:style>
  <w:style w:type="paragraph" w:styleId="CommentText">
    <w:name w:val="annotation text"/>
    <w:basedOn w:val="Normal"/>
    <w:link w:val="CommentTextChar"/>
    <w:uiPriority w:val="99"/>
    <w:unhideWhenUsed/>
    <w:rsid w:val="00251C8D"/>
    <w:pPr>
      <w:spacing w:line="240" w:lineRule="auto"/>
    </w:pPr>
    <w:rPr>
      <w:sz w:val="20"/>
      <w:szCs w:val="20"/>
    </w:rPr>
  </w:style>
  <w:style w:type="character" w:customStyle="1" w:styleId="CommentTextChar">
    <w:name w:val="Comment Text Char"/>
    <w:basedOn w:val="DefaultParagraphFont"/>
    <w:link w:val="CommentText"/>
    <w:uiPriority w:val="99"/>
    <w:rsid w:val="00251C8D"/>
    <w:rPr>
      <w:sz w:val="20"/>
      <w:szCs w:val="20"/>
    </w:rPr>
  </w:style>
  <w:style w:type="paragraph" w:styleId="CommentSubject">
    <w:name w:val="annotation subject"/>
    <w:basedOn w:val="CommentText"/>
    <w:next w:val="CommentText"/>
    <w:link w:val="CommentSubjectChar"/>
    <w:uiPriority w:val="99"/>
    <w:semiHidden/>
    <w:unhideWhenUsed/>
    <w:rsid w:val="00251C8D"/>
    <w:rPr>
      <w:b/>
      <w:bCs/>
    </w:rPr>
  </w:style>
  <w:style w:type="character" w:customStyle="1" w:styleId="CommentSubjectChar">
    <w:name w:val="Comment Subject Char"/>
    <w:basedOn w:val="CommentTextChar"/>
    <w:link w:val="CommentSubject"/>
    <w:uiPriority w:val="99"/>
    <w:semiHidden/>
    <w:rsid w:val="00251C8D"/>
    <w:rPr>
      <w:b/>
      <w:bCs/>
      <w:sz w:val="20"/>
      <w:szCs w:val="20"/>
    </w:rPr>
  </w:style>
  <w:style w:type="paragraph" w:styleId="BalloonText">
    <w:name w:val="Balloon Text"/>
    <w:basedOn w:val="Normal"/>
    <w:link w:val="BalloonTextChar"/>
    <w:uiPriority w:val="99"/>
    <w:semiHidden/>
    <w:unhideWhenUsed/>
    <w:rsid w:val="00251C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1C8D"/>
    <w:rPr>
      <w:rFonts w:ascii="Segoe UI" w:hAnsi="Segoe UI" w:cs="Segoe UI"/>
      <w:sz w:val="18"/>
      <w:szCs w:val="18"/>
    </w:rPr>
  </w:style>
  <w:style w:type="paragraph" w:styleId="ListParagraph">
    <w:name w:val="List Paragraph"/>
    <w:basedOn w:val="Normal"/>
    <w:uiPriority w:val="34"/>
    <w:qFormat/>
    <w:rsid w:val="00251C8D"/>
    <w:pPr>
      <w:ind w:left="720"/>
      <w:contextualSpacing/>
    </w:pPr>
  </w:style>
  <w:style w:type="paragraph" w:styleId="Header">
    <w:name w:val="header"/>
    <w:basedOn w:val="Normal"/>
    <w:link w:val="HeaderChar"/>
    <w:uiPriority w:val="99"/>
    <w:unhideWhenUsed/>
    <w:rsid w:val="00251C8D"/>
    <w:pPr>
      <w:tabs>
        <w:tab w:val="center" w:pos="4513"/>
        <w:tab w:val="right" w:pos="9026"/>
      </w:tabs>
      <w:spacing w:after="0" w:line="240" w:lineRule="auto"/>
    </w:pPr>
  </w:style>
  <w:style w:type="character" w:customStyle="1" w:styleId="HeaderChar">
    <w:name w:val="Header Char"/>
    <w:basedOn w:val="DefaultParagraphFont"/>
    <w:link w:val="Header"/>
    <w:uiPriority w:val="99"/>
    <w:rsid w:val="00251C8D"/>
  </w:style>
  <w:style w:type="paragraph" w:styleId="Footer">
    <w:name w:val="footer"/>
    <w:basedOn w:val="Normal"/>
    <w:link w:val="FooterChar"/>
    <w:uiPriority w:val="99"/>
    <w:unhideWhenUsed/>
    <w:rsid w:val="00251C8D"/>
    <w:pPr>
      <w:tabs>
        <w:tab w:val="center" w:pos="4513"/>
        <w:tab w:val="right" w:pos="9026"/>
      </w:tabs>
      <w:spacing w:after="0" w:line="240" w:lineRule="auto"/>
    </w:pPr>
  </w:style>
  <w:style w:type="character" w:customStyle="1" w:styleId="FooterChar">
    <w:name w:val="Footer Char"/>
    <w:basedOn w:val="DefaultParagraphFont"/>
    <w:link w:val="Footer"/>
    <w:uiPriority w:val="99"/>
    <w:rsid w:val="00251C8D"/>
  </w:style>
  <w:style w:type="table" w:styleId="TableGrid">
    <w:name w:val="Table Grid"/>
    <w:basedOn w:val="TableNormal"/>
    <w:uiPriority w:val="59"/>
    <w:rsid w:val="00251C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251C8D"/>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251C8D"/>
    <w:rPr>
      <w:rFonts w:ascii="Calibri" w:hAnsi="Calibri" w:cs="Calibri"/>
      <w:noProof/>
      <w:lang w:val="en-US"/>
    </w:rPr>
  </w:style>
  <w:style w:type="paragraph" w:customStyle="1" w:styleId="EndNoteBibliography">
    <w:name w:val="EndNote Bibliography"/>
    <w:basedOn w:val="Normal"/>
    <w:link w:val="EndNoteBibliographyChar"/>
    <w:rsid w:val="00251C8D"/>
    <w:rPr>
      <w:rFonts w:ascii="Calibri" w:hAnsi="Calibri" w:cs="Calibri"/>
      <w:noProof/>
      <w:lang w:val="en-US"/>
    </w:rPr>
  </w:style>
  <w:style w:type="character" w:customStyle="1" w:styleId="EndNoteBibliographyChar">
    <w:name w:val="EndNote Bibliography Char"/>
    <w:basedOn w:val="DefaultParagraphFont"/>
    <w:link w:val="EndNoteBibliography"/>
    <w:rsid w:val="00251C8D"/>
    <w:rPr>
      <w:rFonts w:ascii="Calibri" w:hAnsi="Calibri" w:cs="Calibri"/>
      <w:noProof/>
      <w:lang w:val="en-US"/>
    </w:rPr>
  </w:style>
  <w:style w:type="character" w:styleId="Hyperlink">
    <w:name w:val="Hyperlink"/>
    <w:basedOn w:val="DefaultParagraphFont"/>
    <w:uiPriority w:val="99"/>
    <w:unhideWhenUsed/>
    <w:rsid w:val="00251C8D"/>
    <w:rPr>
      <w:color w:val="0563C1" w:themeColor="hyperlink"/>
      <w:u w:val="single"/>
    </w:rPr>
  </w:style>
  <w:style w:type="paragraph" w:styleId="Revision">
    <w:name w:val="Revision"/>
    <w:hidden/>
    <w:uiPriority w:val="99"/>
    <w:semiHidden/>
    <w:rsid w:val="00251C8D"/>
    <w:pPr>
      <w:spacing w:after="0" w:line="240" w:lineRule="auto"/>
    </w:pPr>
  </w:style>
  <w:style w:type="table" w:customStyle="1" w:styleId="TableGrid1">
    <w:name w:val="Table Grid1"/>
    <w:basedOn w:val="TableNormal"/>
    <w:next w:val="TableGrid"/>
    <w:uiPriority w:val="59"/>
    <w:rsid w:val="00251C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251C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afterAutospacing="0" w:line="240" w:lineRule="auto"/>
    </w:pPr>
    <w:rPr>
      <w:rFonts w:ascii="Courier New" w:eastAsia="Times New Roman" w:hAnsi="Courier New" w:cs="Courier New"/>
      <w:sz w:val="20"/>
      <w:szCs w:val="20"/>
      <w:lang w:val="en-NZ" w:eastAsia="en-NZ"/>
    </w:rPr>
  </w:style>
  <w:style w:type="character" w:customStyle="1" w:styleId="HTMLPreformattedChar">
    <w:name w:val="HTML Preformatted Char"/>
    <w:basedOn w:val="DefaultParagraphFont"/>
    <w:link w:val="HTMLPreformatted"/>
    <w:uiPriority w:val="99"/>
    <w:semiHidden/>
    <w:rsid w:val="00251C8D"/>
    <w:rPr>
      <w:rFonts w:ascii="Courier New" w:eastAsia="Times New Roman" w:hAnsi="Courier New" w:cs="Courier New"/>
      <w:sz w:val="20"/>
      <w:szCs w:val="20"/>
      <w:lang w:val="en-NZ" w:eastAsia="en-NZ"/>
    </w:rPr>
  </w:style>
  <w:style w:type="table" w:customStyle="1" w:styleId="TableGrid2">
    <w:name w:val="Table Grid2"/>
    <w:basedOn w:val="TableNormal"/>
    <w:next w:val="TableGrid"/>
    <w:uiPriority w:val="59"/>
    <w:rsid w:val="00251C8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251C8D"/>
    <w:rPr>
      <w:color w:val="808080"/>
      <w:shd w:val="clear" w:color="auto" w:fill="E6E6E6"/>
    </w:rPr>
  </w:style>
  <w:style w:type="character" w:customStyle="1" w:styleId="UnresolvedMention2">
    <w:name w:val="Unresolved Mention2"/>
    <w:basedOn w:val="DefaultParagraphFont"/>
    <w:uiPriority w:val="99"/>
    <w:semiHidden/>
    <w:unhideWhenUsed/>
    <w:rsid w:val="00251C8D"/>
    <w:rPr>
      <w:color w:val="808080"/>
      <w:shd w:val="clear" w:color="auto" w:fill="E6E6E6"/>
    </w:rPr>
  </w:style>
  <w:style w:type="character" w:styleId="UnresolvedMention">
    <w:name w:val="Unresolved Mention"/>
    <w:basedOn w:val="DefaultParagraphFont"/>
    <w:uiPriority w:val="99"/>
    <w:semiHidden/>
    <w:unhideWhenUsed/>
    <w:rsid w:val="00251C8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3837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467</Words>
  <Characters>2667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Roberts</dc:creator>
  <cp:keywords/>
  <dc:description/>
  <cp:lastModifiedBy>Eleanor Roberts</cp:lastModifiedBy>
  <cp:revision>7</cp:revision>
  <dcterms:created xsi:type="dcterms:W3CDTF">2018-07-27T14:51:00Z</dcterms:created>
  <dcterms:modified xsi:type="dcterms:W3CDTF">2018-10-15T12:42:00Z</dcterms:modified>
</cp:coreProperties>
</file>