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BDF139" w14:textId="77777777" w:rsidR="00C23D56" w:rsidRDefault="00C23D56" w:rsidP="00AE024E">
      <w:pPr>
        <w:rPr>
          <w:rFonts w:asciiTheme="majorHAnsi" w:eastAsiaTheme="majorEastAsia" w:hAnsiTheme="majorHAnsi" w:cstheme="majorBidi"/>
          <w:b/>
          <w:sz w:val="26"/>
          <w:szCs w:val="26"/>
        </w:rPr>
      </w:pPr>
      <w:r w:rsidRPr="00C23D56">
        <w:rPr>
          <w:rFonts w:asciiTheme="majorHAnsi" w:eastAsiaTheme="majorEastAsia" w:hAnsiTheme="majorHAnsi" w:cstheme="majorBidi"/>
          <w:b/>
          <w:sz w:val="26"/>
          <w:szCs w:val="26"/>
        </w:rPr>
        <w:t xml:space="preserve">Holobiont nitrogen control and its potential for eutrophication resistance in an obligate photosymbiotic jellyfish </w:t>
      </w:r>
    </w:p>
    <w:p w14:paraId="5EF65EA5" w14:textId="0BDBFB5D" w:rsidR="00AE024E" w:rsidRPr="00C128E6" w:rsidRDefault="00AE024E" w:rsidP="00AE024E">
      <w:r w:rsidRPr="00C128E6">
        <w:t>Till Röthig</w:t>
      </w:r>
      <w:r w:rsidRPr="00C128E6">
        <w:rPr>
          <w:vertAlign w:val="superscript"/>
        </w:rPr>
        <w:t>1</w:t>
      </w:r>
      <w:proofErr w:type="gramStart"/>
      <w:r w:rsidRPr="00C128E6">
        <w:rPr>
          <w:vertAlign w:val="superscript"/>
        </w:rPr>
        <w:t>,2</w:t>
      </w:r>
      <w:proofErr w:type="gramEnd"/>
      <w:r w:rsidRPr="00C128E6">
        <w:rPr>
          <w:vertAlign w:val="superscript"/>
        </w:rPr>
        <w:t>,#,*</w:t>
      </w:r>
      <w:r w:rsidRPr="00C128E6">
        <w:t>, Giulia Puntin</w:t>
      </w:r>
      <w:r w:rsidRPr="00C128E6">
        <w:rPr>
          <w:vertAlign w:val="superscript"/>
        </w:rPr>
        <w:t>1,3,#</w:t>
      </w:r>
      <w:r w:rsidRPr="00C128E6">
        <w:t>, Jane CY Wong</w:t>
      </w:r>
      <w:r w:rsidRPr="00C128E6">
        <w:rPr>
          <w:vertAlign w:val="superscript"/>
        </w:rPr>
        <w:t>1</w:t>
      </w:r>
      <w:r w:rsidRPr="00C128E6">
        <w:t xml:space="preserve">, </w:t>
      </w:r>
      <w:r>
        <w:t>Alfred Burian</w:t>
      </w:r>
      <w:r w:rsidRPr="0003346F">
        <w:rPr>
          <w:vertAlign w:val="superscript"/>
        </w:rPr>
        <w:t>4</w:t>
      </w:r>
      <w:r>
        <w:t xml:space="preserve">, </w:t>
      </w:r>
      <w:r w:rsidRPr="00C128E6">
        <w:t>Wendy McLeod</w:t>
      </w:r>
      <w:r w:rsidRPr="00C128E6">
        <w:rPr>
          <w:vertAlign w:val="superscript"/>
        </w:rPr>
        <w:t>1</w:t>
      </w:r>
      <w:r w:rsidRPr="00C128E6">
        <w:t>, David M Baker</w:t>
      </w:r>
      <w:r w:rsidRPr="00C128E6">
        <w:rPr>
          <w:vertAlign w:val="superscript"/>
        </w:rPr>
        <w:t>1,*</w:t>
      </w:r>
    </w:p>
    <w:p w14:paraId="2C99D714" w14:textId="77777777" w:rsidR="00AE024E" w:rsidRPr="00C128E6" w:rsidRDefault="00AE024E" w:rsidP="00AE024E"/>
    <w:p w14:paraId="24DCECC3" w14:textId="77777777" w:rsidR="00AE024E" w:rsidRPr="00C128E6" w:rsidRDefault="00AE024E" w:rsidP="00AE024E"/>
    <w:p w14:paraId="4A73CE27" w14:textId="77777777" w:rsidR="00AE024E" w:rsidRDefault="00AE024E" w:rsidP="00AE024E">
      <w:r w:rsidRPr="00C128E6">
        <w:rPr>
          <w:vertAlign w:val="superscript"/>
        </w:rPr>
        <w:t>1</w:t>
      </w:r>
      <w:r w:rsidRPr="00C128E6">
        <w:t xml:space="preserve"> The Swire Institute of Marine Science and School of Biological Sciences, The University of Hong Kong, Hong Kong, SAR</w:t>
      </w:r>
    </w:p>
    <w:p w14:paraId="57B89BC9" w14:textId="77777777" w:rsidR="00AE024E" w:rsidRPr="00C128E6" w:rsidRDefault="00AE024E" w:rsidP="00AE024E">
      <w:r w:rsidRPr="0003346F">
        <w:rPr>
          <w:vertAlign w:val="superscript"/>
        </w:rPr>
        <w:t>2</w:t>
      </w:r>
      <w:r w:rsidRPr="0003346F">
        <w:t>Department of Biology, University of Konstanz, Konstanz, Germany</w:t>
      </w:r>
    </w:p>
    <w:p w14:paraId="603D6441" w14:textId="77777777" w:rsidR="00AE024E" w:rsidRDefault="00AE024E" w:rsidP="00AE024E">
      <w:r w:rsidRPr="00C128E6">
        <w:rPr>
          <w:vertAlign w:val="superscript"/>
        </w:rPr>
        <w:t>3</w:t>
      </w:r>
      <w:r w:rsidRPr="00C128E6">
        <w:t xml:space="preserve"> Department of Animal Ecology &amp; Systematics, Justus Liebig University, Giessen, Germany</w:t>
      </w:r>
    </w:p>
    <w:p w14:paraId="2E3C0395" w14:textId="77777777" w:rsidR="00AE024E" w:rsidRPr="00C128E6" w:rsidRDefault="00AE024E" w:rsidP="00AE024E">
      <w:r>
        <w:rPr>
          <w:vertAlign w:val="superscript"/>
        </w:rPr>
        <w:t>4</w:t>
      </w:r>
      <w:r w:rsidRPr="00C128E6">
        <w:t xml:space="preserve"> Aquatic Research Facility, Environmental Sustainability Research Centre, University of Derby, Derby, United Kingdom</w:t>
      </w:r>
    </w:p>
    <w:p w14:paraId="4F62292B" w14:textId="77777777" w:rsidR="00AE024E" w:rsidRPr="00C128E6" w:rsidRDefault="00AE024E" w:rsidP="00AE024E"/>
    <w:p w14:paraId="03D23FC0" w14:textId="77777777" w:rsidR="00AE024E" w:rsidRPr="00C128E6" w:rsidRDefault="00AE024E" w:rsidP="00AE024E">
      <w:r w:rsidRPr="00C128E6">
        <w:t># contributed equally</w:t>
      </w:r>
    </w:p>
    <w:p w14:paraId="33E45628" w14:textId="77777777" w:rsidR="00AE024E" w:rsidRPr="00C128E6" w:rsidRDefault="00AE024E" w:rsidP="00AE024E">
      <w:pPr>
        <w:spacing w:line="480" w:lineRule="auto"/>
        <w:rPr>
          <w:rFonts w:eastAsia="Times New Roman"/>
        </w:rPr>
      </w:pPr>
      <w:r w:rsidRPr="00C128E6">
        <w:rPr>
          <w:rFonts w:eastAsia="Times New Roman"/>
        </w:rPr>
        <w:t>* Corresponding author</w:t>
      </w:r>
    </w:p>
    <w:p w14:paraId="2FED888C" w14:textId="77777777" w:rsidR="00324964" w:rsidRPr="00AE024E" w:rsidRDefault="00324964" w:rsidP="00324964">
      <w:pPr>
        <w:pStyle w:val="Heading1"/>
        <w:rPr>
          <w:rFonts w:ascii="Arial" w:hAnsi="Arial" w:cs="Arial"/>
        </w:rPr>
      </w:pPr>
    </w:p>
    <w:p w14:paraId="469C2AA4" w14:textId="77777777" w:rsidR="00324964" w:rsidRPr="00935B84" w:rsidRDefault="00324964" w:rsidP="00324964">
      <w:pPr>
        <w:pStyle w:val="Heading1"/>
        <w:rPr>
          <w:rFonts w:ascii="Arial" w:hAnsi="Arial" w:cs="Arial"/>
          <w:lang w:val="en-GB"/>
        </w:rPr>
      </w:pPr>
    </w:p>
    <w:p w14:paraId="701CAFDD" w14:textId="77777777" w:rsidR="00324964" w:rsidRPr="00935B84" w:rsidRDefault="00324964" w:rsidP="00324964">
      <w:pPr>
        <w:rPr>
          <w:rFonts w:ascii="Arial" w:hAnsi="Arial" w:cs="Arial"/>
          <w:lang w:val="en-GB"/>
        </w:rPr>
      </w:pPr>
    </w:p>
    <w:p w14:paraId="1793ACC5" w14:textId="77777777" w:rsidR="00324964" w:rsidRPr="00935B84" w:rsidRDefault="00324964" w:rsidP="00324964">
      <w:pPr>
        <w:rPr>
          <w:rFonts w:ascii="Arial" w:hAnsi="Arial" w:cs="Arial"/>
          <w:lang w:val="en-GB"/>
        </w:rPr>
      </w:pPr>
    </w:p>
    <w:p w14:paraId="1757C23B" w14:textId="77777777" w:rsidR="00324964" w:rsidRPr="00935B84" w:rsidRDefault="00324964" w:rsidP="00324964">
      <w:pPr>
        <w:rPr>
          <w:rFonts w:ascii="Arial" w:hAnsi="Arial" w:cs="Arial"/>
          <w:lang w:val="en-GB"/>
        </w:rPr>
      </w:pPr>
    </w:p>
    <w:p w14:paraId="1CC321E9" w14:textId="77777777" w:rsidR="00324964" w:rsidRPr="00935B84" w:rsidRDefault="00324964" w:rsidP="00324964">
      <w:pPr>
        <w:rPr>
          <w:rFonts w:ascii="Arial" w:hAnsi="Arial" w:cs="Arial"/>
          <w:lang w:val="en-GB"/>
        </w:rPr>
      </w:pPr>
    </w:p>
    <w:p w14:paraId="1146E898" w14:textId="77777777" w:rsidR="00C23D56" w:rsidRDefault="00324964" w:rsidP="00AE024E">
      <w:pPr>
        <w:ind w:left="720" w:hanging="720"/>
        <w:rPr>
          <w:rFonts w:ascii="Arial" w:hAnsi="Arial" w:cs="Arial"/>
          <w:b/>
          <w:sz w:val="24"/>
          <w:szCs w:val="24"/>
          <w:lang w:val="en-GB"/>
        </w:rPr>
      </w:pPr>
      <w:r w:rsidRPr="00935B84">
        <w:rPr>
          <w:rFonts w:ascii="Arial" w:hAnsi="Arial" w:cs="Arial"/>
          <w:b/>
          <w:sz w:val="24"/>
          <w:szCs w:val="24"/>
          <w:lang w:val="en-GB"/>
        </w:rPr>
        <w:t xml:space="preserve">Additional Information File </w:t>
      </w:r>
      <w:r w:rsidR="008F3F92">
        <w:rPr>
          <w:rFonts w:ascii="Arial" w:hAnsi="Arial" w:cs="Arial"/>
          <w:b/>
          <w:sz w:val="24"/>
          <w:szCs w:val="24"/>
          <w:lang w:val="en-GB"/>
        </w:rPr>
        <w:t>2</w:t>
      </w:r>
      <w:r w:rsidRPr="00935B84">
        <w:rPr>
          <w:rFonts w:ascii="Arial" w:hAnsi="Arial" w:cs="Arial"/>
          <w:b/>
          <w:sz w:val="24"/>
          <w:szCs w:val="24"/>
          <w:lang w:val="en-GB"/>
        </w:rPr>
        <w:t xml:space="preserve"> – </w:t>
      </w:r>
      <w:r w:rsidR="00AE024E">
        <w:rPr>
          <w:rFonts w:ascii="Arial" w:hAnsi="Arial" w:cs="Arial"/>
          <w:b/>
          <w:sz w:val="24"/>
          <w:szCs w:val="24"/>
          <w:lang w:val="en-GB"/>
        </w:rPr>
        <w:t xml:space="preserve">Extended Material and Methods, </w:t>
      </w:r>
    </w:p>
    <w:p w14:paraId="04F89E45" w14:textId="6855BF78" w:rsidR="00324964" w:rsidRPr="00935B84" w:rsidRDefault="00AE024E" w:rsidP="00C23D56">
      <w:pPr>
        <w:ind w:left="2880" w:firstLine="720"/>
        <w:rPr>
          <w:rFonts w:ascii="Arial" w:hAnsi="Arial" w:cs="Arial"/>
          <w:b/>
          <w:sz w:val="24"/>
          <w:szCs w:val="24"/>
          <w:lang w:val="en-GB"/>
        </w:rPr>
      </w:pPr>
      <w:r>
        <w:rPr>
          <w:rFonts w:ascii="Arial" w:hAnsi="Arial" w:cs="Arial"/>
          <w:b/>
          <w:sz w:val="24"/>
          <w:szCs w:val="24"/>
          <w:lang w:val="en-GB"/>
        </w:rPr>
        <w:t>OTU based microbial analysis</w:t>
      </w:r>
    </w:p>
    <w:p w14:paraId="50DC8080" w14:textId="77777777" w:rsidR="002D433E" w:rsidRPr="00935B84" w:rsidRDefault="002D433E">
      <w:pPr>
        <w:rPr>
          <w:rFonts w:ascii="Arial" w:hAnsi="Arial" w:cs="Arial"/>
          <w:lang w:val="en-GB"/>
        </w:rPr>
      </w:pPr>
    </w:p>
    <w:p w14:paraId="363A9A9F" w14:textId="77777777" w:rsidR="00324964" w:rsidRPr="00935B84" w:rsidRDefault="00324964">
      <w:pPr>
        <w:rPr>
          <w:rFonts w:ascii="Arial" w:hAnsi="Arial" w:cs="Arial"/>
          <w:lang w:val="en-GB"/>
        </w:rPr>
      </w:pPr>
    </w:p>
    <w:p w14:paraId="014AA3BA" w14:textId="77777777" w:rsidR="00324964" w:rsidRPr="00935B84" w:rsidRDefault="00324964">
      <w:pPr>
        <w:rPr>
          <w:rFonts w:ascii="Arial" w:hAnsi="Arial" w:cs="Arial"/>
          <w:lang w:val="en-GB"/>
        </w:rPr>
      </w:pPr>
    </w:p>
    <w:p w14:paraId="2777C182" w14:textId="77777777" w:rsidR="00324964" w:rsidRPr="00935B84" w:rsidRDefault="00324964">
      <w:pPr>
        <w:rPr>
          <w:rFonts w:ascii="Arial" w:hAnsi="Arial" w:cs="Arial"/>
          <w:lang w:val="en-GB"/>
        </w:rPr>
      </w:pPr>
    </w:p>
    <w:p w14:paraId="38474EC7" w14:textId="77777777" w:rsidR="00324964" w:rsidRPr="00935B84" w:rsidRDefault="00324964">
      <w:pPr>
        <w:rPr>
          <w:rFonts w:ascii="Arial" w:hAnsi="Arial" w:cs="Arial"/>
          <w:lang w:val="en-GB"/>
        </w:rPr>
      </w:pPr>
    </w:p>
    <w:p w14:paraId="22A5F044" w14:textId="77777777" w:rsidR="00324964" w:rsidRPr="00935B84" w:rsidRDefault="00324964">
      <w:pPr>
        <w:rPr>
          <w:rFonts w:ascii="Arial" w:hAnsi="Arial" w:cs="Arial"/>
          <w:lang w:val="en-GB"/>
        </w:rPr>
      </w:pPr>
    </w:p>
    <w:p w14:paraId="52FF12E7" w14:textId="77777777" w:rsidR="00324964" w:rsidRPr="00935B84" w:rsidRDefault="00324964">
      <w:pPr>
        <w:rPr>
          <w:rFonts w:ascii="Arial" w:hAnsi="Arial" w:cs="Arial"/>
          <w:lang w:val="en-GB"/>
        </w:rPr>
      </w:pPr>
    </w:p>
    <w:p w14:paraId="16966013" w14:textId="7E5589A9" w:rsidR="00AE024E" w:rsidRDefault="00E67ADB" w:rsidP="007B7BB1">
      <w:pPr>
        <w:pStyle w:val="Heading4"/>
        <w:spacing w:line="480" w:lineRule="auto"/>
        <w:rPr>
          <w:rFonts w:asciiTheme="minorHAnsi" w:hAnsiTheme="minorHAnsi" w:cstheme="minorHAnsi"/>
          <w:b/>
          <w:i w:val="0"/>
          <w:color w:val="auto"/>
          <w:sz w:val="24"/>
          <w:szCs w:val="24"/>
        </w:rPr>
      </w:pPr>
      <w:r>
        <w:rPr>
          <w:rFonts w:asciiTheme="minorHAnsi" w:hAnsiTheme="minorHAnsi" w:cstheme="minorHAnsi"/>
          <w:b/>
          <w:i w:val="0"/>
          <w:color w:val="auto"/>
          <w:sz w:val="24"/>
          <w:szCs w:val="24"/>
          <w:lang w:val="en-GB"/>
        </w:rPr>
        <w:lastRenderedPageBreak/>
        <w:t xml:space="preserve">Text S1: </w:t>
      </w:r>
      <w:r w:rsidR="00AE024E">
        <w:rPr>
          <w:rFonts w:asciiTheme="minorHAnsi" w:hAnsiTheme="minorHAnsi" w:cstheme="minorHAnsi"/>
          <w:b/>
          <w:i w:val="0"/>
          <w:color w:val="auto"/>
          <w:sz w:val="24"/>
          <w:szCs w:val="24"/>
        </w:rPr>
        <w:t>Extended Material and Methods</w:t>
      </w:r>
    </w:p>
    <w:p w14:paraId="7194C03F" w14:textId="77777777" w:rsidR="007B7BB1" w:rsidRPr="00AE024E" w:rsidRDefault="007B7BB1" w:rsidP="00AE024E">
      <w:pPr>
        <w:pStyle w:val="Heading4"/>
        <w:spacing w:line="240" w:lineRule="auto"/>
        <w:rPr>
          <w:rFonts w:asciiTheme="minorHAnsi" w:hAnsiTheme="minorHAnsi" w:cstheme="minorHAnsi"/>
          <w:i w:val="0"/>
          <w:color w:val="auto"/>
        </w:rPr>
      </w:pPr>
      <w:r w:rsidRPr="00AE024E">
        <w:rPr>
          <w:rFonts w:asciiTheme="minorHAnsi" w:hAnsiTheme="minorHAnsi" w:cstheme="minorHAnsi"/>
          <w:i w:val="0"/>
          <w:color w:val="auto"/>
        </w:rPr>
        <w:t>Samples processing</w:t>
      </w:r>
    </w:p>
    <w:p w14:paraId="72A03655" w14:textId="77777777" w:rsidR="007B7BB1" w:rsidRDefault="007B7BB1" w:rsidP="00AE024E">
      <w:pPr>
        <w:spacing w:line="240" w:lineRule="auto"/>
      </w:pPr>
      <w:r>
        <w:t xml:space="preserve">Frozen </w:t>
      </w:r>
      <w:r>
        <w:rPr>
          <w:i/>
        </w:rPr>
        <w:t xml:space="preserve">C. xamachana </w:t>
      </w:r>
      <w:r>
        <w:t xml:space="preserve">samples were crushed with clean and sterile pestle and mortar and further homogenized (30 s at medium-high speed, Tissue </w:t>
      </w:r>
      <w:proofErr w:type="spellStart"/>
      <w:r>
        <w:t>Tearor</w:t>
      </w:r>
      <w:proofErr w:type="spellEnd"/>
      <w:r>
        <w:t xml:space="preserve">, </w:t>
      </w:r>
      <w:proofErr w:type="spellStart"/>
      <w:r>
        <w:t>Biospec</w:t>
      </w:r>
      <w:proofErr w:type="spellEnd"/>
      <w:r>
        <w:t xml:space="preserve">). Then 400 µL aliquots from the 15 individuals sampled at T1 (after pulse; treatments SymL, SymD, and ApoL) samples were taken for analyses of the associated microbial communities (see below). The tissue homogenate of each sample was then separated by centrifugation into host and algal symbiont fractions. Homogenates were centrifuged (490 × g for 5 min), the supernatant containing mostly host tissue was centrifuged again (3000 × g for 5 min) to remove the remaining algal cells (pellet discarded). The supernatant was frozen at -20°C for host SIA. The algal pellet produced in the first spin was rinsed twice by adding reverse osmosis (RO) water, and additional centrifugation (3000 × g for 5 min). To subsample for algal cell counts, the pellet was re-suspended in 2 mL, of which 100 µL were transferred into 1.5 mL 95 % ethanol, chilled at -20°C, then </w:t>
      </w:r>
      <w:r w:rsidRPr="00544DBA">
        <w:rPr>
          <w:i/>
        </w:rPr>
        <w:t>Symbiodiniaceae</w:t>
      </w:r>
      <w:r w:rsidRPr="009D263C">
        <w:rPr>
          <w:iCs/>
        </w:rPr>
        <w:t xml:space="preserve"> </w:t>
      </w:r>
      <w:r>
        <w:t xml:space="preserve">cells were counted using a </w:t>
      </w:r>
      <w:proofErr w:type="spellStart"/>
      <w:r>
        <w:t>Neubauer</w:t>
      </w:r>
      <w:proofErr w:type="spellEnd"/>
      <w:r>
        <w:t xml:space="preserve"> hemocytometer under a light microscope (Olympus Optical, mod. CHK) at 400× magnification. Four counts were averaged per individual and </w:t>
      </w:r>
      <w:r w:rsidRPr="00544DBA">
        <w:rPr>
          <w:i/>
        </w:rPr>
        <w:t>Symbiodiniaceae</w:t>
      </w:r>
      <w:r w:rsidRPr="009D263C">
        <w:rPr>
          <w:iCs/>
        </w:rPr>
        <w:t xml:space="preserve"> </w:t>
      </w:r>
      <w:r>
        <w:t>density was calculated as cell number per g WW of jellyfish. The remaining algal suspension was centrifuged (3134 × g for 10 min) and the algal pellet was frozen at -20°C for SIA. Prior to SIA, algal pellet and host supernatant were freeze-dried, weighted and packed into 3 × 4 mm tin capsules. To avoid cross-contamination, controls and enriched samples were processed on different days and the latter prepared and analyzed separated by tissue fraction (host&lt;symbionts) and with predicted increasing enrichment (controls&lt;chase6h&lt;chase3h&lt;pulse).</w:t>
      </w:r>
    </w:p>
    <w:p w14:paraId="0702AD4F" w14:textId="11BF7CD4" w:rsidR="002F5E15" w:rsidRPr="00AE024E" w:rsidRDefault="002F5E15" w:rsidP="00AE024E">
      <w:pPr>
        <w:pStyle w:val="Heading4"/>
        <w:spacing w:line="240" w:lineRule="auto"/>
        <w:rPr>
          <w:rFonts w:asciiTheme="minorHAnsi" w:hAnsiTheme="minorHAnsi" w:cstheme="minorHAnsi"/>
          <w:i w:val="0"/>
          <w:color w:val="auto"/>
        </w:rPr>
      </w:pPr>
      <w:r w:rsidRPr="00AE024E">
        <w:rPr>
          <w:rFonts w:asciiTheme="minorHAnsi" w:hAnsiTheme="minorHAnsi" w:cstheme="minorHAnsi"/>
          <w:i w:val="0"/>
          <w:color w:val="auto"/>
        </w:rPr>
        <w:t>PCR conditions</w:t>
      </w:r>
    </w:p>
    <w:p w14:paraId="22DDDDC2" w14:textId="77777777" w:rsidR="002F5E15" w:rsidRDefault="002F5E15" w:rsidP="00AE024E">
      <w:pPr>
        <w:spacing w:line="240" w:lineRule="auto"/>
      </w:pPr>
      <w:r>
        <w:t>Amplifications were performed in triplicates and adjusted to a total volume of 20 µL each containing 10 µL PCR multiplex mix (</w:t>
      </w:r>
      <w:proofErr w:type="spellStart"/>
      <w:r>
        <w:t>Qiagen</w:t>
      </w:r>
      <w:proofErr w:type="spellEnd"/>
      <w:r>
        <w:t xml:space="preserve"> multiplex PCR kit), 0.5 µM of each primer, 1 µL template DNA containing 10 - 80 ng DNA, and H</w:t>
      </w:r>
      <w:r w:rsidRPr="00C14516">
        <w:rPr>
          <w:vertAlign w:val="subscript"/>
        </w:rPr>
        <w:t>2</w:t>
      </w:r>
      <w:r>
        <w:t xml:space="preserve">O. PCRs were set to an initial denaturation at 95°C for 15 min followed by 27 cycles each with 30 s at 95°C, 90 s at 55°C, and 30 s at 72°C. The final elongation was set at 72°C for 10 min. Successful amplifications were confirmed using 10 µl PCR products on a 2 % agarose gel, then triplicate PCRs were pooled for each sample. Samples were sent to the Centre for </w:t>
      </w:r>
      <w:proofErr w:type="spellStart"/>
      <w:r>
        <w:t>PanorOmic</w:t>
      </w:r>
      <w:proofErr w:type="spellEnd"/>
      <w:r>
        <w:t xml:space="preserve"> Sciences (CPOS), The University of Hong Kong, for library preparation, bead clean-up, pooling in equimolar ratios and sequencing on a </w:t>
      </w:r>
      <w:proofErr w:type="spellStart"/>
      <w:r>
        <w:t>MiSeq</w:t>
      </w:r>
      <w:proofErr w:type="spellEnd"/>
      <w:r>
        <w:t xml:space="preserve"> Nano v2 PE250 run with 20 % </w:t>
      </w:r>
      <w:proofErr w:type="spellStart"/>
      <w:r>
        <w:t>PHiX</w:t>
      </w:r>
      <w:proofErr w:type="spellEnd"/>
      <w:r>
        <w:t xml:space="preserve">. </w:t>
      </w:r>
    </w:p>
    <w:p w14:paraId="295E6A50" w14:textId="77777777" w:rsidR="00AE024E" w:rsidRDefault="00AE024E" w:rsidP="00324964">
      <w:pPr>
        <w:spacing w:line="480" w:lineRule="auto"/>
        <w:rPr>
          <w:rFonts w:cstheme="minorHAnsi"/>
        </w:rPr>
      </w:pPr>
    </w:p>
    <w:p w14:paraId="28A0D95B" w14:textId="33E69767" w:rsidR="00AE024E" w:rsidRDefault="00E67ADB" w:rsidP="00AE024E">
      <w:pPr>
        <w:spacing w:after="0" w:line="480" w:lineRule="auto"/>
        <w:rPr>
          <w:rFonts w:cstheme="minorHAnsi"/>
          <w:b/>
          <w:sz w:val="24"/>
          <w:szCs w:val="24"/>
        </w:rPr>
      </w:pPr>
      <w:r>
        <w:rPr>
          <w:rFonts w:cstheme="minorHAnsi"/>
          <w:b/>
          <w:sz w:val="24"/>
          <w:szCs w:val="24"/>
        </w:rPr>
        <w:t xml:space="preserve">Text S2: </w:t>
      </w:r>
      <w:r w:rsidR="00324964" w:rsidRPr="00AE024E">
        <w:rPr>
          <w:rFonts w:cstheme="minorHAnsi"/>
          <w:b/>
          <w:sz w:val="24"/>
          <w:szCs w:val="24"/>
        </w:rPr>
        <w:t xml:space="preserve">OTU based analyses </w:t>
      </w:r>
    </w:p>
    <w:p w14:paraId="687BD234" w14:textId="5E6DA3DE" w:rsidR="00AE024E" w:rsidRPr="00AE024E" w:rsidRDefault="00AE024E" w:rsidP="00AE024E">
      <w:pPr>
        <w:spacing w:after="0" w:line="240" w:lineRule="auto"/>
        <w:rPr>
          <w:rFonts w:cstheme="minorHAnsi"/>
        </w:rPr>
      </w:pPr>
      <w:r w:rsidRPr="00AE024E">
        <w:rPr>
          <w:rFonts w:cstheme="minorHAnsi"/>
        </w:rPr>
        <w:t xml:space="preserve">OTU based analyses – </w:t>
      </w:r>
      <w:r>
        <w:rPr>
          <w:rFonts w:cstheme="minorHAnsi"/>
        </w:rPr>
        <w:t>Material and methods</w:t>
      </w:r>
    </w:p>
    <w:p w14:paraId="347DAE18" w14:textId="79B6ABDA" w:rsidR="00324964" w:rsidRPr="00AE024E" w:rsidRDefault="00AE024E" w:rsidP="00AE024E">
      <w:pPr>
        <w:spacing w:after="0" w:line="240" w:lineRule="auto"/>
        <w:rPr>
          <w:rFonts w:cstheme="minorHAnsi"/>
        </w:rPr>
      </w:pPr>
      <w:r>
        <w:rPr>
          <w:rFonts w:cstheme="minorHAnsi"/>
        </w:rPr>
        <w:t xml:space="preserve">To compare the bacterial communities associated with </w:t>
      </w:r>
      <w:r w:rsidRPr="00AE024E">
        <w:rPr>
          <w:rFonts w:cstheme="minorHAnsi"/>
          <w:i/>
        </w:rPr>
        <w:t>C. xamachana</w:t>
      </w:r>
      <w:r>
        <w:rPr>
          <w:rFonts w:cstheme="minorHAnsi"/>
          <w:i/>
        </w:rPr>
        <w:t xml:space="preserve"> </w:t>
      </w:r>
      <w:r>
        <w:rPr>
          <w:rFonts w:cstheme="minorHAnsi"/>
        </w:rPr>
        <w:t xml:space="preserve">with the literature, an </w:t>
      </w:r>
      <w:r w:rsidR="007555F4">
        <w:rPr>
          <w:rFonts w:cstheme="minorHAnsi"/>
        </w:rPr>
        <w:t xml:space="preserve">additionally </w:t>
      </w:r>
      <w:r>
        <w:rPr>
          <w:rFonts w:cstheme="minorHAnsi"/>
        </w:rPr>
        <w:t xml:space="preserve">OTU based analysis was performed. This approach </w:t>
      </w:r>
      <w:r w:rsidR="007555F4">
        <w:rPr>
          <w:rFonts w:cstheme="minorHAnsi"/>
        </w:rPr>
        <w:t>mirrors</w:t>
      </w:r>
      <w:r>
        <w:rPr>
          <w:rFonts w:cstheme="minorHAnsi"/>
        </w:rPr>
        <w:t xml:space="preserve"> well published methodology (e.g. extractions, primer, software) in the field (e.g. coral, </w:t>
      </w:r>
      <w:r w:rsidRPr="00AE024E">
        <w:rPr>
          <w:rFonts w:cstheme="minorHAnsi"/>
          <w:i/>
        </w:rPr>
        <w:t>Exaiptasia</w:t>
      </w:r>
      <w:r w:rsidR="007555F4">
        <w:rPr>
          <w:rFonts w:cstheme="minorHAnsi"/>
        </w:rPr>
        <w:t xml:space="preserve">) </w:t>
      </w:r>
      <w:r w:rsidR="007555F4" w:rsidRPr="00AE024E">
        <w:rPr>
          <w:rFonts w:cstheme="minorHAnsi"/>
        </w:rPr>
        <w:t>thus</w:t>
      </w:r>
      <w:r>
        <w:rPr>
          <w:rFonts w:cstheme="minorHAnsi"/>
        </w:rPr>
        <w:t xml:space="preserve"> </w:t>
      </w:r>
      <w:r w:rsidR="007555F4">
        <w:rPr>
          <w:rFonts w:cstheme="minorHAnsi"/>
        </w:rPr>
        <w:t>highlighting similarities in cnidarian associated microbiomes</w:t>
      </w:r>
      <w:r>
        <w:rPr>
          <w:rFonts w:cstheme="minorHAnsi"/>
        </w:rPr>
        <w:t xml:space="preserve">. The analysis was </w:t>
      </w:r>
      <w:r w:rsidR="00324964" w:rsidRPr="00AE024E">
        <w:rPr>
          <w:rFonts w:cstheme="minorHAnsi"/>
        </w:rPr>
        <w:t>conducted using mothur v.1.44</w:t>
      </w:r>
      <w:r w:rsidR="00D543A4">
        <w:rPr>
          <w:rFonts w:cstheme="minorHAnsi"/>
        </w:rPr>
        <w:t xml:space="preserve"> </w:t>
      </w:r>
      <w:r w:rsidR="00324964" w:rsidRPr="00AE024E">
        <w:rPr>
          <w:rFonts w:cstheme="minorHAnsi"/>
        </w:rPr>
        <w:fldChar w:fldCharType="begin" w:fldLock="1"/>
      </w:r>
      <w:r w:rsidR="00C23D56">
        <w:rPr>
          <w:rFonts w:cstheme="minorHAnsi"/>
        </w:rPr>
        <w:instrText>ADDIN CSL_CITATION {"citationItems":[{"id":"ITEM-1","itemData":{"DOI":"10.1128/AEM.01541-09","ISSN":"0099-2240, 1098-5336","abstract":"mothur aims to be a comprehensive software package that allows users to use a single piece of software to analyze community sequence data. It builds upon previous tools to provide a flexible and powerful software package for analyzing sequencing data. As a case study, we used mothur to trim, screen, and align sequences; calculate distances; assign sequences to operational taxonomic units; and describe the α and β diversity of eight marine samples previously characterized by pyrosequencing of 16S rRNA gene fragments. This analysis of more than 222,000 sequences was completed in less than 2 h with a laptop computer.","author":[{"dropping-particle":"","family":"Schloss","given":"Patrick D","non-dropping-particle":"","parse-names":false,"suffix":""},{"dropping-particle":"","family":"Westcott","given":"Sarah L","non-dropping-particle":"","parse-names":false,"suffix":""},{"dropping-particle":"","family":"Ryabin","given":"Thomas","non-dropping-particle":"","parse-names":false,"suffix":""},{"dropping-particle":"","family":"Hall","given":"Justine R","non-dropping-particle":"","parse-names":false,"suffix":""},{"dropping-particle":"","family":"Hartmann","given":"Martin","non-dropping-particle":"","parse-names":false,"suffix":""},{"dropping-particle":"","family":"Hollister","given":"Emily B","non-dropping-particle":"","parse-names":false,"suffix":""},{"dropping-particle":"","family":"Lesniewski","given":"Ryan A","non-dropping-particle":"","parse-names":false,"suffix":""},{"dropping-particle":"","family":"Oakley","given":"Brian B","non-dropping-particle":"","parse-names":false,"suffix":""},{"dropping-particle":"","family":"Parks","given":"Donovan H","non-dropping-particle":"","parse-names":false,"suffix":""},{"dropping-particle":"","family":"Robinson","given":"Courtney J","non-dropping-particle":"","parse-names":false,"suffix":""},{"dropping-particle":"","family":"Sahl","given":"Jason W","non-dropping-particle":"","parse-names":false,"suffix":""},{"dropping-particle":"","family":"Stres","given":"Blaz","non-dropping-particle":"","parse-names":false,"suffix":""},{"dropping-particle":"","family":"Thallinger","given":"Gerhard G","non-dropping-particle":"","parse-names":false,"suffix":""},{"dropping-particle":"Van","family":"Horn","given":"David J","non-dropping-particle":"","parse-names":false,"suffix":""},{"dropping-particle":"","family":"Weber","given":"Carolyn F","non-dropping-particle":"","parse-names":false,"suffix":""}],"container-title":"Applied and Environmental Microbiology","id":"ITEM-1","issued":{"date-parts":[["2009"]]},"language":"en","page":"7537-7541","title":"Introducing mothur: Open-Source, Platform-Independent, Community-Supported Software for Describing and Comparing Microbial Communities","type":"article-journal","volume":"75"},"uris":["http://www.mendeley.com/documents/?uuid=4211871b-8abd-4c52-8a7e-f22f2fb1352d"]}],"mendeley":{"formattedCitation":"[1]","plainTextFormattedCitation":"[1]","previouslyFormattedCitation":"&lt;sup&gt;1&lt;/sup&gt;"},"properties":{"noteIndex":0},"schema":"https://github.com/citation-style-language/schema/raw/master/csl-citation.json"}</w:instrText>
      </w:r>
      <w:r w:rsidR="00324964" w:rsidRPr="00AE024E">
        <w:rPr>
          <w:rFonts w:cstheme="minorHAnsi"/>
        </w:rPr>
        <w:fldChar w:fldCharType="separate"/>
      </w:r>
      <w:r w:rsidR="00C23D56" w:rsidRPr="00C23D56">
        <w:rPr>
          <w:rFonts w:cstheme="minorHAnsi"/>
          <w:noProof/>
        </w:rPr>
        <w:t>[1]</w:t>
      </w:r>
      <w:r w:rsidR="00324964" w:rsidRPr="00AE024E">
        <w:rPr>
          <w:rFonts w:cstheme="minorHAnsi"/>
        </w:rPr>
        <w:fldChar w:fldCharType="end"/>
      </w:r>
      <w:r w:rsidR="00324964" w:rsidRPr="00AE024E">
        <w:rPr>
          <w:rFonts w:cstheme="minorHAnsi"/>
        </w:rPr>
        <w:t xml:space="preserve">. Forward and reverse reads were split according to barcodes and assembled to </w:t>
      </w:r>
      <w:proofErr w:type="spellStart"/>
      <w:r w:rsidR="00324964" w:rsidRPr="00AE024E">
        <w:rPr>
          <w:rFonts w:cstheme="minorHAnsi"/>
        </w:rPr>
        <w:t>contigs</w:t>
      </w:r>
      <w:proofErr w:type="spellEnd"/>
      <w:r w:rsidR="00324964" w:rsidRPr="00AE024E">
        <w:rPr>
          <w:rFonts w:cstheme="minorHAnsi"/>
        </w:rPr>
        <w:t xml:space="preserve">. </w:t>
      </w:r>
      <w:proofErr w:type="spellStart"/>
      <w:r w:rsidR="00324964" w:rsidRPr="00AE024E">
        <w:rPr>
          <w:rFonts w:cstheme="minorHAnsi"/>
        </w:rPr>
        <w:t>Contigs</w:t>
      </w:r>
      <w:proofErr w:type="spellEnd"/>
      <w:r w:rsidR="00324964" w:rsidRPr="00AE024E">
        <w:rPr>
          <w:rFonts w:cstheme="minorHAnsi"/>
        </w:rPr>
        <w:t xml:space="preserve"> &gt;310 </w:t>
      </w:r>
      <w:proofErr w:type="spellStart"/>
      <w:r w:rsidR="00324964" w:rsidRPr="00AE024E">
        <w:rPr>
          <w:rFonts w:cstheme="minorHAnsi"/>
        </w:rPr>
        <w:t>bp</w:t>
      </w:r>
      <w:proofErr w:type="spellEnd"/>
      <w:r w:rsidR="00324964" w:rsidRPr="00AE024E">
        <w:rPr>
          <w:rFonts w:cstheme="minorHAnsi"/>
        </w:rPr>
        <w:t xml:space="preserve"> and those containing ambiguous bases were discarded. Identical sequences were merged and ‘</w:t>
      </w:r>
      <w:proofErr w:type="spellStart"/>
      <w:r w:rsidR="00324964" w:rsidRPr="00AE024E">
        <w:rPr>
          <w:rFonts w:cstheme="minorHAnsi"/>
        </w:rPr>
        <w:t>count.seqs</w:t>
      </w:r>
      <w:proofErr w:type="spellEnd"/>
      <w:r w:rsidR="00324964" w:rsidRPr="00AE024E">
        <w:rPr>
          <w:rFonts w:cstheme="minorHAnsi"/>
        </w:rPr>
        <w:t xml:space="preserve">’ was used to keep count of all sequences. Sequences were aligned against SILVA </w:t>
      </w:r>
      <w:r w:rsidR="00324964" w:rsidRPr="00AE024E">
        <w:rPr>
          <w:rFonts w:cstheme="minorHAnsi"/>
        </w:rPr>
        <w:fldChar w:fldCharType="begin" w:fldLock="1"/>
      </w:r>
      <w:r w:rsidR="00C23D56">
        <w:rPr>
          <w:rFonts w:cstheme="minorHAnsi"/>
        </w:rPr>
        <w:instrText>ADDIN CSL_CITATION {"citationItems":[{"id":"ITEM-1","itemData":{"ISSN":"0305-1048","author":[{"dropping-particle":"","family":"Pruesse","given":"Elmar","non-dropping-particle":"","parse-names":false,"suffix":""},{"dropping-particle":"","family":"Quast","given":"Christian","non-dropping-particle":"","parse-names":false,"suffix":""},{"dropping-particle":"","family":"Knittel","given":"Katrin","non-dropping-particle":"","parse-names":false,"suffix":""},{"dropping-particle":"","family":"Fuchs","given":"Bernhard M","non-dropping-particle":"","parse-names":false,"suffix":""},{"dropping-particle":"","family":"Ludwig","given":"Wolfgang","non-dropping-particle":"","parse-names":false,"suffix":""},{"dropping-particle":"","family":"Peplies","given":"Jörg","non-dropping-particle":"","parse-names":false,"suffix":""},{"dropping-particle":"","family":"Glöckner","given":"Frank Oliver","non-dropping-particle":"","parse-names":false,"suffix":""}],"container-title":"Nucleic acids research","id":"ITEM-1","issue":"21","issued":{"date-parts":[["2007"]]},"page":"7188-7196","title":"SILVA: a comprehensive online resource for quality checked and aligned ribosomal RNA sequence data compatible with ARB","type":"article-journal","volume":"35"},"uris":["http://www.mendeley.com/documents/?uuid=7f5ec9cb-d5c4-4ab2-8fe8-1db610aee768"]}],"mendeley":{"formattedCitation":"[2]","plainTextFormattedCitation":"[2]","previouslyFormattedCitation":"&lt;sup&gt;2&lt;/sup&gt;"},"properties":{"noteIndex":0},"schema":"https://github.com/citation-style-language/schema/raw/master/csl-citation.json"}</w:instrText>
      </w:r>
      <w:r w:rsidR="00324964" w:rsidRPr="00AE024E">
        <w:rPr>
          <w:rFonts w:cstheme="minorHAnsi"/>
        </w:rPr>
        <w:fldChar w:fldCharType="separate"/>
      </w:r>
      <w:r w:rsidR="00C23D56" w:rsidRPr="00C23D56">
        <w:rPr>
          <w:rFonts w:cstheme="minorHAnsi"/>
          <w:noProof/>
        </w:rPr>
        <w:t>[2]</w:t>
      </w:r>
      <w:r w:rsidR="00324964" w:rsidRPr="00AE024E">
        <w:rPr>
          <w:rFonts w:cstheme="minorHAnsi"/>
        </w:rPr>
        <w:fldChar w:fldCharType="end"/>
      </w:r>
      <w:r w:rsidR="00324964" w:rsidRPr="00AE024E">
        <w:rPr>
          <w:rFonts w:cstheme="minorHAnsi"/>
        </w:rPr>
        <w:t xml:space="preserve">, quality filtered and pre-clustered (3 </w:t>
      </w:r>
      <w:proofErr w:type="spellStart"/>
      <w:r w:rsidR="00324964" w:rsidRPr="00AE024E">
        <w:rPr>
          <w:rFonts w:cstheme="minorHAnsi"/>
        </w:rPr>
        <w:t>bp</w:t>
      </w:r>
      <w:proofErr w:type="spellEnd"/>
      <w:r w:rsidR="00324964" w:rsidRPr="00AE024E">
        <w:rPr>
          <w:rFonts w:cstheme="minorHAnsi"/>
        </w:rPr>
        <w:t xml:space="preserve"> difference) </w:t>
      </w:r>
      <w:r w:rsidR="00324964" w:rsidRPr="00AE024E">
        <w:rPr>
          <w:rFonts w:cstheme="minorHAnsi"/>
        </w:rPr>
        <w:fldChar w:fldCharType="begin" w:fldLock="1"/>
      </w:r>
      <w:r w:rsidR="00C23D56">
        <w:rPr>
          <w:rFonts w:cstheme="minorHAnsi"/>
        </w:rPr>
        <w:instrText>ADDIN CSL_CITATION {"citationItems":[{"id":"ITEM-1","itemData":{"DOI":"10.1111/j.1462-2920.2010.02193.x","ISSN":"1462-2920","abstract":"Deep sequencing of PCR amplicon libraries facilitates the detection of low-abundance populations in environmental DNA surveys of complex microbial communities. At the same time, deep sequencing can lead to overestimates of microbial diversity through the generation of low-frequency, error-prone reads. Even with sequencing error rates below 0.005 per nucleotide position, the common method of generating operational taxonomic units (OTUs) by multiple sequence alignment and complete-linkage clustering significantly increases the number of predicted OTUs and inflates richness estimates. We show that a 2% single-linkage preclustering methodology followed by an average-linkage clustering based on pairwise alignments more accurately predicts expected OTUs in both single and pooled template preparations of known taxonomic composition. This new clustering method can reduce the OTU richness in environmental samples by as much as 30–60% but does not reduce the fraction of OTUs in long-tailed rank abundance curves that defines the rare biosphere.","author":[{"dropping-particle":"","family":"Huse","given":"Susan M","non-dropping-particle":"","parse-names":false,"suffix":""},{"dropping-particle":"","family":"Welch","given":"David Mark","non-dropping-particle":"","parse-names":false,"suffix":""},{"dropping-particle":"","family":"Morrison","given":"Hilary G","non-dropping-particle":"","parse-names":false,"suffix":""},{"dropping-particle":"","family":"Sogin","given":"Mitchell L","non-dropping-particle":"","parse-names":false,"suffix":""}],"container-title":"Environmental Microbiology","id":"ITEM-1","issue":"7","issued":{"date-parts":[["2010"]]},"page":"1889-1898","title":"Ironing out the wrinkles in the rare biosphere through improved OTU clustering","type":"article-journal","volume":"12"},"uris":["http://www.mendeley.com/documents/?uuid=148d222c-853e-4495-aaf6-33739ec908cb"]}],"mendeley":{"formattedCitation":"[3]","plainTextFormattedCitation":"[3]","previouslyFormattedCitation":"&lt;sup&gt;3&lt;/sup&gt;"},"properties":{"noteIndex":0},"schema":"https://github.com/citation-style-language/schema/raw/master/csl-citation.json"}</w:instrText>
      </w:r>
      <w:r w:rsidR="00324964" w:rsidRPr="00AE024E">
        <w:rPr>
          <w:rFonts w:cstheme="minorHAnsi"/>
        </w:rPr>
        <w:fldChar w:fldCharType="separate"/>
      </w:r>
      <w:r w:rsidR="00C23D56" w:rsidRPr="00C23D56">
        <w:rPr>
          <w:rFonts w:cstheme="minorHAnsi"/>
          <w:noProof/>
        </w:rPr>
        <w:t>[3]</w:t>
      </w:r>
      <w:r w:rsidR="00324964" w:rsidRPr="00AE024E">
        <w:rPr>
          <w:rFonts w:cstheme="minorHAnsi"/>
        </w:rPr>
        <w:fldChar w:fldCharType="end"/>
      </w:r>
      <w:r w:rsidR="00324964" w:rsidRPr="00AE024E">
        <w:rPr>
          <w:rFonts w:cstheme="minorHAnsi"/>
        </w:rPr>
        <w:t xml:space="preserve">. Then sequences that occurred only once over all samples and chimeric sequences were excluded (VSEARCH, </w:t>
      </w:r>
      <w:r w:rsidR="00324964" w:rsidRPr="00AE024E">
        <w:rPr>
          <w:rFonts w:cstheme="minorHAnsi"/>
        </w:rPr>
        <w:fldChar w:fldCharType="begin" w:fldLock="1"/>
      </w:r>
      <w:r w:rsidR="00C23D56">
        <w:rPr>
          <w:rFonts w:cstheme="minorHAnsi"/>
        </w:rPr>
        <w:instrText>ADDIN CSL_CITATION {"citationItems":[{"id":"ITEM-1","itemData":{"DOI":"10.7717/peerj.2584","ISSN":"21678359","PMID":"27781170","abstract":"Background VSEARCH is an open source and free of charge multithreaded 64-bit tool for processing and preparing metagenomics, genomics and population genomics nucleotide sequence data. It is designed as an alternative to the widely used USEARCH tool (Edgar, 2010) for which the source code is not publicly available, algorithm details are only rudimentarily described, and only a memory-confined 32-bit version is freely available for academic use. Methods When searching nucleotide sequences, VSEARCH uses a fast heuristic based on words shared by the query and target sequences in order to quickly identify similar sequences, a similar strategy is probably used in USEARCH. VSEARCH then performs optimal global sequence alignment of the query against potential target sequences, using full dynamic programming instead of the seed-and-extend heuristic used by USEARCH. Pairwise alignments are computed in parallel using vectorisation and multiple threads. Results VSEARCH includes most commands for analysing nucleotide sequences available in USEARCH version 7 and several of those available in USEARCH version 8, including searching (exact or based on global alignment), clustering by similarity (using length pre-sorting, abundance pre-sorting or a user-defined order), chimera detection (reference-based or de novo), dereplication (full length or prefix), pairwise alignment, reverse complementation, sorting, and subsampling. VSEARCH also includes commands for FASTQ file processing, i.e., format detection, filtering, read quality statistics, and merging of paired reads. Furthermore, VSEARCH extends functionality with several new commands and improvements, including shuffling, rereplication, masking of low-complexity sequences with the well-known DUST algorithm, a choice among different similarity definitions, and FASTQ file format conversion. VSEARCH is here shown to be more accurate than USEARCH when performing searching, clustering, chimera detection and subsampling, while on a par with USEARCH for paired-ends read merging. VSEARCH is slower than USEARCH when performing clustering and chimera detection, but significantly faster when performing paired-end reads merging and dereplication. VSEARCH is available at https://github.com/torognes/vsearch under either the BSD 2-clause license or the GNU General Public License version 3.0. Discussion VSEARCH has been shown to be a fast, accurate and full-fledged alternative to USEARCH. A free and open-source versatile tool for sequ…","author":[{"dropping-particle":"","family":"Rognes","given":"Torbjørn","non-dropping-particle":"","parse-names":false,"suffix":""},{"dropping-particle":"","family":"Flouri","given":"Tomáš","non-dropping-particle":"","parse-names":false,"suffix":""},{"dropping-particle":"","family":"Nichols","given":"Ben","non-dropping-particle":"","parse-names":false,"suffix":""},{"dropping-particle":"","family":"Quince","given":"Christopher","non-dropping-particle":"","parse-names":false,"suffix":""},{"dropping-particle":"","family":"Mahé","given":"Frédéric","non-dropping-particle":"","parse-names":false,"suffix":""}],"container-title":"PeerJ","id":"ITEM-1","issue":"10","issued":{"date-parts":[["2016"]]},"publisher":"PeerJ Inc.","title":"VSEARCH: A versatile open source tool for metagenomics","type":"article-journal","volume":"2016"},"uris":["http://www.mendeley.com/documents/?uuid=ecc3ad4f-985a-3f29-a883-014f2e5184fa"]}],"mendeley":{"formattedCitation":"[4]","plainTextFormattedCitation":"[4]","previouslyFormattedCitation":"&lt;sup&gt;4&lt;/sup&gt;"},"properties":{"noteIndex":0},"schema":"https://github.com/citation-style-language/schema/raw/master/csl-citation.json"}</w:instrText>
      </w:r>
      <w:r w:rsidR="00324964" w:rsidRPr="00AE024E">
        <w:rPr>
          <w:rFonts w:cstheme="minorHAnsi"/>
        </w:rPr>
        <w:fldChar w:fldCharType="separate"/>
      </w:r>
      <w:r w:rsidR="00C23D56" w:rsidRPr="00C23D56">
        <w:rPr>
          <w:rFonts w:cstheme="minorHAnsi"/>
          <w:noProof/>
        </w:rPr>
        <w:t>[4]</w:t>
      </w:r>
      <w:r w:rsidR="00324964" w:rsidRPr="00AE024E">
        <w:rPr>
          <w:rFonts w:cstheme="minorHAnsi"/>
        </w:rPr>
        <w:fldChar w:fldCharType="end"/>
      </w:r>
      <w:r w:rsidR="00324964" w:rsidRPr="00AE024E">
        <w:rPr>
          <w:rFonts w:cstheme="minorHAnsi"/>
        </w:rPr>
        <w:t xml:space="preserve">). All remaining sequences were classified against SILVA v.138 using an 80 % bootstrap cut-off, then - if present - chloroplasts, Mitochondria, </w:t>
      </w:r>
      <w:r w:rsidR="00324964" w:rsidRPr="00AE024E">
        <w:rPr>
          <w:rFonts w:cstheme="minorHAnsi"/>
          <w:i/>
        </w:rPr>
        <w:t>Archaea</w:t>
      </w:r>
      <w:r w:rsidR="00324964" w:rsidRPr="00AE024E">
        <w:rPr>
          <w:rFonts w:cstheme="minorHAnsi"/>
          <w:iCs/>
        </w:rPr>
        <w:t xml:space="preserve">, </w:t>
      </w:r>
      <w:r w:rsidR="00324964" w:rsidRPr="00AE024E">
        <w:rPr>
          <w:rFonts w:cstheme="minorHAnsi"/>
        </w:rPr>
        <w:t xml:space="preserve">Eukaryotes and unknown sequences were </w:t>
      </w:r>
      <w:r w:rsidR="00324964" w:rsidRPr="00AE024E">
        <w:rPr>
          <w:rFonts w:cstheme="minorHAnsi"/>
        </w:rPr>
        <w:lastRenderedPageBreak/>
        <w:t>removed. To provide an overview, stacked column plots representing bacterial community compositions at the taxonomic level ‘family’ were constructed. Next, sequences were clustered into operational taxonomic units (OTUs) at 97 % similarity. To account for contamination, OTUs that occurred more than 10 % in controls (i.e. sum of extraction and sequencing control) compared to the sum of all other samples were removed (i.e., 9 OTUs removed, 6 occurred only in controls, 3 occurred &gt; 10 % in controls, OTU140 (</w:t>
      </w:r>
      <w:proofErr w:type="spellStart"/>
      <w:r w:rsidR="00324964" w:rsidRPr="00AE024E">
        <w:rPr>
          <w:rFonts w:cstheme="minorHAnsi"/>
          <w:i/>
        </w:rPr>
        <w:t>Lawsonella</w:t>
      </w:r>
      <w:proofErr w:type="spellEnd"/>
      <w:r w:rsidR="00324964" w:rsidRPr="00AE024E">
        <w:rPr>
          <w:rFonts w:cstheme="minorHAnsi"/>
        </w:rPr>
        <w:t xml:space="preserve"> sp.) most abundant contaminant). For further analysis the control was discarded and alpha diversity indices (Chao1, Simpson evenness, and inverse Simpson index) were calculated. To compare significant differences in alpha diversity indices between sites assumptions were tested, i.e. normal distribution (Shapiro-Wilk W &gt; 0.92, </w:t>
      </w:r>
      <w:r w:rsidR="00324964" w:rsidRPr="00AE024E">
        <w:rPr>
          <w:rFonts w:cstheme="minorHAnsi"/>
          <w:i/>
          <w:iCs/>
        </w:rPr>
        <w:t xml:space="preserve">p </w:t>
      </w:r>
      <w:r w:rsidR="00324964" w:rsidRPr="00AE024E">
        <w:rPr>
          <w:rFonts w:cstheme="minorHAnsi"/>
        </w:rPr>
        <w:t>&gt; 0.1) and homogeneity (</w:t>
      </w:r>
      <w:proofErr w:type="spellStart"/>
      <w:r w:rsidR="00324964" w:rsidRPr="00AE024E">
        <w:rPr>
          <w:rFonts w:cstheme="minorHAnsi"/>
          <w:i/>
          <w:iCs/>
        </w:rPr>
        <w:t>p</w:t>
      </w:r>
      <w:r w:rsidR="00324964" w:rsidRPr="00AE024E">
        <w:rPr>
          <w:rFonts w:cstheme="minorHAnsi"/>
          <w:i/>
          <w:iCs/>
          <w:vertAlign w:val="subscript"/>
        </w:rPr>
        <w:t>Barlett&amp;Leven</w:t>
      </w:r>
      <w:proofErr w:type="spellEnd"/>
      <w:r w:rsidR="00324964" w:rsidRPr="00AE024E">
        <w:rPr>
          <w:rFonts w:cstheme="minorHAnsi"/>
          <w:i/>
          <w:iCs/>
          <w:vertAlign w:val="subscript"/>
        </w:rPr>
        <w:t xml:space="preserve"> </w:t>
      </w:r>
      <w:r w:rsidR="00324964" w:rsidRPr="00AE024E">
        <w:rPr>
          <w:rFonts w:cstheme="minorHAnsi"/>
        </w:rPr>
        <w:t xml:space="preserve">&gt; 0.1), prior to performing single-factor ANOVAs or, when assumptions were not met, Mann-Whitney U tests in R. All samples were then subsampled to 10,165 sequences (lowest number of sequences available for any sample) and a Bray-Curtis dissimilarity matrix was constructed in mothur. Based on this, a principal coordinate analysis (PCoA) and an Analysis of Molecular Variance (AMOVA) were calculated. The putative core microbiome was identified based on subsampled data and includes all OTUs present in all sampled medusae (n = 15), the symbiotic microbiome (symbiome) includes all OTUs present in all symbiotic medusae (n = 10) but not in all aposymbiotic samples, and the aposymbiotic microbiome (apobiome) includes all OTUs present in all aposymbiotic medusae (n = 5) but not in all symbiotic samples. </w:t>
      </w:r>
    </w:p>
    <w:p w14:paraId="548C8E1B" w14:textId="77777777" w:rsidR="00324964" w:rsidRPr="00AE024E" w:rsidRDefault="00324964" w:rsidP="00AE024E">
      <w:pPr>
        <w:spacing w:line="240" w:lineRule="auto"/>
        <w:rPr>
          <w:rFonts w:cstheme="minorHAnsi"/>
        </w:rPr>
      </w:pPr>
    </w:p>
    <w:p w14:paraId="2F349546" w14:textId="77777777" w:rsidR="00324964" w:rsidRPr="00AE024E" w:rsidRDefault="00324964" w:rsidP="00AE024E">
      <w:pPr>
        <w:spacing w:after="0" w:line="240" w:lineRule="auto"/>
        <w:rPr>
          <w:rFonts w:cstheme="minorHAnsi"/>
        </w:rPr>
      </w:pPr>
      <w:r w:rsidRPr="00AE024E">
        <w:rPr>
          <w:rFonts w:cstheme="minorHAnsi"/>
        </w:rPr>
        <w:t>OTU based analyses – Results</w:t>
      </w:r>
    </w:p>
    <w:p w14:paraId="0F4F74C0" w14:textId="27E818BB" w:rsidR="00324964" w:rsidRPr="00AE024E" w:rsidRDefault="00324964" w:rsidP="00AE024E">
      <w:pPr>
        <w:spacing w:after="0" w:line="240" w:lineRule="auto"/>
        <w:rPr>
          <w:rFonts w:cstheme="minorHAnsi"/>
        </w:rPr>
      </w:pPr>
      <w:r w:rsidRPr="00AE024E">
        <w:rPr>
          <w:rFonts w:cstheme="minorHAnsi"/>
        </w:rPr>
        <w:t xml:space="preserve">We produced 16 16S </w:t>
      </w:r>
      <w:proofErr w:type="spellStart"/>
      <w:r w:rsidRPr="00AE024E">
        <w:rPr>
          <w:rFonts w:cstheme="minorHAnsi"/>
        </w:rPr>
        <w:t>rRNA</w:t>
      </w:r>
      <w:proofErr w:type="spellEnd"/>
      <w:r w:rsidRPr="00AE024E">
        <w:rPr>
          <w:rFonts w:cstheme="minorHAnsi"/>
        </w:rPr>
        <w:t xml:space="preserve"> gene libraries containing 252,674 </w:t>
      </w:r>
      <w:proofErr w:type="spellStart"/>
      <w:r w:rsidRPr="00AE024E">
        <w:rPr>
          <w:rFonts w:cstheme="minorHAnsi"/>
        </w:rPr>
        <w:t>contigs</w:t>
      </w:r>
      <w:proofErr w:type="spellEnd"/>
      <w:r w:rsidRPr="00AE024E">
        <w:rPr>
          <w:rFonts w:cstheme="minorHAnsi"/>
        </w:rPr>
        <w:t xml:space="preserve"> from one </w:t>
      </w:r>
      <w:r w:rsidR="003F7494">
        <w:rPr>
          <w:rFonts w:cstheme="minorHAnsi"/>
        </w:rPr>
        <w:t xml:space="preserve">extraction </w:t>
      </w:r>
      <w:r w:rsidRPr="00AE024E">
        <w:rPr>
          <w:rFonts w:cstheme="minorHAnsi"/>
        </w:rPr>
        <w:t xml:space="preserve">control, five SymL, five SymD, and five ApoL </w:t>
      </w:r>
      <w:r w:rsidRPr="00AE024E">
        <w:rPr>
          <w:rFonts w:cstheme="minorHAnsi"/>
          <w:i/>
        </w:rPr>
        <w:t xml:space="preserve">C. xamachana </w:t>
      </w:r>
      <w:r w:rsidRPr="00AE024E">
        <w:rPr>
          <w:rFonts w:cstheme="minorHAnsi"/>
        </w:rPr>
        <w:t xml:space="preserve">samples. After quality control, chimera detection, and removal of undesired and rare (n = 1 over all samples) sequences, 191,141 sequences with an average length of 292 </w:t>
      </w:r>
      <w:proofErr w:type="spellStart"/>
      <w:r w:rsidRPr="00AE024E">
        <w:rPr>
          <w:rFonts w:cstheme="minorHAnsi"/>
        </w:rPr>
        <w:t>bp</w:t>
      </w:r>
      <w:proofErr w:type="spellEnd"/>
      <w:r w:rsidRPr="00AE024E">
        <w:rPr>
          <w:rFonts w:cstheme="minorHAnsi"/>
        </w:rPr>
        <w:t xml:space="preserve"> remained in the dataset. To assess sample and treatment specific differences in bacterial community composition, we classified all sequences to the family </w:t>
      </w:r>
      <w:r w:rsidRPr="00C23D56">
        <w:rPr>
          <w:rFonts w:cstheme="minorHAnsi"/>
        </w:rPr>
        <w:t>level (</w:t>
      </w:r>
      <w:r w:rsidR="00B02AB9" w:rsidRPr="00C23D56">
        <w:rPr>
          <w:rFonts w:cstheme="minorHAnsi"/>
        </w:rPr>
        <w:t xml:space="preserve">Additional Information File </w:t>
      </w:r>
      <w:r w:rsidR="00CA09B9" w:rsidRPr="00C23D56">
        <w:rPr>
          <w:rFonts w:cstheme="minorHAnsi"/>
        </w:rPr>
        <w:t>2</w:t>
      </w:r>
      <w:r w:rsidR="00B02AB9" w:rsidRPr="00C23D56">
        <w:rPr>
          <w:rFonts w:cstheme="minorHAnsi"/>
        </w:rPr>
        <w:t xml:space="preserve"> - </w:t>
      </w:r>
      <w:r w:rsidRPr="00C23D56">
        <w:rPr>
          <w:rFonts w:cstheme="minorHAnsi"/>
        </w:rPr>
        <w:t xml:space="preserve">Fig. </w:t>
      </w:r>
      <w:r w:rsidR="00935B84" w:rsidRPr="00C23D56">
        <w:rPr>
          <w:rFonts w:cstheme="minorHAnsi"/>
        </w:rPr>
        <w:t>S</w:t>
      </w:r>
      <w:r w:rsidR="00B02AB9" w:rsidRPr="00C23D56">
        <w:rPr>
          <w:rFonts w:cstheme="minorHAnsi"/>
        </w:rPr>
        <w:t>4</w:t>
      </w:r>
      <w:r w:rsidRPr="00C23D56">
        <w:rPr>
          <w:rFonts w:cstheme="minorHAnsi"/>
        </w:rPr>
        <w:t>). While the control was markedly different from all other samples</w:t>
      </w:r>
      <w:r w:rsidRPr="00AE024E">
        <w:rPr>
          <w:rFonts w:cstheme="minorHAnsi"/>
        </w:rPr>
        <w:t xml:space="preserve">, medusae showed little variation and were dominated by </w:t>
      </w:r>
      <w:r w:rsidRPr="00AE024E">
        <w:rPr>
          <w:rFonts w:cstheme="minorHAnsi"/>
          <w:i/>
        </w:rPr>
        <w:t>Moraxellaceae</w:t>
      </w:r>
      <w:r w:rsidRPr="00AE024E">
        <w:rPr>
          <w:rFonts w:cstheme="minorHAnsi"/>
        </w:rPr>
        <w:t xml:space="preserve"> (&gt;60 %) and </w:t>
      </w:r>
      <w:r w:rsidRPr="00AE024E">
        <w:rPr>
          <w:rFonts w:cstheme="minorHAnsi"/>
          <w:i/>
        </w:rPr>
        <w:t xml:space="preserve">Pseudomonadaceae </w:t>
      </w:r>
      <w:r w:rsidRPr="00AE024E">
        <w:rPr>
          <w:rFonts w:cstheme="minorHAnsi"/>
        </w:rPr>
        <w:t xml:space="preserve">(~15-25 %). </w:t>
      </w:r>
    </w:p>
    <w:p w14:paraId="763EA6D0" w14:textId="77777777" w:rsidR="00324964" w:rsidRPr="00AE024E" w:rsidRDefault="00935B84" w:rsidP="00324964">
      <w:pPr>
        <w:spacing w:line="480" w:lineRule="auto"/>
        <w:rPr>
          <w:rFonts w:cstheme="minorHAnsi"/>
        </w:rPr>
      </w:pPr>
      <w:r w:rsidRPr="00AE024E">
        <w:rPr>
          <w:rFonts w:cstheme="minorHAnsi"/>
          <w:noProof/>
        </w:rPr>
        <w:drawing>
          <wp:inline distT="0" distB="0" distL="0" distR="0" wp14:anchorId="275F1BD1" wp14:editId="78EE13D6">
            <wp:extent cx="5209637" cy="2438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37621" cy="2451498"/>
                    </a:xfrm>
                    <a:prstGeom prst="rect">
                      <a:avLst/>
                    </a:prstGeom>
                  </pic:spPr>
                </pic:pic>
              </a:graphicData>
            </a:graphic>
          </wp:inline>
        </w:drawing>
      </w:r>
    </w:p>
    <w:p w14:paraId="5C927B30" w14:textId="48E20B55" w:rsidR="00324964" w:rsidRPr="00AE024E" w:rsidRDefault="00324964" w:rsidP="00324964">
      <w:pPr>
        <w:tabs>
          <w:tab w:val="left" w:pos="6390"/>
        </w:tabs>
        <w:spacing w:after="0" w:line="240" w:lineRule="auto"/>
        <w:rPr>
          <w:rFonts w:cstheme="minorHAnsi"/>
        </w:rPr>
      </w:pPr>
      <w:r w:rsidRPr="00C23D56">
        <w:rPr>
          <w:rFonts w:cstheme="minorHAnsi"/>
          <w:b/>
        </w:rPr>
        <w:t>Figure S</w:t>
      </w:r>
      <w:r w:rsidR="00B02AB9" w:rsidRPr="00C23D56">
        <w:rPr>
          <w:rFonts w:cstheme="minorHAnsi"/>
          <w:b/>
        </w:rPr>
        <w:t>4</w:t>
      </w:r>
      <w:r w:rsidRPr="00C23D56">
        <w:rPr>
          <w:rFonts w:cstheme="minorHAnsi"/>
        </w:rPr>
        <w:t>. Stacked</w:t>
      </w:r>
      <w:r w:rsidRPr="00AE024E">
        <w:rPr>
          <w:rFonts w:cstheme="minorHAnsi"/>
        </w:rPr>
        <w:t xml:space="preserve"> column plot representing the bacterial community composition associated with </w:t>
      </w:r>
      <w:r w:rsidRPr="00AE024E">
        <w:rPr>
          <w:rFonts w:cstheme="minorHAnsi"/>
          <w:i/>
        </w:rPr>
        <w:t xml:space="preserve">C. xamachana </w:t>
      </w:r>
      <w:r w:rsidRPr="00AE024E">
        <w:rPr>
          <w:rFonts w:cstheme="minorHAnsi"/>
        </w:rPr>
        <w:t xml:space="preserve">on the phylogenetic level family (SILVA database, bootstrap ≥80). Each color represents one of the 10 most abundant families, all 85 other taxa are grouped as ‘others’. </w:t>
      </w:r>
    </w:p>
    <w:p w14:paraId="7A8CC390" w14:textId="77777777" w:rsidR="00324964" w:rsidRPr="00AE024E" w:rsidRDefault="00324964" w:rsidP="00324964">
      <w:pPr>
        <w:tabs>
          <w:tab w:val="left" w:pos="6390"/>
        </w:tabs>
        <w:spacing w:line="240" w:lineRule="auto"/>
        <w:rPr>
          <w:rFonts w:cstheme="minorHAnsi"/>
        </w:rPr>
      </w:pPr>
      <w:r w:rsidRPr="00AE024E">
        <w:rPr>
          <w:rFonts w:cstheme="minorHAnsi"/>
        </w:rPr>
        <w:lastRenderedPageBreak/>
        <w:t xml:space="preserve">Numbers in parenthesis depict daughter genera present in each family. Treatments: Apo = aposymbiotic, </w:t>
      </w:r>
      <w:proofErr w:type="spellStart"/>
      <w:r w:rsidRPr="00AE024E">
        <w:rPr>
          <w:rFonts w:cstheme="minorHAnsi"/>
        </w:rPr>
        <w:t>Sym</w:t>
      </w:r>
      <w:proofErr w:type="spellEnd"/>
      <w:r w:rsidRPr="00AE024E">
        <w:rPr>
          <w:rFonts w:cstheme="minorHAnsi"/>
        </w:rPr>
        <w:t xml:space="preserve"> = symbiotic, L = light, D = dark, </w:t>
      </w:r>
      <w:proofErr w:type="spellStart"/>
      <w:r w:rsidRPr="00AE024E">
        <w:rPr>
          <w:rFonts w:cstheme="minorHAnsi"/>
        </w:rPr>
        <w:t>Pul</w:t>
      </w:r>
      <w:proofErr w:type="spellEnd"/>
      <w:r w:rsidRPr="00AE024E">
        <w:rPr>
          <w:rFonts w:cstheme="minorHAnsi"/>
        </w:rPr>
        <w:t xml:space="preserve"> = sampled after pulse incubation.</w:t>
      </w:r>
    </w:p>
    <w:p w14:paraId="0537776F" w14:textId="77777777" w:rsidR="00935B84" w:rsidRPr="00AE024E" w:rsidRDefault="00935B84" w:rsidP="00324964">
      <w:pPr>
        <w:tabs>
          <w:tab w:val="left" w:pos="6390"/>
        </w:tabs>
        <w:spacing w:line="240" w:lineRule="auto"/>
        <w:rPr>
          <w:rFonts w:cstheme="minorHAnsi"/>
        </w:rPr>
      </w:pPr>
    </w:p>
    <w:p w14:paraId="73001932" w14:textId="25789FCD" w:rsidR="00324964" w:rsidRDefault="00324964" w:rsidP="00AE024E">
      <w:pPr>
        <w:tabs>
          <w:tab w:val="left" w:pos="6390"/>
        </w:tabs>
        <w:spacing w:line="240" w:lineRule="auto"/>
        <w:rPr>
          <w:rFonts w:cstheme="minorHAnsi"/>
        </w:rPr>
      </w:pPr>
      <w:r w:rsidRPr="00AE024E">
        <w:rPr>
          <w:rFonts w:cstheme="minorHAnsi"/>
        </w:rPr>
        <w:t xml:space="preserve">To assess differences between each treatment we clustered sequence data to operational taxonomic units (OTU; 97 % similarity) after removal of contaminants and the control. The assembled rarefaction curves indicated that with &gt;10,000 sequences in each sample the majority of bacterial diversity is </w:t>
      </w:r>
      <w:r w:rsidRPr="00C23D56">
        <w:rPr>
          <w:rFonts w:cstheme="minorHAnsi"/>
        </w:rPr>
        <w:t>represented (</w:t>
      </w:r>
      <w:r w:rsidR="00B02AB9" w:rsidRPr="00C23D56">
        <w:rPr>
          <w:rFonts w:cstheme="minorHAnsi"/>
        </w:rPr>
        <w:t xml:space="preserve">Additional Information File </w:t>
      </w:r>
      <w:r w:rsidR="00CA09B9" w:rsidRPr="00C23D56">
        <w:rPr>
          <w:rFonts w:cstheme="minorHAnsi"/>
        </w:rPr>
        <w:t>2</w:t>
      </w:r>
      <w:r w:rsidR="00B02AB9" w:rsidRPr="00C23D56">
        <w:rPr>
          <w:rFonts w:cstheme="minorHAnsi"/>
        </w:rPr>
        <w:t xml:space="preserve"> - </w:t>
      </w:r>
      <w:r w:rsidRPr="00C23D56">
        <w:rPr>
          <w:rFonts w:cstheme="minorHAnsi"/>
        </w:rPr>
        <w:t>Fig. S</w:t>
      </w:r>
      <w:r w:rsidR="00B02AB9" w:rsidRPr="00C23D56">
        <w:rPr>
          <w:rFonts w:cstheme="minorHAnsi"/>
        </w:rPr>
        <w:t>5</w:t>
      </w:r>
      <w:r w:rsidRPr="00C23D56">
        <w:rPr>
          <w:rFonts w:cstheme="minorHAnsi"/>
        </w:rPr>
        <w:t>). Number</w:t>
      </w:r>
      <w:r w:rsidRPr="00AE024E">
        <w:rPr>
          <w:rFonts w:cstheme="minorHAnsi"/>
        </w:rPr>
        <w:t xml:space="preserve"> of observed species and Chao1 estimator of species richness were about twice as large in the aposymbiotic samples than in both symbiotic groups (i.e. light and dark), while the trend was inverted for Simpson </w:t>
      </w:r>
      <w:r w:rsidRPr="00C23D56">
        <w:rPr>
          <w:rFonts w:cstheme="minorHAnsi"/>
        </w:rPr>
        <w:t>evenness (</w:t>
      </w:r>
      <w:r w:rsidR="00B02AB9" w:rsidRPr="00C23D56">
        <w:rPr>
          <w:rFonts w:cstheme="minorHAnsi"/>
        </w:rPr>
        <w:t xml:space="preserve">Additional Information File </w:t>
      </w:r>
      <w:r w:rsidR="00CA09B9" w:rsidRPr="00C23D56">
        <w:rPr>
          <w:rFonts w:cstheme="minorHAnsi"/>
        </w:rPr>
        <w:t>2</w:t>
      </w:r>
      <w:r w:rsidR="00B02AB9" w:rsidRPr="00C23D56">
        <w:rPr>
          <w:rFonts w:cstheme="minorHAnsi"/>
        </w:rPr>
        <w:t xml:space="preserve"> - </w:t>
      </w:r>
      <w:r w:rsidRPr="00C23D56">
        <w:rPr>
          <w:rFonts w:cstheme="minorHAnsi"/>
        </w:rPr>
        <w:t xml:space="preserve">Table </w:t>
      </w:r>
      <w:r w:rsidR="00935B84" w:rsidRPr="00C23D56">
        <w:rPr>
          <w:rFonts w:cstheme="minorHAnsi"/>
        </w:rPr>
        <w:t>S</w:t>
      </w:r>
      <w:r w:rsidR="00CA09B9" w:rsidRPr="00C23D56">
        <w:rPr>
          <w:rFonts w:cstheme="minorHAnsi"/>
        </w:rPr>
        <w:t>1</w:t>
      </w:r>
      <w:r w:rsidRPr="00C23D56">
        <w:rPr>
          <w:rFonts w:cstheme="minorHAnsi"/>
        </w:rPr>
        <w:t>). Biodiversity measured as inverse Simpson Index was similar for all three treatments. Comparison between aposymbiotic and symbiotic medusae were not</w:t>
      </w:r>
      <w:r w:rsidRPr="00AE024E">
        <w:rPr>
          <w:rFonts w:cstheme="minorHAnsi"/>
        </w:rPr>
        <w:t xml:space="preserve"> significant for Chao 1 (</w:t>
      </w:r>
      <w:proofErr w:type="spellStart"/>
      <w:r w:rsidRPr="00AE024E">
        <w:rPr>
          <w:rFonts w:cstheme="minorHAnsi"/>
          <w:i/>
          <w:iCs/>
        </w:rPr>
        <w:t>p</w:t>
      </w:r>
      <w:r w:rsidRPr="00AE024E">
        <w:rPr>
          <w:rFonts w:cstheme="minorHAnsi"/>
          <w:i/>
          <w:iCs/>
          <w:vertAlign w:val="subscript"/>
        </w:rPr>
        <w:t>Mann</w:t>
      </w:r>
      <w:proofErr w:type="spellEnd"/>
      <w:r w:rsidRPr="00AE024E">
        <w:rPr>
          <w:rFonts w:cstheme="minorHAnsi"/>
          <w:i/>
          <w:iCs/>
          <w:vertAlign w:val="subscript"/>
        </w:rPr>
        <w:t>-Whitney</w:t>
      </w:r>
      <w:r w:rsidRPr="00AE024E">
        <w:rPr>
          <w:rFonts w:cstheme="minorHAnsi"/>
        </w:rPr>
        <w:t>=0.055), Simpson evenness (</w:t>
      </w:r>
      <w:proofErr w:type="spellStart"/>
      <w:r w:rsidRPr="00AE024E">
        <w:rPr>
          <w:rFonts w:cstheme="minorHAnsi"/>
          <w:i/>
          <w:iCs/>
        </w:rPr>
        <w:t>p</w:t>
      </w:r>
      <w:r w:rsidRPr="00AE024E">
        <w:rPr>
          <w:rFonts w:cstheme="minorHAnsi"/>
          <w:i/>
          <w:iCs/>
          <w:vertAlign w:val="subscript"/>
        </w:rPr>
        <w:t>Mann</w:t>
      </w:r>
      <w:proofErr w:type="spellEnd"/>
      <w:r w:rsidRPr="00AE024E">
        <w:rPr>
          <w:rFonts w:cstheme="minorHAnsi"/>
          <w:i/>
          <w:iCs/>
          <w:vertAlign w:val="subscript"/>
        </w:rPr>
        <w:t>-Whitney</w:t>
      </w:r>
      <w:r w:rsidRPr="00AE024E">
        <w:rPr>
          <w:rFonts w:cstheme="minorHAnsi"/>
        </w:rPr>
        <w:t>=0.075), and inverse Simpson (</w:t>
      </w:r>
      <w:proofErr w:type="spellStart"/>
      <w:r w:rsidRPr="00AE024E">
        <w:rPr>
          <w:rFonts w:cstheme="minorHAnsi"/>
          <w:i/>
          <w:iCs/>
        </w:rPr>
        <w:t>p</w:t>
      </w:r>
      <w:r w:rsidRPr="00AE024E">
        <w:rPr>
          <w:rFonts w:cstheme="minorHAnsi"/>
          <w:i/>
          <w:iCs/>
          <w:vertAlign w:val="subscript"/>
        </w:rPr>
        <w:t>Mann</w:t>
      </w:r>
      <w:proofErr w:type="spellEnd"/>
      <w:r w:rsidRPr="00AE024E">
        <w:rPr>
          <w:rFonts w:cstheme="minorHAnsi"/>
          <w:i/>
          <w:iCs/>
          <w:vertAlign w:val="subscript"/>
        </w:rPr>
        <w:t>-Whitney</w:t>
      </w:r>
      <w:r w:rsidRPr="00AE024E">
        <w:rPr>
          <w:rFonts w:cstheme="minorHAnsi"/>
        </w:rPr>
        <w:t xml:space="preserve">=0.389) albeit the low </w:t>
      </w:r>
      <w:r w:rsidRPr="00AE024E">
        <w:rPr>
          <w:rFonts w:cstheme="minorHAnsi"/>
          <w:i/>
        </w:rPr>
        <w:t>p</w:t>
      </w:r>
      <w:r w:rsidRPr="00AE024E">
        <w:rPr>
          <w:rFonts w:cstheme="minorHAnsi"/>
        </w:rPr>
        <w:t>-value for species richness indicates a trend for richer communities in the aposymbiotic specimens.</w:t>
      </w:r>
    </w:p>
    <w:p w14:paraId="0A639EF7" w14:textId="77777777" w:rsidR="00AE024E" w:rsidRPr="00AE024E" w:rsidRDefault="00AE024E" w:rsidP="00AE024E">
      <w:pPr>
        <w:tabs>
          <w:tab w:val="left" w:pos="6390"/>
        </w:tabs>
        <w:spacing w:line="240" w:lineRule="auto"/>
        <w:rPr>
          <w:rFonts w:cstheme="minorHAnsi"/>
        </w:rPr>
      </w:pPr>
    </w:p>
    <w:p w14:paraId="1759C0DB" w14:textId="77777777" w:rsidR="00B02AB9" w:rsidRPr="00AE024E" w:rsidRDefault="00B02AB9" w:rsidP="00B02AB9">
      <w:pPr>
        <w:rPr>
          <w:rFonts w:cstheme="minorHAnsi"/>
        </w:rPr>
      </w:pPr>
      <w:r w:rsidRPr="00AE024E">
        <w:rPr>
          <w:rFonts w:cstheme="minorHAnsi"/>
          <w:noProof/>
        </w:rPr>
        <w:drawing>
          <wp:inline distT="0" distB="0" distL="0" distR="0" wp14:anchorId="139BC6CF" wp14:editId="127872BB">
            <wp:extent cx="5387340" cy="3265272"/>
            <wp:effectExtent l="0" t="0" r="3810" b="0"/>
            <wp:docPr id="17" name="Picture 17" descr="Rplot-rarefra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plot-rarefrac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8200" cy="3277915"/>
                    </a:xfrm>
                    <a:prstGeom prst="rect">
                      <a:avLst/>
                    </a:prstGeom>
                    <a:noFill/>
                    <a:ln>
                      <a:noFill/>
                    </a:ln>
                  </pic:spPr>
                </pic:pic>
              </a:graphicData>
            </a:graphic>
          </wp:inline>
        </w:drawing>
      </w:r>
    </w:p>
    <w:p w14:paraId="69483EBD" w14:textId="22D9A05C" w:rsidR="00B02AB9" w:rsidRPr="00AE024E" w:rsidRDefault="00B02AB9" w:rsidP="00B02AB9">
      <w:pPr>
        <w:rPr>
          <w:rFonts w:cstheme="minorHAnsi"/>
        </w:rPr>
      </w:pPr>
      <w:r w:rsidRPr="00C23D56">
        <w:rPr>
          <w:rFonts w:cstheme="minorHAnsi"/>
          <w:b/>
        </w:rPr>
        <w:t xml:space="preserve">Figure S5. </w:t>
      </w:r>
      <w:r w:rsidRPr="00C23D56">
        <w:rPr>
          <w:rFonts w:cstheme="minorHAnsi"/>
        </w:rPr>
        <w:t>Rarefaction</w:t>
      </w:r>
      <w:r w:rsidRPr="00AE024E">
        <w:rPr>
          <w:rFonts w:cstheme="minorHAnsi"/>
        </w:rPr>
        <w:t xml:space="preserve"> curves illustrating OTU richness as a function of sampling effort. </w:t>
      </w:r>
    </w:p>
    <w:p w14:paraId="4AC23435" w14:textId="77777777" w:rsidR="00B02AB9" w:rsidRDefault="00B02AB9" w:rsidP="00324964">
      <w:pPr>
        <w:tabs>
          <w:tab w:val="left" w:pos="6390"/>
        </w:tabs>
        <w:spacing w:line="480" w:lineRule="auto"/>
        <w:rPr>
          <w:rFonts w:cstheme="minorHAnsi"/>
        </w:rPr>
      </w:pPr>
    </w:p>
    <w:p w14:paraId="6881FDDC" w14:textId="77777777" w:rsidR="00AE024E" w:rsidRDefault="00AE024E" w:rsidP="00324964">
      <w:pPr>
        <w:tabs>
          <w:tab w:val="left" w:pos="6390"/>
        </w:tabs>
        <w:spacing w:line="480" w:lineRule="auto"/>
        <w:rPr>
          <w:rFonts w:cstheme="minorHAnsi"/>
        </w:rPr>
      </w:pPr>
    </w:p>
    <w:p w14:paraId="3BB01ABB" w14:textId="77777777" w:rsidR="00AE024E" w:rsidRDefault="00AE024E" w:rsidP="00324964">
      <w:pPr>
        <w:tabs>
          <w:tab w:val="left" w:pos="6390"/>
        </w:tabs>
        <w:spacing w:line="480" w:lineRule="auto"/>
        <w:rPr>
          <w:rFonts w:cstheme="minorHAnsi"/>
        </w:rPr>
      </w:pPr>
    </w:p>
    <w:p w14:paraId="6DFE52BF" w14:textId="77777777" w:rsidR="00AE024E" w:rsidRDefault="00AE024E" w:rsidP="00324964">
      <w:pPr>
        <w:tabs>
          <w:tab w:val="left" w:pos="6390"/>
        </w:tabs>
        <w:spacing w:line="480" w:lineRule="auto"/>
        <w:rPr>
          <w:rFonts w:cstheme="minorHAnsi"/>
        </w:rPr>
      </w:pPr>
    </w:p>
    <w:p w14:paraId="38808EA9" w14:textId="77777777" w:rsidR="00AE024E" w:rsidRPr="00AE024E" w:rsidRDefault="00AE024E" w:rsidP="00324964">
      <w:pPr>
        <w:tabs>
          <w:tab w:val="left" w:pos="6390"/>
        </w:tabs>
        <w:spacing w:line="480" w:lineRule="auto"/>
        <w:rPr>
          <w:rFonts w:cstheme="minorHAnsi"/>
        </w:rPr>
      </w:pPr>
    </w:p>
    <w:p w14:paraId="65D3958A" w14:textId="11E9B328" w:rsidR="00324964" w:rsidRPr="00AE024E" w:rsidRDefault="00324964" w:rsidP="00324964">
      <w:pPr>
        <w:tabs>
          <w:tab w:val="left" w:pos="6390"/>
        </w:tabs>
        <w:spacing w:line="240" w:lineRule="auto"/>
        <w:rPr>
          <w:rFonts w:cstheme="minorHAnsi"/>
        </w:rPr>
      </w:pPr>
      <w:r w:rsidRPr="00C23D56">
        <w:rPr>
          <w:rFonts w:cstheme="minorHAnsi"/>
          <w:b/>
        </w:rPr>
        <w:t xml:space="preserve">Table </w:t>
      </w:r>
      <w:r w:rsidR="00935B84" w:rsidRPr="00C23D56">
        <w:rPr>
          <w:rFonts w:cstheme="minorHAnsi"/>
          <w:b/>
        </w:rPr>
        <w:t>S</w:t>
      </w:r>
      <w:r w:rsidR="00CA09B9" w:rsidRPr="00C23D56">
        <w:rPr>
          <w:rFonts w:cstheme="minorHAnsi"/>
          <w:b/>
        </w:rPr>
        <w:t>1</w:t>
      </w:r>
      <w:r w:rsidRPr="00C23D56">
        <w:rPr>
          <w:rFonts w:cstheme="minorHAnsi"/>
          <w:b/>
        </w:rPr>
        <w:t>.</w:t>
      </w:r>
      <w:r w:rsidRPr="00C23D56">
        <w:rPr>
          <w:rFonts w:cstheme="minorHAnsi"/>
        </w:rPr>
        <w:t xml:space="preserve"> Summary</w:t>
      </w:r>
      <w:r w:rsidRPr="00AE024E">
        <w:rPr>
          <w:rFonts w:cstheme="minorHAnsi"/>
        </w:rPr>
        <w:t xml:space="preserve"> statistics detailing microbial communities associated with </w:t>
      </w:r>
      <w:r w:rsidRPr="00AE024E">
        <w:rPr>
          <w:rFonts w:cstheme="minorHAnsi"/>
          <w:i/>
        </w:rPr>
        <w:t xml:space="preserve">C. xamachana. </w:t>
      </w:r>
    </w:p>
    <w:tbl>
      <w:tblPr>
        <w:tblW w:w="6372" w:type="dxa"/>
        <w:tblLook w:val="04A0" w:firstRow="1" w:lastRow="0" w:firstColumn="1" w:lastColumn="0" w:noHBand="0" w:noVBand="1"/>
      </w:tblPr>
      <w:tblGrid>
        <w:gridCol w:w="1119"/>
        <w:gridCol w:w="1171"/>
        <w:gridCol w:w="1062"/>
        <w:gridCol w:w="960"/>
        <w:gridCol w:w="1064"/>
        <w:gridCol w:w="996"/>
      </w:tblGrid>
      <w:tr w:rsidR="00324964" w:rsidRPr="00AE024E" w14:paraId="3527CBE9" w14:textId="77777777" w:rsidTr="00921FA1">
        <w:trPr>
          <w:trHeight w:val="588"/>
        </w:trPr>
        <w:tc>
          <w:tcPr>
            <w:tcW w:w="1119" w:type="dxa"/>
            <w:tcBorders>
              <w:top w:val="nil"/>
              <w:left w:val="nil"/>
              <w:bottom w:val="nil"/>
              <w:right w:val="nil"/>
            </w:tcBorders>
            <w:shd w:val="clear" w:color="auto" w:fill="auto"/>
            <w:noWrap/>
            <w:vAlign w:val="bottom"/>
            <w:hideMark/>
          </w:tcPr>
          <w:p w14:paraId="011CAB13" w14:textId="77777777" w:rsidR="00324964" w:rsidRPr="00AE024E" w:rsidRDefault="00324964" w:rsidP="00921FA1">
            <w:pPr>
              <w:spacing w:after="0" w:line="240" w:lineRule="auto"/>
              <w:rPr>
                <w:rFonts w:eastAsia="Times New Roman" w:cstheme="minorHAnsi"/>
                <w:sz w:val="24"/>
                <w:szCs w:val="24"/>
              </w:rPr>
            </w:pPr>
          </w:p>
        </w:tc>
        <w:tc>
          <w:tcPr>
            <w:tcW w:w="1171" w:type="dxa"/>
            <w:tcBorders>
              <w:top w:val="nil"/>
              <w:left w:val="nil"/>
              <w:bottom w:val="single" w:sz="8" w:space="0" w:color="auto"/>
              <w:right w:val="nil"/>
            </w:tcBorders>
            <w:shd w:val="clear" w:color="auto" w:fill="auto"/>
            <w:vAlign w:val="center"/>
            <w:hideMark/>
          </w:tcPr>
          <w:p w14:paraId="43DBA682"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 of sequences</w:t>
            </w:r>
          </w:p>
        </w:tc>
        <w:tc>
          <w:tcPr>
            <w:tcW w:w="1062" w:type="dxa"/>
            <w:tcBorders>
              <w:top w:val="nil"/>
              <w:left w:val="nil"/>
              <w:bottom w:val="single" w:sz="8" w:space="0" w:color="auto"/>
              <w:right w:val="nil"/>
            </w:tcBorders>
            <w:shd w:val="clear" w:color="auto" w:fill="auto"/>
            <w:vAlign w:val="center"/>
            <w:hideMark/>
          </w:tcPr>
          <w:p w14:paraId="5C8FA251"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observed OTUs</w:t>
            </w:r>
          </w:p>
        </w:tc>
        <w:tc>
          <w:tcPr>
            <w:tcW w:w="960" w:type="dxa"/>
            <w:tcBorders>
              <w:top w:val="nil"/>
              <w:left w:val="nil"/>
              <w:bottom w:val="single" w:sz="8" w:space="0" w:color="auto"/>
              <w:right w:val="nil"/>
            </w:tcBorders>
            <w:shd w:val="clear" w:color="auto" w:fill="auto"/>
            <w:noWrap/>
            <w:vAlign w:val="center"/>
            <w:hideMark/>
          </w:tcPr>
          <w:p w14:paraId="0D52E19C"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Chao 1</w:t>
            </w:r>
          </w:p>
        </w:tc>
        <w:tc>
          <w:tcPr>
            <w:tcW w:w="1064" w:type="dxa"/>
            <w:tcBorders>
              <w:top w:val="nil"/>
              <w:left w:val="nil"/>
              <w:bottom w:val="single" w:sz="8" w:space="0" w:color="auto"/>
              <w:right w:val="nil"/>
            </w:tcBorders>
            <w:shd w:val="clear" w:color="auto" w:fill="auto"/>
            <w:vAlign w:val="center"/>
            <w:hideMark/>
          </w:tcPr>
          <w:p w14:paraId="3FA5CB87"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Simpson evenness</w:t>
            </w:r>
          </w:p>
        </w:tc>
        <w:tc>
          <w:tcPr>
            <w:tcW w:w="996" w:type="dxa"/>
            <w:tcBorders>
              <w:top w:val="nil"/>
              <w:left w:val="nil"/>
              <w:bottom w:val="single" w:sz="8" w:space="0" w:color="auto"/>
              <w:right w:val="nil"/>
            </w:tcBorders>
            <w:shd w:val="clear" w:color="auto" w:fill="auto"/>
            <w:vAlign w:val="center"/>
            <w:hideMark/>
          </w:tcPr>
          <w:p w14:paraId="567DDA2D"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inverse Simpson</w:t>
            </w:r>
          </w:p>
        </w:tc>
      </w:tr>
      <w:tr w:rsidR="00324964" w:rsidRPr="00AE024E" w14:paraId="0403FC73" w14:textId="77777777" w:rsidTr="00921FA1">
        <w:trPr>
          <w:trHeight w:val="288"/>
        </w:trPr>
        <w:tc>
          <w:tcPr>
            <w:tcW w:w="1119" w:type="dxa"/>
            <w:tcBorders>
              <w:top w:val="nil"/>
              <w:left w:val="nil"/>
              <w:bottom w:val="single" w:sz="4" w:space="0" w:color="auto"/>
              <w:right w:val="nil"/>
            </w:tcBorders>
            <w:shd w:val="clear" w:color="auto" w:fill="auto"/>
            <w:noWrap/>
            <w:vAlign w:val="bottom"/>
            <w:hideMark/>
          </w:tcPr>
          <w:p w14:paraId="52C68222"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Control</w:t>
            </w:r>
          </w:p>
        </w:tc>
        <w:tc>
          <w:tcPr>
            <w:tcW w:w="1171" w:type="dxa"/>
            <w:tcBorders>
              <w:top w:val="nil"/>
              <w:left w:val="nil"/>
              <w:bottom w:val="single" w:sz="4" w:space="0" w:color="auto"/>
              <w:right w:val="nil"/>
            </w:tcBorders>
            <w:shd w:val="clear" w:color="auto" w:fill="auto"/>
            <w:noWrap/>
            <w:vAlign w:val="center"/>
            <w:hideMark/>
          </w:tcPr>
          <w:p w14:paraId="247B400C"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87</w:t>
            </w:r>
          </w:p>
        </w:tc>
        <w:tc>
          <w:tcPr>
            <w:tcW w:w="1062" w:type="dxa"/>
            <w:tcBorders>
              <w:top w:val="nil"/>
              <w:left w:val="nil"/>
              <w:bottom w:val="single" w:sz="4" w:space="0" w:color="auto"/>
              <w:right w:val="nil"/>
            </w:tcBorders>
            <w:shd w:val="clear" w:color="auto" w:fill="auto"/>
            <w:noWrap/>
            <w:vAlign w:val="center"/>
            <w:hideMark/>
          </w:tcPr>
          <w:p w14:paraId="2754E334"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15</w:t>
            </w:r>
          </w:p>
        </w:tc>
        <w:tc>
          <w:tcPr>
            <w:tcW w:w="960" w:type="dxa"/>
            <w:tcBorders>
              <w:top w:val="nil"/>
              <w:left w:val="nil"/>
              <w:bottom w:val="single" w:sz="4" w:space="0" w:color="auto"/>
              <w:right w:val="nil"/>
            </w:tcBorders>
            <w:shd w:val="clear" w:color="auto" w:fill="auto"/>
            <w:noWrap/>
            <w:vAlign w:val="center"/>
            <w:hideMark/>
          </w:tcPr>
          <w:p w14:paraId="7E9D095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16.2</w:t>
            </w:r>
          </w:p>
        </w:tc>
        <w:tc>
          <w:tcPr>
            <w:tcW w:w="1064" w:type="dxa"/>
            <w:tcBorders>
              <w:top w:val="nil"/>
              <w:left w:val="nil"/>
              <w:bottom w:val="single" w:sz="4" w:space="0" w:color="auto"/>
              <w:right w:val="nil"/>
            </w:tcBorders>
            <w:shd w:val="clear" w:color="auto" w:fill="auto"/>
            <w:noWrap/>
            <w:vAlign w:val="center"/>
            <w:hideMark/>
          </w:tcPr>
          <w:p w14:paraId="697D664A"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0.271</w:t>
            </w:r>
          </w:p>
        </w:tc>
        <w:tc>
          <w:tcPr>
            <w:tcW w:w="996" w:type="dxa"/>
            <w:tcBorders>
              <w:top w:val="nil"/>
              <w:left w:val="nil"/>
              <w:bottom w:val="single" w:sz="4" w:space="0" w:color="auto"/>
              <w:right w:val="nil"/>
            </w:tcBorders>
            <w:shd w:val="clear" w:color="auto" w:fill="auto"/>
            <w:noWrap/>
            <w:vAlign w:val="center"/>
            <w:hideMark/>
          </w:tcPr>
          <w:p w14:paraId="0ACA0A90"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4.06</w:t>
            </w:r>
          </w:p>
        </w:tc>
      </w:tr>
      <w:tr w:rsidR="00324964" w:rsidRPr="00AE024E" w14:paraId="631D9F01" w14:textId="77777777" w:rsidTr="00921FA1">
        <w:trPr>
          <w:trHeight w:val="288"/>
        </w:trPr>
        <w:tc>
          <w:tcPr>
            <w:tcW w:w="1119" w:type="dxa"/>
            <w:tcBorders>
              <w:top w:val="nil"/>
              <w:left w:val="nil"/>
              <w:bottom w:val="nil"/>
              <w:right w:val="nil"/>
            </w:tcBorders>
            <w:shd w:val="clear" w:color="auto" w:fill="auto"/>
            <w:noWrap/>
            <w:vAlign w:val="bottom"/>
            <w:hideMark/>
          </w:tcPr>
          <w:p w14:paraId="27F87BDB"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ApoLPul1</w:t>
            </w:r>
          </w:p>
        </w:tc>
        <w:tc>
          <w:tcPr>
            <w:tcW w:w="1171" w:type="dxa"/>
            <w:tcBorders>
              <w:top w:val="nil"/>
              <w:left w:val="nil"/>
              <w:bottom w:val="nil"/>
              <w:right w:val="nil"/>
            </w:tcBorders>
            <w:shd w:val="clear" w:color="auto" w:fill="auto"/>
            <w:noWrap/>
            <w:vAlign w:val="center"/>
            <w:hideMark/>
          </w:tcPr>
          <w:p w14:paraId="02B43D41"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13851</w:t>
            </w:r>
          </w:p>
        </w:tc>
        <w:tc>
          <w:tcPr>
            <w:tcW w:w="1062" w:type="dxa"/>
            <w:tcBorders>
              <w:top w:val="nil"/>
              <w:left w:val="nil"/>
              <w:bottom w:val="nil"/>
              <w:right w:val="nil"/>
            </w:tcBorders>
            <w:shd w:val="clear" w:color="auto" w:fill="auto"/>
            <w:noWrap/>
            <w:vAlign w:val="center"/>
            <w:hideMark/>
          </w:tcPr>
          <w:p w14:paraId="579E9F08"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121</w:t>
            </w:r>
          </w:p>
        </w:tc>
        <w:tc>
          <w:tcPr>
            <w:tcW w:w="960" w:type="dxa"/>
            <w:tcBorders>
              <w:top w:val="nil"/>
              <w:left w:val="nil"/>
              <w:bottom w:val="nil"/>
              <w:right w:val="nil"/>
            </w:tcBorders>
            <w:shd w:val="clear" w:color="auto" w:fill="auto"/>
            <w:noWrap/>
            <w:vAlign w:val="center"/>
            <w:hideMark/>
          </w:tcPr>
          <w:p w14:paraId="7B47ED7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138.1</w:t>
            </w:r>
          </w:p>
        </w:tc>
        <w:tc>
          <w:tcPr>
            <w:tcW w:w="1064" w:type="dxa"/>
            <w:tcBorders>
              <w:top w:val="nil"/>
              <w:left w:val="nil"/>
              <w:bottom w:val="nil"/>
              <w:right w:val="nil"/>
            </w:tcBorders>
            <w:shd w:val="clear" w:color="auto" w:fill="auto"/>
            <w:noWrap/>
            <w:vAlign w:val="center"/>
            <w:hideMark/>
          </w:tcPr>
          <w:p w14:paraId="116EE7B9"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0.017</w:t>
            </w:r>
          </w:p>
        </w:tc>
        <w:tc>
          <w:tcPr>
            <w:tcW w:w="996" w:type="dxa"/>
            <w:tcBorders>
              <w:top w:val="nil"/>
              <w:left w:val="nil"/>
              <w:bottom w:val="nil"/>
              <w:right w:val="nil"/>
            </w:tcBorders>
            <w:shd w:val="clear" w:color="auto" w:fill="auto"/>
            <w:noWrap/>
            <w:vAlign w:val="center"/>
            <w:hideMark/>
          </w:tcPr>
          <w:p w14:paraId="66BC5BE0"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2.08</w:t>
            </w:r>
          </w:p>
        </w:tc>
      </w:tr>
      <w:tr w:rsidR="00324964" w:rsidRPr="00AE024E" w14:paraId="586D6E4D" w14:textId="77777777" w:rsidTr="00921FA1">
        <w:trPr>
          <w:trHeight w:val="288"/>
        </w:trPr>
        <w:tc>
          <w:tcPr>
            <w:tcW w:w="1119" w:type="dxa"/>
            <w:tcBorders>
              <w:top w:val="nil"/>
              <w:left w:val="nil"/>
              <w:bottom w:val="nil"/>
              <w:right w:val="nil"/>
            </w:tcBorders>
            <w:shd w:val="clear" w:color="auto" w:fill="auto"/>
            <w:noWrap/>
            <w:vAlign w:val="bottom"/>
            <w:hideMark/>
          </w:tcPr>
          <w:p w14:paraId="0269C228"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ApoLPul2</w:t>
            </w:r>
          </w:p>
        </w:tc>
        <w:tc>
          <w:tcPr>
            <w:tcW w:w="1171" w:type="dxa"/>
            <w:tcBorders>
              <w:top w:val="nil"/>
              <w:left w:val="nil"/>
              <w:bottom w:val="nil"/>
              <w:right w:val="nil"/>
            </w:tcBorders>
            <w:shd w:val="clear" w:color="auto" w:fill="auto"/>
            <w:noWrap/>
            <w:vAlign w:val="center"/>
            <w:hideMark/>
          </w:tcPr>
          <w:p w14:paraId="2E4A3560"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15087</w:t>
            </w:r>
          </w:p>
        </w:tc>
        <w:tc>
          <w:tcPr>
            <w:tcW w:w="1062" w:type="dxa"/>
            <w:tcBorders>
              <w:top w:val="nil"/>
              <w:left w:val="nil"/>
              <w:bottom w:val="nil"/>
              <w:right w:val="nil"/>
            </w:tcBorders>
            <w:shd w:val="clear" w:color="auto" w:fill="auto"/>
            <w:noWrap/>
            <w:vAlign w:val="center"/>
            <w:hideMark/>
          </w:tcPr>
          <w:p w14:paraId="6FEE6A3B"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132</w:t>
            </w:r>
          </w:p>
        </w:tc>
        <w:tc>
          <w:tcPr>
            <w:tcW w:w="960" w:type="dxa"/>
            <w:tcBorders>
              <w:top w:val="nil"/>
              <w:left w:val="nil"/>
              <w:bottom w:val="nil"/>
              <w:right w:val="nil"/>
            </w:tcBorders>
            <w:shd w:val="clear" w:color="auto" w:fill="auto"/>
            <w:noWrap/>
            <w:vAlign w:val="center"/>
            <w:hideMark/>
          </w:tcPr>
          <w:p w14:paraId="286E5FC8"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140.6</w:t>
            </w:r>
          </w:p>
        </w:tc>
        <w:tc>
          <w:tcPr>
            <w:tcW w:w="1064" w:type="dxa"/>
            <w:tcBorders>
              <w:top w:val="nil"/>
              <w:left w:val="nil"/>
              <w:bottom w:val="nil"/>
              <w:right w:val="nil"/>
            </w:tcBorders>
            <w:shd w:val="clear" w:color="auto" w:fill="auto"/>
            <w:noWrap/>
            <w:vAlign w:val="center"/>
            <w:hideMark/>
          </w:tcPr>
          <w:p w14:paraId="2D5D495C"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0.016</w:t>
            </w:r>
          </w:p>
        </w:tc>
        <w:tc>
          <w:tcPr>
            <w:tcW w:w="996" w:type="dxa"/>
            <w:tcBorders>
              <w:top w:val="nil"/>
              <w:left w:val="nil"/>
              <w:bottom w:val="nil"/>
              <w:right w:val="nil"/>
            </w:tcBorders>
            <w:shd w:val="clear" w:color="auto" w:fill="auto"/>
            <w:noWrap/>
            <w:vAlign w:val="center"/>
            <w:hideMark/>
          </w:tcPr>
          <w:p w14:paraId="6ED40FC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2.06</w:t>
            </w:r>
          </w:p>
        </w:tc>
      </w:tr>
      <w:tr w:rsidR="00324964" w:rsidRPr="00AE024E" w14:paraId="29688591" w14:textId="77777777" w:rsidTr="00921FA1">
        <w:trPr>
          <w:trHeight w:val="288"/>
        </w:trPr>
        <w:tc>
          <w:tcPr>
            <w:tcW w:w="1119" w:type="dxa"/>
            <w:tcBorders>
              <w:top w:val="nil"/>
              <w:left w:val="nil"/>
              <w:bottom w:val="nil"/>
              <w:right w:val="nil"/>
            </w:tcBorders>
            <w:shd w:val="clear" w:color="auto" w:fill="auto"/>
            <w:noWrap/>
            <w:vAlign w:val="bottom"/>
            <w:hideMark/>
          </w:tcPr>
          <w:p w14:paraId="792D5E4E"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ApoLPul3</w:t>
            </w:r>
          </w:p>
        </w:tc>
        <w:tc>
          <w:tcPr>
            <w:tcW w:w="1171" w:type="dxa"/>
            <w:tcBorders>
              <w:top w:val="nil"/>
              <w:left w:val="nil"/>
              <w:bottom w:val="nil"/>
              <w:right w:val="nil"/>
            </w:tcBorders>
            <w:shd w:val="clear" w:color="auto" w:fill="auto"/>
            <w:noWrap/>
            <w:vAlign w:val="center"/>
            <w:hideMark/>
          </w:tcPr>
          <w:p w14:paraId="5C87CA79"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12662</w:t>
            </w:r>
          </w:p>
        </w:tc>
        <w:tc>
          <w:tcPr>
            <w:tcW w:w="1062" w:type="dxa"/>
            <w:tcBorders>
              <w:top w:val="nil"/>
              <w:left w:val="nil"/>
              <w:bottom w:val="nil"/>
              <w:right w:val="nil"/>
            </w:tcBorders>
            <w:shd w:val="clear" w:color="auto" w:fill="auto"/>
            <w:noWrap/>
            <w:vAlign w:val="center"/>
            <w:hideMark/>
          </w:tcPr>
          <w:p w14:paraId="606F72C6"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313</w:t>
            </w:r>
          </w:p>
        </w:tc>
        <w:tc>
          <w:tcPr>
            <w:tcW w:w="960" w:type="dxa"/>
            <w:tcBorders>
              <w:top w:val="nil"/>
              <w:left w:val="nil"/>
              <w:bottom w:val="nil"/>
              <w:right w:val="nil"/>
            </w:tcBorders>
            <w:shd w:val="clear" w:color="auto" w:fill="auto"/>
            <w:noWrap/>
            <w:vAlign w:val="center"/>
            <w:hideMark/>
          </w:tcPr>
          <w:p w14:paraId="2E93089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317.7</w:t>
            </w:r>
          </w:p>
        </w:tc>
        <w:tc>
          <w:tcPr>
            <w:tcW w:w="1064" w:type="dxa"/>
            <w:tcBorders>
              <w:top w:val="nil"/>
              <w:left w:val="nil"/>
              <w:bottom w:val="nil"/>
              <w:right w:val="nil"/>
            </w:tcBorders>
            <w:shd w:val="clear" w:color="auto" w:fill="auto"/>
            <w:noWrap/>
            <w:vAlign w:val="center"/>
            <w:hideMark/>
          </w:tcPr>
          <w:p w14:paraId="59BC9F6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0.007</w:t>
            </w:r>
          </w:p>
        </w:tc>
        <w:tc>
          <w:tcPr>
            <w:tcW w:w="996" w:type="dxa"/>
            <w:tcBorders>
              <w:top w:val="nil"/>
              <w:left w:val="nil"/>
              <w:bottom w:val="nil"/>
              <w:right w:val="nil"/>
            </w:tcBorders>
            <w:shd w:val="clear" w:color="auto" w:fill="auto"/>
            <w:noWrap/>
            <w:vAlign w:val="center"/>
            <w:hideMark/>
          </w:tcPr>
          <w:p w14:paraId="343D295C"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2.34</w:t>
            </w:r>
          </w:p>
        </w:tc>
      </w:tr>
      <w:tr w:rsidR="00324964" w:rsidRPr="00AE024E" w14:paraId="4FDBC222" w14:textId="77777777" w:rsidTr="00921FA1">
        <w:trPr>
          <w:trHeight w:val="288"/>
        </w:trPr>
        <w:tc>
          <w:tcPr>
            <w:tcW w:w="1119" w:type="dxa"/>
            <w:tcBorders>
              <w:top w:val="nil"/>
              <w:left w:val="nil"/>
              <w:bottom w:val="nil"/>
              <w:right w:val="nil"/>
            </w:tcBorders>
            <w:shd w:val="clear" w:color="auto" w:fill="auto"/>
            <w:noWrap/>
            <w:vAlign w:val="bottom"/>
            <w:hideMark/>
          </w:tcPr>
          <w:p w14:paraId="29D8C8AB"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ApoLPul4</w:t>
            </w:r>
          </w:p>
        </w:tc>
        <w:tc>
          <w:tcPr>
            <w:tcW w:w="1171" w:type="dxa"/>
            <w:tcBorders>
              <w:top w:val="nil"/>
              <w:left w:val="nil"/>
              <w:bottom w:val="nil"/>
              <w:right w:val="nil"/>
            </w:tcBorders>
            <w:shd w:val="clear" w:color="auto" w:fill="auto"/>
            <w:noWrap/>
            <w:vAlign w:val="center"/>
            <w:hideMark/>
          </w:tcPr>
          <w:p w14:paraId="7C971C69"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10545</w:t>
            </w:r>
          </w:p>
        </w:tc>
        <w:tc>
          <w:tcPr>
            <w:tcW w:w="1062" w:type="dxa"/>
            <w:tcBorders>
              <w:top w:val="nil"/>
              <w:left w:val="nil"/>
              <w:bottom w:val="nil"/>
              <w:right w:val="nil"/>
            </w:tcBorders>
            <w:shd w:val="clear" w:color="auto" w:fill="auto"/>
            <w:noWrap/>
            <w:vAlign w:val="center"/>
            <w:hideMark/>
          </w:tcPr>
          <w:p w14:paraId="4C29F59C"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52</w:t>
            </w:r>
          </w:p>
        </w:tc>
        <w:tc>
          <w:tcPr>
            <w:tcW w:w="960" w:type="dxa"/>
            <w:tcBorders>
              <w:top w:val="nil"/>
              <w:left w:val="nil"/>
              <w:bottom w:val="nil"/>
              <w:right w:val="nil"/>
            </w:tcBorders>
            <w:shd w:val="clear" w:color="auto" w:fill="auto"/>
            <w:noWrap/>
            <w:vAlign w:val="center"/>
            <w:hideMark/>
          </w:tcPr>
          <w:p w14:paraId="00C0391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69.5</w:t>
            </w:r>
          </w:p>
        </w:tc>
        <w:tc>
          <w:tcPr>
            <w:tcW w:w="1064" w:type="dxa"/>
            <w:tcBorders>
              <w:top w:val="nil"/>
              <w:left w:val="nil"/>
              <w:bottom w:val="nil"/>
              <w:right w:val="nil"/>
            </w:tcBorders>
            <w:shd w:val="clear" w:color="auto" w:fill="auto"/>
            <w:noWrap/>
            <w:vAlign w:val="center"/>
            <w:hideMark/>
          </w:tcPr>
          <w:p w14:paraId="695BE666"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0.039</w:t>
            </w:r>
          </w:p>
        </w:tc>
        <w:tc>
          <w:tcPr>
            <w:tcW w:w="996" w:type="dxa"/>
            <w:tcBorders>
              <w:top w:val="nil"/>
              <w:left w:val="nil"/>
              <w:bottom w:val="nil"/>
              <w:right w:val="nil"/>
            </w:tcBorders>
            <w:shd w:val="clear" w:color="auto" w:fill="auto"/>
            <w:noWrap/>
            <w:vAlign w:val="center"/>
            <w:hideMark/>
          </w:tcPr>
          <w:p w14:paraId="05A2C13C"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2.01</w:t>
            </w:r>
          </w:p>
        </w:tc>
      </w:tr>
      <w:tr w:rsidR="00324964" w:rsidRPr="00AE024E" w14:paraId="14B4459C" w14:textId="77777777" w:rsidTr="00921FA1">
        <w:trPr>
          <w:trHeight w:val="288"/>
        </w:trPr>
        <w:tc>
          <w:tcPr>
            <w:tcW w:w="1119" w:type="dxa"/>
            <w:tcBorders>
              <w:top w:val="nil"/>
              <w:left w:val="nil"/>
              <w:bottom w:val="nil"/>
              <w:right w:val="nil"/>
            </w:tcBorders>
            <w:shd w:val="clear" w:color="auto" w:fill="auto"/>
            <w:noWrap/>
            <w:vAlign w:val="bottom"/>
            <w:hideMark/>
          </w:tcPr>
          <w:p w14:paraId="3CB37A0E"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ApoLPul5</w:t>
            </w:r>
          </w:p>
        </w:tc>
        <w:tc>
          <w:tcPr>
            <w:tcW w:w="1171" w:type="dxa"/>
            <w:tcBorders>
              <w:top w:val="nil"/>
              <w:left w:val="nil"/>
              <w:bottom w:val="nil"/>
              <w:right w:val="nil"/>
            </w:tcBorders>
            <w:shd w:val="clear" w:color="auto" w:fill="auto"/>
            <w:noWrap/>
            <w:vAlign w:val="center"/>
            <w:hideMark/>
          </w:tcPr>
          <w:p w14:paraId="4C5E2D8C"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17310</w:t>
            </w:r>
          </w:p>
        </w:tc>
        <w:tc>
          <w:tcPr>
            <w:tcW w:w="1062" w:type="dxa"/>
            <w:tcBorders>
              <w:top w:val="nil"/>
              <w:left w:val="nil"/>
              <w:bottom w:val="nil"/>
              <w:right w:val="nil"/>
            </w:tcBorders>
            <w:shd w:val="clear" w:color="auto" w:fill="auto"/>
            <w:noWrap/>
            <w:vAlign w:val="center"/>
            <w:hideMark/>
          </w:tcPr>
          <w:p w14:paraId="5406321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179</w:t>
            </w:r>
          </w:p>
        </w:tc>
        <w:tc>
          <w:tcPr>
            <w:tcW w:w="960" w:type="dxa"/>
            <w:tcBorders>
              <w:top w:val="nil"/>
              <w:left w:val="nil"/>
              <w:bottom w:val="nil"/>
              <w:right w:val="nil"/>
            </w:tcBorders>
            <w:shd w:val="clear" w:color="auto" w:fill="auto"/>
            <w:noWrap/>
            <w:vAlign w:val="center"/>
            <w:hideMark/>
          </w:tcPr>
          <w:p w14:paraId="0CBD9613"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185.3</w:t>
            </w:r>
          </w:p>
        </w:tc>
        <w:tc>
          <w:tcPr>
            <w:tcW w:w="1064" w:type="dxa"/>
            <w:tcBorders>
              <w:top w:val="nil"/>
              <w:left w:val="nil"/>
              <w:bottom w:val="nil"/>
              <w:right w:val="nil"/>
            </w:tcBorders>
            <w:shd w:val="clear" w:color="auto" w:fill="auto"/>
            <w:noWrap/>
            <w:vAlign w:val="center"/>
            <w:hideMark/>
          </w:tcPr>
          <w:p w14:paraId="6032FCF7"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0.011</w:t>
            </w:r>
          </w:p>
        </w:tc>
        <w:tc>
          <w:tcPr>
            <w:tcW w:w="996" w:type="dxa"/>
            <w:tcBorders>
              <w:top w:val="nil"/>
              <w:left w:val="nil"/>
              <w:bottom w:val="nil"/>
              <w:right w:val="nil"/>
            </w:tcBorders>
            <w:shd w:val="clear" w:color="auto" w:fill="auto"/>
            <w:noWrap/>
            <w:vAlign w:val="center"/>
            <w:hideMark/>
          </w:tcPr>
          <w:p w14:paraId="1F1F7410"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2.03</w:t>
            </w:r>
          </w:p>
        </w:tc>
      </w:tr>
      <w:tr w:rsidR="00324964" w:rsidRPr="00AE024E" w14:paraId="12FBD8BA" w14:textId="77777777" w:rsidTr="00921FA1">
        <w:trPr>
          <w:trHeight w:val="288"/>
        </w:trPr>
        <w:tc>
          <w:tcPr>
            <w:tcW w:w="1119" w:type="dxa"/>
            <w:tcBorders>
              <w:top w:val="nil"/>
              <w:left w:val="nil"/>
              <w:bottom w:val="nil"/>
              <w:right w:val="nil"/>
            </w:tcBorders>
            <w:shd w:val="clear" w:color="auto" w:fill="auto"/>
            <w:noWrap/>
            <w:vAlign w:val="bottom"/>
            <w:hideMark/>
          </w:tcPr>
          <w:p w14:paraId="62DF2333" w14:textId="77777777" w:rsidR="00324964" w:rsidRPr="00AE024E" w:rsidRDefault="00324964" w:rsidP="00921FA1">
            <w:pPr>
              <w:spacing w:after="0" w:line="240" w:lineRule="auto"/>
              <w:rPr>
                <w:rFonts w:eastAsia="Times New Roman" w:cstheme="minorHAnsi"/>
                <w:b/>
                <w:bCs/>
                <w:color w:val="000000"/>
              </w:rPr>
            </w:pPr>
            <w:r w:rsidRPr="00AE024E">
              <w:rPr>
                <w:rFonts w:eastAsia="Times New Roman" w:cstheme="minorHAnsi"/>
                <w:b/>
                <w:bCs/>
                <w:color w:val="000000"/>
              </w:rPr>
              <w:t>Mean</w:t>
            </w:r>
          </w:p>
        </w:tc>
        <w:tc>
          <w:tcPr>
            <w:tcW w:w="1171" w:type="dxa"/>
            <w:tcBorders>
              <w:top w:val="nil"/>
              <w:left w:val="nil"/>
              <w:bottom w:val="nil"/>
              <w:right w:val="nil"/>
            </w:tcBorders>
            <w:shd w:val="clear" w:color="auto" w:fill="auto"/>
            <w:noWrap/>
            <w:vAlign w:val="center"/>
            <w:hideMark/>
          </w:tcPr>
          <w:p w14:paraId="255637D7"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13891</w:t>
            </w:r>
          </w:p>
        </w:tc>
        <w:tc>
          <w:tcPr>
            <w:tcW w:w="1062" w:type="dxa"/>
            <w:tcBorders>
              <w:top w:val="nil"/>
              <w:left w:val="nil"/>
              <w:bottom w:val="nil"/>
              <w:right w:val="nil"/>
            </w:tcBorders>
            <w:shd w:val="clear" w:color="auto" w:fill="auto"/>
            <w:noWrap/>
            <w:vAlign w:val="center"/>
            <w:hideMark/>
          </w:tcPr>
          <w:p w14:paraId="77A9048D"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159</w:t>
            </w:r>
          </w:p>
        </w:tc>
        <w:tc>
          <w:tcPr>
            <w:tcW w:w="960" w:type="dxa"/>
            <w:tcBorders>
              <w:top w:val="nil"/>
              <w:left w:val="nil"/>
              <w:bottom w:val="nil"/>
              <w:right w:val="nil"/>
            </w:tcBorders>
            <w:shd w:val="clear" w:color="auto" w:fill="auto"/>
            <w:noWrap/>
            <w:vAlign w:val="center"/>
            <w:hideMark/>
          </w:tcPr>
          <w:p w14:paraId="2A208012"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170.2</w:t>
            </w:r>
          </w:p>
        </w:tc>
        <w:tc>
          <w:tcPr>
            <w:tcW w:w="1064" w:type="dxa"/>
            <w:tcBorders>
              <w:top w:val="nil"/>
              <w:left w:val="nil"/>
              <w:bottom w:val="nil"/>
              <w:right w:val="nil"/>
            </w:tcBorders>
            <w:shd w:val="clear" w:color="auto" w:fill="auto"/>
            <w:noWrap/>
            <w:vAlign w:val="center"/>
            <w:hideMark/>
          </w:tcPr>
          <w:p w14:paraId="3BDE0D47"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0.018</w:t>
            </w:r>
          </w:p>
        </w:tc>
        <w:tc>
          <w:tcPr>
            <w:tcW w:w="996" w:type="dxa"/>
            <w:tcBorders>
              <w:top w:val="nil"/>
              <w:left w:val="nil"/>
              <w:bottom w:val="nil"/>
              <w:right w:val="nil"/>
            </w:tcBorders>
            <w:shd w:val="clear" w:color="auto" w:fill="auto"/>
            <w:noWrap/>
            <w:vAlign w:val="center"/>
            <w:hideMark/>
          </w:tcPr>
          <w:p w14:paraId="50B0355C"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2.10</w:t>
            </w:r>
          </w:p>
        </w:tc>
      </w:tr>
      <w:tr w:rsidR="00324964" w:rsidRPr="00AE024E" w14:paraId="5FBAEDE4" w14:textId="77777777" w:rsidTr="00921FA1">
        <w:trPr>
          <w:trHeight w:val="288"/>
        </w:trPr>
        <w:tc>
          <w:tcPr>
            <w:tcW w:w="1119" w:type="dxa"/>
            <w:tcBorders>
              <w:top w:val="nil"/>
              <w:left w:val="nil"/>
              <w:bottom w:val="single" w:sz="4" w:space="0" w:color="auto"/>
              <w:right w:val="nil"/>
            </w:tcBorders>
            <w:shd w:val="clear" w:color="auto" w:fill="auto"/>
            <w:noWrap/>
            <w:vAlign w:val="bottom"/>
            <w:hideMark/>
          </w:tcPr>
          <w:p w14:paraId="62B603ED" w14:textId="77777777" w:rsidR="00324964" w:rsidRPr="00AE024E" w:rsidRDefault="00324964" w:rsidP="00921FA1">
            <w:pPr>
              <w:spacing w:after="0" w:line="240" w:lineRule="auto"/>
              <w:rPr>
                <w:rFonts w:eastAsia="Times New Roman" w:cstheme="minorHAnsi"/>
                <w:b/>
                <w:bCs/>
                <w:color w:val="000000"/>
              </w:rPr>
            </w:pPr>
            <w:r w:rsidRPr="00AE024E">
              <w:rPr>
                <w:rFonts w:eastAsia="Times New Roman" w:cstheme="minorHAnsi"/>
                <w:b/>
                <w:bCs/>
                <w:color w:val="000000"/>
              </w:rPr>
              <w:t>STDV</w:t>
            </w:r>
          </w:p>
        </w:tc>
        <w:tc>
          <w:tcPr>
            <w:tcW w:w="1171" w:type="dxa"/>
            <w:tcBorders>
              <w:top w:val="nil"/>
              <w:left w:val="nil"/>
              <w:bottom w:val="single" w:sz="4" w:space="0" w:color="auto"/>
              <w:right w:val="nil"/>
            </w:tcBorders>
            <w:shd w:val="clear" w:color="auto" w:fill="auto"/>
            <w:noWrap/>
            <w:vAlign w:val="center"/>
            <w:hideMark/>
          </w:tcPr>
          <w:p w14:paraId="7BC18950"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2541</w:t>
            </w:r>
          </w:p>
        </w:tc>
        <w:tc>
          <w:tcPr>
            <w:tcW w:w="1062" w:type="dxa"/>
            <w:tcBorders>
              <w:top w:val="nil"/>
              <w:left w:val="nil"/>
              <w:bottom w:val="single" w:sz="4" w:space="0" w:color="auto"/>
              <w:right w:val="nil"/>
            </w:tcBorders>
            <w:shd w:val="clear" w:color="auto" w:fill="auto"/>
            <w:noWrap/>
            <w:vAlign w:val="center"/>
            <w:hideMark/>
          </w:tcPr>
          <w:p w14:paraId="4ABDC9AF"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97</w:t>
            </w:r>
          </w:p>
        </w:tc>
        <w:tc>
          <w:tcPr>
            <w:tcW w:w="960" w:type="dxa"/>
            <w:tcBorders>
              <w:top w:val="nil"/>
              <w:left w:val="nil"/>
              <w:bottom w:val="single" w:sz="4" w:space="0" w:color="auto"/>
              <w:right w:val="nil"/>
            </w:tcBorders>
            <w:shd w:val="clear" w:color="auto" w:fill="auto"/>
            <w:noWrap/>
            <w:vAlign w:val="center"/>
            <w:hideMark/>
          </w:tcPr>
          <w:p w14:paraId="6DEF0FB8"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92.2</w:t>
            </w:r>
          </w:p>
        </w:tc>
        <w:tc>
          <w:tcPr>
            <w:tcW w:w="1064" w:type="dxa"/>
            <w:tcBorders>
              <w:top w:val="nil"/>
              <w:left w:val="nil"/>
              <w:bottom w:val="single" w:sz="4" w:space="0" w:color="auto"/>
              <w:right w:val="nil"/>
            </w:tcBorders>
            <w:shd w:val="clear" w:color="auto" w:fill="auto"/>
            <w:noWrap/>
            <w:vAlign w:val="center"/>
            <w:hideMark/>
          </w:tcPr>
          <w:p w14:paraId="073AFB2F"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0.012</w:t>
            </w:r>
          </w:p>
        </w:tc>
        <w:tc>
          <w:tcPr>
            <w:tcW w:w="996" w:type="dxa"/>
            <w:tcBorders>
              <w:top w:val="nil"/>
              <w:left w:val="nil"/>
              <w:bottom w:val="single" w:sz="4" w:space="0" w:color="auto"/>
              <w:right w:val="nil"/>
            </w:tcBorders>
            <w:shd w:val="clear" w:color="auto" w:fill="auto"/>
            <w:noWrap/>
            <w:vAlign w:val="center"/>
            <w:hideMark/>
          </w:tcPr>
          <w:p w14:paraId="7CC2FEEE"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0.14</w:t>
            </w:r>
          </w:p>
        </w:tc>
      </w:tr>
      <w:tr w:rsidR="00324964" w:rsidRPr="00AE024E" w14:paraId="02029D9A" w14:textId="77777777" w:rsidTr="00921FA1">
        <w:trPr>
          <w:trHeight w:val="288"/>
        </w:trPr>
        <w:tc>
          <w:tcPr>
            <w:tcW w:w="1119" w:type="dxa"/>
            <w:tcBorders>
              <w:top w:val="nil"/>
              <w:left w:val="nil"/>
              <w:bottom w:val="nil"/>
              <w:right w:val="nil"/>
            </w:tcBorders>
            <w:shd w:val="clear" w:color="auto" w:fill="auto"/>
            <w:noWrap/>
            <w:vAlign w:val="bottom"/>
            <w:hideMark/>
          </w:tcPr>
          <w:p w14:paraId="2145205E"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SymDPul1</w:t>
            </w:r>
          </w:p>
        </w:tc>
        <w:tc>
          <w:tcPr>
            <w:tcW w:w="1171" w:type="dxa"/>
            <w:tcBorders>
              <w:top w:val="nil"/>
              <w:left w:val="nil"/>
              <w:bottom w:val="nil"/>
              <w:right w:val="nil"/>
            </w:tcBorders>
            <w:shd w:val="clear" w:color="auto" w:fill="auto"/>
            <w:noWrap/>
            <w:vAlign w:val="center"/>
            <w:hideMark/>
          </w:tcPr>
          <w:p w14:paraId="73F7762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11579</w:t>
            </w:r>
          </w:p>
        </w:tc>
        <w:tc>
          <w:tcPr>
            <w:tcW w:w="1062" w:type="dxa"/>
            <w:tcBorders>
              <w:top w:val="nil"/>
              <w:left w:val="nil"/>
              <w:bottom w:val="nil"/>
              <w:right w:val="nil"/>
            </w:tcBorders>
            <w:shd w:val="clear" w:color="auto" w:fill="auto"/>
            <w:noWrap/>
            <w:vAlign w:val="center"/>
            <w:hideMark/>
          </w:tcPr>
          <w:p w14:paraId="777BFB3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90</w:t>
            </w:r>
          </w:p>
        </w:tc>
        <w:tc>
          <w:tcPr>
            <w:tcW w:w="960" w:type="dxa"/>
            <w:tcBorders>
              <w:top w:val="nil"/>
              <w:left w:val="nil"/>
              <w:bottom w:val="nil"/>
              <w:right w:val="nil"/>
            </w:tcBorders>
            <w:shd w:val="clear" w:color="auto" w:fill="auto"/>
            <w:noWrap/>
            <w:vAlign w:val="center"/>
            <w:hideMark/>
          </w:tcPr>
          <w:p w14:paraId="6A60AF50"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105.0</w:t>
            </w:r>
          </w:p>
        </w:tc>
        <w:tc>
          <w:tcPr>
            <w:tcW w:w="1064" w:type="dxa"/>
            <w:tcBorders>
              <w:top w:val="nil"/>
              <w:left w:val="nil"/>
              <w:bottom w:val="nil"/>
              <w:right w:val="nil"/>
            </w:tcBorders>
            <w:shd w:val="clear" w:color="auto" w:fill="auto"/>
            <w:noWrap/>
            <w:vAlign w:val="center"/>
            <w:hideMark/>
          </w:tcPr>
          <w:p w14:paraId="1A327D89"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0.023</w:t>
            </w:r>
          </w:p>
        </w:tc>
        <w:tc>
          <w:tcPr>
            <w:tcW w:w="996" w:type="dxa"/>
            <w:tcBorders>
              <w:top w:val="nil"/>
              <w:left w:val="nil"/>
              <w:bottom w:val="nil"/>
              <w:right w:val="nil"/>
            </w:tcBorders>
            <w:shd w:val="clear" w:color="auto" w:fill="auto"/>
            <w:noWrap/>
            <w:vAlign w:val="center"/>
            <w:hideMark/>
          </w:tcPr>
          <w:p w14:paraId="1E06B2B5"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2.10</w:t>
            </w:r>
          </w:p>
        </w:tc>
      </w:tr>
      <w:tr w:rsidR="00324964" w:rsidRPr="00AE024E" w14:paraId="79EC0D82" w14:textId="77777777" w:rsidTr="00921FA1">
        <w:trPr>
          <w:trHeight w:val="288"/>
        </w:trPr>
        <w:tc>
          <w:tcPr>
            <w:tcW w:w="1119" w:type="dxa"/>
            <w:tcBorders>
              <w:top w:val="nil"/>
              <w:left w:val="nil"/>
              <w:bottom w:val="nil"/>
              <w:right w:val="nil"/>
            </w:tcBorders>
            <w:shd w:val="clear" w:color="auto" w:fill="auto"/>
            <w:noWrap/>
            <w:vAlign w:val="bottom"/>
            <w:hideMark/>
          </w:tcPr>
          <w:p w14:paraId="3964DA3D"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SymDPul2</w:t>
            </w:r>
          </w:p>
        </w:tc>
        <w:tc>
          <w:tcPr>
            <w:tcW w:w="1171" w:type="dxa"/>
            <w:tcBorders>
              <w:top w:val="nil"/>
              <w:left w:val="nil"/>
              <w:bottom w:val="nil"/>
              <w:right w:val="nil"/>
            </w:tcBorders>
            <w:shd w:val="clear" w:color="auto" w:fill="auto"/>
            <w:noWrap/>
            <w:vAlign w:val="center"/>
            <w:hideMark/>
          </w:tcPr>
          <w:p w14:paraId="6D151FF7"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15123</w:t>
            </w:r>
          </w:p>
        </w:tc>
        <w:tc>
          <w:tcPr>
            <w:tcW w:w="1062" w:type="dxa"/>
            <w:tcBorders>
              <w:top w:val="nil"/>
              <w:left w:val="nil"/>
              <w:bottom w:val="nil"/>
              <w:right w:val="nil"/>
            </w:tcBorders>
            <w:shd w:val="clear" w:color="auto" w:fill="auto"/>
            <w:noWrap/>
            <w:vAlign w:val="center"/>
            <w:hideMark/>
          </w:tcPr>
          <w:p w14:paraId="5E783459"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94</w:t>
            </w:r>
          </w:p>
        </w:tc>
        <w:tc>
          <w:tcPr>
            <w:tcW w:w="960" w:type="dxa"/>
            <w:tcBorders>
              <w:top w:val="nil"/>
              <w:left w:val="nil"/>
              <w:bottom w:val="nil"/>
              <w:right w:val="nil"/>
            </w:tcBorders>
            <w:shd w:val="clear" w:color="auto" w:fill="auto"/>
            <w:noWrap/>
            <w:vAlign w:val="center"/>
            <w:hideMark/>
          </w:tcPr>
          <w:p w14:paraId="447D30A5"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111.1</w:t>
            </w:r>
          </w:p>
        </w:tc>
        <w:tc>
          <w:tcPr>
            <w:tcW w:w="1064" w:type="dxa"/>
            <w:tcBorders>
              <w:top w:val="nil"/>
              <w:left w:val="nil"/>
              <w:bottom w:val="nil"/>
              <w:right w:val="nil"/>
            </w:tcBorders>
            <w:shd w:val="clear" w:color="auto" w:fill="auto"/>
            <w:noWrap/>
            <w:vAlign w:val="center"/>
            <w:hideMark/>
          </w:tcPr>
          <w:p w14:paraId="11BFFC84"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0.022</w:t>
            </w:r>
          </w:p>
        </w:tc>
        <w:tc>
          <w:tcPr>
            <w:tcW w:w="996" w:type="dxa"/>
            <w:tcBorders>
              <w:top w:val="nil"/>
              <w:left w:val="nil"/>
              <w:bottom w:val="nil"/>
              <w:right w:val="nil"/>
            </w:tcBorders>
            <w:shd w:val="clear" w:color="auto" w:fill="auto"/>
            <w:noWrap/>
            <w:vAlign w:val="center"/>
            <w:hideMark/>
          </w:tcPr>
          <w:p w14:paraId="0D470DE0"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2.08</w:t>
            </w:r>
          </w:p>
        </w:tc>
      </w:tr>
      <w:tr w:rsidR="00324964" w:rsidRPr="00AE024E" w14:paraId="1EC1DDC6" w14:textId="77777777" w:rsidTr="00921FA1">
        <w:trPr>
          <w:trHeight w:val="288"/>
        </w:trPr>
        <w:tc>
          <w:tcPr>
            <w:tcW w:w="1119" w:type="dxa"/>
            <w:tcBorders>
              <w:top w:val="nil"/>
              <w:left w:val="nil"/>
              <w:bottom w:val="nil"/>
              <w:right w:val="nil"/>
            </w:tcBorders>
            <w:shd w:val="clear" w:color="auto" w:fill="auto"/>
            <w:noWrap/>
            <w:vAlign w:val="bottom"/>
            <w:hideMark/>
          </w:tcPr>
          <w:p w14:paraId="6FCF2AD6"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SymDPul3</w:t>
            </w:r>
          </w:p>
        </w:tc>
        <w:tc>
          <w:tcPr>
            <w:tcW w:w="1171" w:type="dxa"/>
            <w:tcBorders>
              <w:top w:val="nil"/>
              <w:left w:val="nil"/>
              <w:bottom w:val="nil"/>
              <w:right w:val="nil"/>
            </w:tcBorders>
            <w:shd w:val="clear" w:color="auto" w:fill="auto"/>
            <w:noWrap/>
            <w:vAlign w:val="center"/>
            <w:hideMark/>
          </w:tcPr>
          <w:p w14:paraId="79AB424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11345</w:t>
            </w:r>
          </w:p>
        </w:tc>
        <w:tc>
          <w:tcPr>
            <w:tcW w:w="1062" w:type="dxa"/>
            <w:tcBorders>
              <w:top w:val="nil"/>
              <w:left w:val="nil"/>
              <w:bottom w:val="nil"/>
              <w:right w:val="nil"/>
            </w:tcBorders>
            <w:shd w:val="clear" w:color="auto" w:fill="auto"/>
            <w:noWrap/>
            <w:vAlign w:val="center"/>
            <w:hideMark/>
          </w:tcPr>
          <w:p w14:paraId="3A19DB2F"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63</w:t>
            </w:r>
          </w:p>
        </w:tc>
        <w:tc>
          <w:tcPr>
            <w:tcW w:w="960" w:type="dxa"/>
            <w:tcBorders>
              <w:top w:val="nil"/>
              <w:left w:val="nil"/>
              <w:bottom w:val="nil"/>
              <w:right w:val="nil"/>
            </w:tcBorders>
            <w:shd w:val="clear" w:color="auto" w:fill="auto"/>
            <w:noWrap/>
            <w:vAlign w:val="center"/>
            <w:hideMark/>
          </w:tcPr>
          <w:p w14:paraId="0CFA61A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84.2</w:t>
            </w:r>
          </w:p>
        </w:tc>
        <w:tc>
          <w:tcPr>
            <w:tcW w:w="1064" w:type="dxa"/>
            <w:tcBorders>
              <w:top w:val="nil"/>
              <w:left w:val="nil"/>
              <w:bottom w:val="nil"/>
              <w:right w:val="nil"/>
            </w:tcBorders>
            <w:shd w:val="clear" w:color="auto" w:fill="auto"/>
            <w:noWrap/>
            <w:vAlign w:val="center"/>
            <w:hideMark/>
          </w:tcPr>
          <w:p w14:paraId="7C80493B"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0.034</w:t>
            </w:r>
          </w:p>
        </w:tc>
        <w:tc>
          <w:tcPr>
            <w:tcW w:w="996" w:type="dxa"/>
            <w:tcBorders>
              <w:top w:val="nil"/>
              <w:left w:val="nil"/>
              <w:bottom w:val="nil"/>
              <w:right w:val="nil"/>
            </w:tcBorders>
            <w:shd w:val="clear" w:color="auto" w:fill="auto"/>
            <w:noWrap/>
            <w:vAlign w:val="center"/>
            <w:hideMark/>
          </w:tcPr>
          <w:p w14:paraId="60866447"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2.12</w:t>
            </w:r>
          </w:p>
        </w:tc>
      </w:tr>
      <w:tr w:rsidR="00324964" w:rsidRPr="00AE024E" w14:paraId="790B6BA4" w14:textId="77777777" w:rsidTr="00921FA1">
        <w:trPr>
          <w:trHeight w:val="288"/>
        </w:trPr>
        <w:tc>
          <w:tcPr>
            <w:tcW w:w="1119" w:type="dxa"/>
            <w:tcBorders>
              <w:top w:val="nil"/>
              <w:left w:val="nil"/>
              <w:bottom w:val="nil"/>
              <w:right w:val="nil"/>
            </w:tcBorders>
            <w:shd w:val="clear" w:color="auto" w:fill="auto"/>
            <w:noWrap/>
            <w:vAlign w:val="bottom"/>
            <w:hideMark/>
          </w:tcPr>
          <w:p w14:paraId="0E65B093"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SymDPul4</w:t>
            </w:r>
          </w:p>
        </w:tc>
        <w:tc>
          <w:tcPr>
            <w:tcW w:w="1171" w:type="dxa"/>
            <w:tcBorders>
              <w:top w:val="nil"/>
              <w:left w:val="nil"/>
              <w:bottom w:val="nil"/>
              <w:right w:val="nil"/>
            </w:tcBorders>
            <w:shd w:val="clear" w:color="auto" w:fill="auto"/>
            <w:noWrap/>
            <w:vAlign w:val="center"/>
            <w:hideMark/>
          </w:tcPr>
          <w:p w14:paraId="6E33C15B"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12195</w:t>
            </w:r>
          </w:p>
        </w:tc>
        <w:tc>
          <w:tcPr>
            <w:tcW w:w="1062" w:type="dxa"/>
            <w:tcBorders>
              <w:top w:val="nil"/>
              <w:left w:val="nil"/>
              <w:bottom w:val="nil"/>
              <w:right w:val="nil"/>
            </w:tcBorders>
            <w:shd w:val="clear" w:color="auto" w:fill="auto"/>
            <w:noWrap/>
            <w:vAlign w:val="center"/>
            <w:hideMark/>
          </w:tcPr>
          <w:p w14:paraId="528DA49D"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85</w:t>
            </w:r>
          </w:p>
        </w:tc>
        <w:tc>
          <w:tcPr>
            <w:tcW w:w="960" w:type="dxa"/>
            <w:tcBorders>
              <w:top w:val="nil"/>
              <w:left w:val="nil"/>
              <w:bottom w:val="nil"/>
              <w:right w:val="nil"/>
            </w:tcBorders>
            <w:shd w:val="clear" w:color="auto" w:fill="auto"/>
            <w:noWrap/>
            <w:vAlign w:val="center"/>
            <w:hideMark/>
          </w:tcPr>
          <w:p w14:paraId="1EF0EBE3"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100.6</w:t>
            </w:r>
          </w:p>
        </w:tc>
        <w:tc>
          <w:tcPr>
            <w:tcW w:w="1064" w:type="dxa"/>
            <w:tcBorders>
              <w:top w:val="nil"/>
              <w:left w:val="nil"/>
              <w:bottom w:val="nil"/>
              <w:right w:val="nil"/>
            </w:tcBorders>
            <w:shd w:val="clear" w:color="auto" w:fill="auto"/>
            <w:noWrap/>
            <w:vAlign w:val="center"/>
            <w:hideMark/>
          </w:tcPr>
          <w:p w14:paraId="1B96169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0.024</w:t>
            </w:r>
          </w:p>
        </w:tc>
        <w:tc>
          <w:tcPr>
            <w:tcW w:w="996" w:type="dxa"/>
            <w:tcBorders>
              <w:top w:val="nil"/>
              <w:left w:val="nil"/>
              <w:bottom w:val="nil"/>
              <w:right w:val="nil"/>
            </w:tcBorders>
            <w:shd w:val="clear" w:color="auto" w:fill="auto"/>
            <w:noWrap/>
            <w:vAlign w:val="center"/>
            <w:hideMark/>
          </w:tcPr>
          <w:p w14:paraId="67EC8DD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2.04</w:t>
            </w:r>
          </w:p>
        </w:tc>
      </w:tr>
      <w:tr w:rsidR="00324964" w:rsidRPr="00AE024E" w14:paraId="21834EC6" w14:textId="77777777" w:rsidTr="00921FA1">
        <w:trPr>
          <w:trHeight w:val="288"/>
        </w:trPr>
        <w:tc>
          <w:tcPr>
            <w:tcW w:w="1119" w:type="dxa"/>
            <w:tcBorders>
              <w:top w:val="nil"/>
              <w:left w:val="nil"/>
              <w:bottom w:val="nil"/>
              <w:right w:val="nil"/>
            </w:tcBorders>
            <w:shd w:val="clear" w:color="auto" w:fill="auto"/>
            <w:noWrap/>
            <w:vAlign w:val="bottom"/>
            <w:hideMark/>
          </w:tcPr>
          <w:p w14:paraId="462D654B"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SymDPul5</w:t>
            </w:r>
          </w:p>
        </w:tc>
        <w:tc>
          <w:tcPr>
            <w:tcW w:w="1171" w:type="dxa"/>
            <w:tcBorders>
              <w:top w:val="nil"/>
              <w:left w:val="nil"/>
              <w:bottom w:val="nil"/>
              <w:right w:val="nil"/>
            </w:tcBorders>
            <w:shd w:val="clear" w:color="auto" w:fill="auto"/>
            <w:noWrap/>
            <w:vAlign w:val="center"/>
            <w:hideMark/>
          </w:tcPr>
          <w:p w14:paraId="5693CBA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12881</w:t>
            </w:r>
          </w:p>
        </w:tc>
        <w:tc>
          <w:tcPr>
            <w:tcW w:w="1062" w:type="dxa"/>
            <w:tcBorders>
              <w:top w:val="nil"/>
              <w:left w:val="nil"/>
              <w:bottom w:val="nil"/>
              <w:right w:val="nil"/>
            </w:tcBorders>
            <w:shd w:val="clear" w:color="auto" w:fill="auto"/>
            <w:noWrap/>
            <w:vAlign w:val="center"/>
            <w:hideMark/>
          </w:tcPr>
          <w:p w14:paraId="7EF9BF74"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64</w:t>
            </w:r>
          </w:p>
        </w:tc>
        <w:tc>
          <w:tcPr>
            <w:tcW w:w="960" w:type="dxa"/>
            <w:tcBorders>
              <w:top w:val="nil"/>
              <w:left w:val="nil"/>
              <w:bottom w:val="nil"/>
              <w:right w:val="nil"/>
            </w:tcBorders>
            <w:shd w:val="clear" w:color="auto" w:fill="auto"/>
            <w:noWrap/>
            <w:vAlign w:val="center"/>
            <w:hideMark/>
          </w:tcPr>
          <w:p w14:paraId="4E32BEE6"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83.7</w:t>
            </w:r>
          </w:p>
        </w:tc>
        <w:tc>
          <w:tcPr>
            <w:tcW w:w="1064" w:type="dxa"/>
            <w:tcBorders>
              <w:top w:val="nil"/>
              <w:left w:val="nil"/>
              <w:bottom w:val="nil"/>
              <w:right w:val="nil"/>
            </w:tcBorders>
            <w:shd w:val="clear" w:color="auto" w:fill="auto"/>
            <w:noWrap/>
            <w:vAlign w:val="center"/>
            <w:hideMark/>
          </w:tcPr>
          <w:p w14:paraId="0BD25DD7"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0.032</w:t>
            </w:r>
          </w:p>
        </w:tc>
        <w:tc>
          <w:tcPr>
            <w:tcW w:w="996" w:type="dxa"/>
            <w:tcBorders>
              <w:top w:val="nil"/>
              <w:left w:val="nil"/>
              <w:bottom w:val="nil"/>
              <w:right w:val="nil"/>
            </w:tcBorders>
            <w:shd w:val="clear" w:color="auto" w:fill="auto"/>
            <w:noWrap/>
            <w:vAlign w:val="center"/>
            <w:hideMark/>
          </w:tcPr>
          <w:p w14:paraId="2066C43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2.08</w:t>
            </w:r>
          </w:p>
        </w:tc>
      </w:tr>
      <w:tr w:rsidR="00324964" w:rsidRPr="00AE024E" w14:paraId="2DAA699F" w14:textId="77777777" w:rsidTr="00921FA1">
        <w:trPr>
          <w:trHeight w:val="288"/>
        </w:trPr>
        <w:tc>
          <w:tcPr>
            <w:tcW w:w="1119" w:type="dxa"/>
            <w:tcBorders>
              <w:top w:val="nil"/>
              <w:left w:val="nil"/>
              <w:bottom w:val="nil"/>
              <w:right w:val="nil"/>
            </w:tcBorders>
            <w:shd w:val="clear" w:color="auto" w:fill="auto"/>
            <w:noWrap/>
            <w:vAlign w:val="bottom"/>
            <w:hideMark/>
          </w:tcPr>
          <w:p w14:paraId="4571CA03" w14:textId="77777777" w:rsidR="00324964" w:rsidRPr="00AE024E" w:rsidRDefault="00324964" w:rsidP="00921FA1">
            <w:pPr>
              <w:spacing w:after="0" w:line="240" w:lineRule="auto"/>
              <w:rPr>
                <w:rFonts w:eastAsia="Times New Roman" w:cstheme="minorHAnsi"/>
                <w:b/>
                <w:bCs/>
                <w:color w:val="000000"/>
              </w:rPr>
            </w:pPr>
            <w:r w:rsidRPr="00AE024E">
              <w:rPr>
                <w:rFonts w:eastAsia="Times New Roman" w:cstheme="minorHAnsi"/>
                <w:b/>
                <w:bCs/>
                <w:color w:val="000000"/>
              </w:rPr>
              <w:t>Mean</w:t>
            </w:r>
          </w:p>
        </w:tc>
        <w:tc>
          <w:tcPr>
            <w:tcW w:w="1171" w:type="dxa"/>
            <w:tcBorders>
              <w:top w:val="nil"/>
              <w:left w:val="nil"/>
              <w:bottom w:val="nil"/>
              <w:right w:val="nil"/>
            </w:tcBorders>
            <w:shd w:val="clear" w:color="auto" w:fill="auto"/>
            <w:noWrap/>
            <w:vAlign w:val="center"/>
            <w:hideMark/>
          </w:tcPr>
          <w:p w14:paraId="395FA4E4"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12625</w:t>
            </w:r>
          </w:p>
        </w:tc>
        <w:tc>
          <w:tcPr>
            <w:tcW w:w="1062" w:type="dxa"/>
            <w:tcBorders>
              <w:top w:val="nil"/>
              <w:left w:val="nil"/>
              <w:bottom w:val="nil"/>
              <w:right w:val="nil"/>
            </w:tcBorders>
            <w:shd w:val="clear" w:color="auto" w:fill="auto"/>
            <w:noWrap/>
            <w:vAlign w:val="center"/>
            <w:hideMark/>
          </w:tcPr>
          <w:p w14:paraId="25458377"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79</w:t>
            </w:r>
          </w:p>
        </w:tc>
        <w:tc>
          <w:tcPr>
            <w:tcW w:w="960" w:type="dxa"/>
            <w:tcBorders>
              <w:top w:val="nil"/>
              <w:left w:val="nil"/>
              <w:bottom w:val="nil"/>
              <w:right w:val="nil"/>
            </w:tcBorders>
            <w:shd w:val="clear" w:color="auto" w:fill="auto"/>
            <w:noWrap/>
            <w:vAlign w:val="center"/>
            <w:hideMark/>
          </w:tcPr>
          <w:p w14:paraId="76D12E64"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96.9</w:t>
            </w:r>
          </w:p>
        </w:tc>
        <w:tc>
          <w:tcPr>
            <w:tcW w:w="1064" w:type="dxa"/>
            <w:tcBorders>
              <w:top w:val="nil"/>
              <w:left w:val="nil"/>
              <w:bottom w:val="nil"/>
              <w:right w:val="nil"/>
            </w:tcBorders>
            <w:shd w:val="clear" w:color="auto" w:fill="auto"/>
            <w:noWrap/>
            <w:vAlign w:val="center"/>
            <w:hideMark/>
          </w:tcPr>
          <w:p w14:paraId="51ED9B14"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0.027</w:t>
            </w:r>
          </w:p>
        </w:tc>
        <w:tc>
          <w:tcPr>
            <w:tcW w:w="996" w:type="dxa"/>
            <w:tcBorders>
              <w:top w:val="nil"/>
              <w:left w:val="nil"/>
              <w:bottom w:val="nil"/>
              <w:right w:val="nil"/>
            </w:tcBorders>
            <w:shd w:val="clear" w:color="auto" w:fill="auto"/>
            <w:noWrap/>
            <w:vAlign w:val="center"/>
            <w:hideMark/>
          </w:tcPr>
          <w:p w14:paraId="236325B6"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2.08</w:t>
            </w:r>
          </w:p>
        </w:tc>
      </w:tr>
      <w:tr w:rsidR="00324964" w:rsidRPr="00AE024E" w14:paraId="040422E2" w14:textId="77777777" w:rsidTr="00921FA1">
        <w:trPr>
          <w:trHeight w:val="288"/>
        </w:trPr>
        <w:tc>
          <w:tcPr>
            <w:tcW w:w="1119" w:type="dxa"/>
            <w:tcBorders>
              <w:top w:val="nil"/>
              <w:left w:val="nil"/>
              <w:bottom w:val="single" w:sz="4" w:space="0" w:color="auto"/>
              <w:right w:val="nil"/>
            </w:tcBorders>
            <w:shd w:val="clear" w:color="auto" w:fill="auto"/>
            <w:noWrap/>
            <w:vAlign w:val="bottom"/>
            <w:hideMark/>
          </w:tcPr>
          <w:p w14:paraId="7DA2BC92" w14:textId="77777777" w:rsidR="00324964" w:rsidRPr="00AE024E" w:rsidRDefault="00324964" w:rsidP="00921FA1">
            <w:pPr>
              <w:spacing w:after="0" w:line="240" w:lineRule="auto"/>
              <w:rPr>
                <w:rFonts w:eastAsia="Times New Roman" w:cstheme="minorHAnsi"/>
                <w:b/>
                <w:bCs/>
                <w:color w:val="000000"/>
              </w:rPr>
            </w:pPr>
            <w:r w:rsidRPr="00AE024E">
              <w:rPr>
                <w:rFonts w:eastAsia="Times New Roman" w:cstheme="minorHAnsi"/>
                <w:b/>
                <w:bCs/>
                <w:color w:val="000000"/>
              </w:rPr>
              <w:t>STDV</w:t>
            </w:r>
          </w:p>
        </w:tc>
        <w:tc>
          <w:tcPr>
            <w:tcW w:w="1171" w:type="dxa"/>
            <w:tcBorders>
              <w:top w:val="nil"/>
              <w:left w:val="nil"/>
              <w:bottom w:val="single" w:sz="4" w:space="0" w:color="auto"/>
              <w:right w:val="nil"/>
            </w:tcBorders>
            <w:shd w:val="clear" w:color="auto" w:fill="auto"/>
            <w:noWrap/>
            <w:vAlign w:val="center"/>
            <w:hideMark/>
          </w:tcPr>
          <w:p w14:paraId="672915A3"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1518</w:t>
            </w:r>
          </w:p>
        </w:tc>
        <w:tc>
          <w:tcPr>
            <w:tcW w:w="1062" w:type="dxa"/>
            <w:tcBorders>
              <w:top w:val="nil"/>
              <w:left w:val="nil"/>
              <w:bottom w:val="single" w:sz="4" w:space="0" w:color="auto"/>
              <w:right w:val="nil"/>
            </w:tcBorders>
            <w:shd w:val="clear" w:color="auto" w:fill="auto"/>
            <w:noWrap/>
            <w:vAlign w:val="center"/>
            <w:hideMark/>
          </w:tcPr>
          <w:p w14:paraId="2E2FFDEF"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15</w:t>
            </w:r>
          </w:p>
        </w:tc>
        <w:tc>
          <w:tcPr>
            <w:tcW w:w="960" w:type="dxa"/>
            <w:tcBorders>
              <w:top w:val="nil"/>
              <w:left w:val="nil"/>
              <w:bottom w:val="single" w:sz="4" w:space="0" w:color="auto"/>
              <w:right w:val="nil"/>
            </w:tcBorders>
            <w:shd w:val="clear" w:color="auto" w:fill="auto"/>
            <w:noWrap/>
            <w:vAlign w:val="center"/>
            <w:hideMark/>
          </w:tcPr>
          <w:p w14:paraId="022D8D00"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12.4</w:t>
            </w:r>
          </w:p>
        </w:tc>
        <w:tc>
          <w:tcPr>
            <w:tcW w:w="1064" w:type="dxa"/>
            <w:tcBorders>
              <w:top w:val="nil"/>
              <w:left w:val="nil"/>
              <w:bottom w:val="single" w:sz="4" w:space="0" w:color="auto"/>
              <w:right w:val="nil"/>
            </w:tcBorders>
            <w:shd w:val="clear" w:color="auto" w:fill="auto"/>
            <w:noWrap/>
            <w:vAlign w:val="center"/>
            <w:hideMark/>
          </w:tcPr>
          <w:p w14:paraId="2886DDF1"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0.005</w:t>
            </w:r>
          </w:p>
        </w:tc>
        <w:tc>
          <w:tcPr>
            <w:tcW w:w="996" w:type="dxa"/>
            <w:tcBorders>
              <w:top w:val="nil"/>
              <w:left w:val="nil"/>
              <w:bottom w:val="single" w:sz="4" w:space="0" w:color="auto"/>
              <w:right w:val="nil"/>
            </w:tcBorders>
            <w:shd w:val="clear" w:color="auto" w:fill="auto"/>
            <w:noWrap/>
            <w:vAlign w:val="center"/>
            <w:hideMark/>
          </w:tcPr>
          <w:p w14:paraId="58FD2F15"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0.03</w:t>
            </w:r>
          </w:p>
        </w:tc>
      </w:tr>
      <w:tr w:rsidR="00324964" w:rsidRPr="00AE024E" w14:paraId="1DAE0E9C" w14:textId="77777777" w:rsidTr="00921FA1">
        <w:trPr>
          <w:trHeight w:val="288"/>
        </w:trPr>
        <w:tc>
          <w:tcPr>
            <w:tcW w:w="1119" w:type="dxa"/>
            <w:tcBorders>
              <w:top w:val="nil"/>
              <w:left w:val="nil"/>
              <w:bottom w:val="nil"/>
              <w:right w:val="nil"/>
            </w:tcBorders>
            <w:shd w:val="clear" w:color="auto" w:fill="auto"/>
            <w:noWrap/>
            <w:vAlign w:val="bottom"/>
            <w:hideMark/>
          </w:tcPr>
          <w:p w14:paraId="2DBADAF2"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SymLPul1</w:t>
            </w:r>
          </w:p>
        </w:tc>
        <w:tc>
          <w:tcPr>
            <w:tcW w:w="1171" w:type="dxa"/>
            <w:tcBorders>
              <w:top w:val="nil"/>
              <w:left w:val="nil"/>
              <w:bottom w:val="nil"/>
              <w:right w:val="nil"/>
            </w:tcBorders>
            <w:shd w:val="clear" w:color="auto" w:fill="auto"/>
            <w:noWrap/>
            <w:vAlign w:val="center"/>
            <w:hideMark/>
          </w:tcPr>
          <w:p w14:paraId="746E3B25"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10490</w:t>
            </w:r>
          </w:p>
        </w:tc>
        <w:tc>
          <w:tcPr>
            <w:tcW w:w="1062" w:type="dxa"/>
            <w:tcBorders>
              <w:top w:val="nil"/>
              <w:left w:val="nil"/>
              <w:bottom w:val="nil"/>
              <w:right w:val="nil"/>
            </w:tcBorders>
            <w:shd w:val="clear" w:color="auto" w:fill="auto"/>
            <w:noWrap/>
            <w:vAlign w:val="center"/>
            <w:hideMark/>
          </w:tcPr>
          <w:p w14:paraId="43DFF45A"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92</w:t>
            </w:r>
          </w:p>
        </w:tc>
        <w:tc>
          <w:tcPr>
            <w:tcW w:w="960" w:type="dxa"/>
            <w:tcBorders>
              <w:top w:val="nil"/>
              <w:left w:val="nil"/>
              <w:bottom w:val="nil"/>
              <w:right w:val="nil"/>
            </w:tcBorders>
            <w:shd w:val="clear" w:color="auto" w:fill="auto"/>
            <w:noWrap/>
            <w:vAlign w:val="center"/>
            <w:hideMark/>
          </w:tcPr>
          <w:p w14:paraId="01ADE88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105.1</w:t>
            </w:r>
          </w:p>
        </w:tc>
        <w:tc>
          <w:tcPr>
            <w:tcW w:w="1064" w:type="dxa"/>
            <w:tcBorders>
              <w:top w:val="nil"/>
              <w:left w:val="nil"/>
              <w:bottom w:val="nil"/>
              <w:right w:val="nil"/>
            </w:tcBorders>
            <w:shd w:val="clear" w:color="auto" w:fill="auto"/>
            <w:noWrap/>
            <w:vAlign w:val="center"/>
            <w:hideMark/>
          </w:tcPr>
          <w:p w14:paraId="07BF4A7C"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0.024</w:t>
            </w:r>
          </w:p>
        </w:tc>
        <w:tc>
          <w:tcPr>
            <w:tcW w:w="996" w:type="dxa"/>
            <w:tcBorders>
              <w:top w:val="nil"/>
              <w:left w:val="nil"/>
              <w:bottom w:val="nil"/>
              <w:right w:val="nil"/>
            </w:tcBorders>
            <w:shd w:val="clear" w:color="auto" w:fill="auto"/>
            <w:noWrap/>
            <w:vAlign w:val="center"/>
            <w:hideMark/>
          </w:tcPr>
          <w:p w14:paraId="509921AF"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2.21</w:t>
            </w:r>
          </w:p>
        </w:tc>
      </w:tr>
      <w:tr w:rsidR="00324964" w:rsidRPr="00AE024E" w14:paraId="3E464846" w14:textId="77777777" w:rsidTr="00921FA1">
        <w:trPr>
          <w:trHeight w:val="288"/>
        </w:trPr>
        <w:tc>
          <w:tcPr>
            <w:tcW w:w="1119" w:type="dxa"/>
            <w:tcBorders>
              <w:top w:val="nil"/>
              <w:left w:val="nil"/>
              <w:bottom w:val="nil"/>
              <w:right w:val="nil"/>
            </w:tcBorders>
            <w:shd w:val="clear" w:color="auto" w:fill="auto"/>
            <w:noWrap/>
            <w:vAlign w:val="bottom"/>
            <w:hideMark/>
          </w:tcPr>
          <w:p w14:paraId="39732B46"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SymLPul2</w:t>
            </w:r>
          </w:p>
        </w:tc>
        <w:tc>
          <w:tcPr>
            <w:tcW w:w="1171" w:type="dxa"/>
            <w:tcBorders>
              <w:top w:val="nil"/>
              <w:left w:val="nil"/>
              <w:bottom w:val="nil"/>
              <w:right w:val="nil"/>
            </w:tcBorders>
            <w:shd w:val="clear" w:color="auto" w:fill="auto"/>
            <w:noWrap/>
            <w:vAlign w:val="center"/>
            <w:hideMark/>
          </w:tcPr>
          <w:p w14:paraId="124FE38A"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11599</w:t>
            </w:r>
          </w:p>
        </w:tc>
        <w:tc>
          <w:tcPr>
            <w:tcW w:w="1062" w:type="dxa"/>
            <w:tcBorders>
              <w:top w:val="nil"/>
              <w:left w:val="nil"/>
              <w:bottom w:val="nil"/>
              <w:right w:val="nil"/>
            </w:tcBorders>
            <w:shd w:val="clear" w:color="auto" w:fill="auto"/>
            <w:noWrap/>
            <w:vAlign w:val="center"/>
            <w:hideMark/>
          </w:tcPr>
          <w:p w14:paraId="1DD8E71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85</w:t>
            </w:r>
          </w:p>
        </w:tc>
        <w:tc>
          <w:tcPr>
            <w:tcW w:w="960" w:type="dxa"/>
            <w:tcBorders>
              <w:top w:val="nil"/>
              <w:left w:val="nil"/>
              <w:bottom w:val="nil"/>
              <w:right w:val="nil"/>
            </w:tcBorders>
            <w:shd w:val="clear" w:color="auto" w:fill="auto"/>
            <w:noWrap/>
            <w:vAlign w:val="center"/>
            <w:hideMark/>
          </w:tcPr>
          <w:p w14:paraId="25257163"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114.0</w:t>
            </w:r>
          </w:p>
        </w:tc>
        <w:tc>
          <w:tcPr>
            <w:tcW w:w="1064" w:type="dxa"/>
            <w:tcBorders>
              <w:top w:val="nil"/>
              <w:left w:val="nil"/>
              <w:bottom w:val="nil"/>
              <w:right w:val="nil"/>
            </w:tcBorders>
            <w:shd w:val="clear" w:color="auto" w:fill="auto"/>
            <w:noWrap/>
            <w:vAlign w:val="center"/>
            <w:hideMark/>
          </w:tcPr>
          <w:p w14:paraId="287BA04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0.024</w:t>
            </w:r>
          </w:p>
        </w:tc>
        <w:tc>
          <w:tcPr>
            <w:tcW w:w="996" w:type="dxa"/>
            <w:tcBorders>
              <w:top w:val="nil"/>
              <w:left w:val="nil"/>
              <w:bottom w:val="nil"/>
              <w:right w:val="nil"/>
            </w:tcBorders>
            <w:shd w:val="clear" w:color="auto" w:fill="auto"/>
            <w:noWrap/>
            <w:vAlign w:val="center"/>
            <w:hideMark/>
          </w:tcPr>
          <w:p w14:paraId="29BFCDC8"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2.07</w:t>
            </w:r>
          </w:p>
        </w:tc>
      </w:tr>
      <w:tr w:rsidR="00324964" w:rsidRPr="00AE024E" w14:paraId="21DE8422" w14:textId="77777777" w:rsidTr="00921FA1">
        <w:trPr>
          <w:trHeight w:val="288"/>
        </w:trPr>
        <w:tc>
          <w:tcPr>
            <w:tcW w:w="1119" w:type="dxa"/>
            <w:tcBorders>
              <w:top w:val="nil"/>
              <w:left w:val="nil"/>
              <w:bottom w:val="nil"/>
              <w:right w:val="nil"/>
            </w:tcBorders>
            <w:shd w:val="clear" w:color="auto" w:fill="auto"/>
            <w:noWrap/>
            <w:vAlign w:val="bottom"/>
            <w:hideMark/>
          </w:tcPr>
          <w:p w14:paraId="294F7E5F"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SymLPul3</w:t>
            </w:r>
          </w:p>
        </w:tc>
        <w:tc>
          <w:tcPr>
            <w:tcW w:w="1171" w:type="dxa"/>
            <w:tcBorders>
              <w:top w:val="nil"/>
              <w:left w:val="nil"/>
              <w:bottom w:val="nil"/>
              <w:right w:val="nil"/>
            </w:tcBorders>
            <w:shd w:val="clear" w:color="auto" w:fill="auto"/>
            <w:noWrap/>
            <w:vAlign w:val="center"/>
            <w:hideMark/>
          </w:tcPr>
          <w:p w14:paraId="69AFCD4A"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10165</w:t>
            </w:r>
          </w:p>
        </w:tc>
        <w:tc>
          <w:tcPr>
            <w:tcW w:w="1062" w:type="dxa"/>
            <w:tcBorders>
              <w:top w:val="nil"/>
              <w:left w:val="nil"/>
              <w:bottom w:val="nil"/>
              <w:right w:val="nil"/>
            </w:tcBorders>
            <w:shd w:val="clear" w:color="auto" w:fill="auto"/>
            <w:noWrap/>
            <w:vAlign w:val="center"/>
            <w:hideMark/>
          </w:tcPr>
          <w:p w14:paraId="1863745D"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56</w:t>
            </w:r>
          </w:p>
        </w:tc>
        <w:tc>
          <w:tcPr>
            <w:tcW w:w="960" w:type="dxa"/>
            <w:tcBorders>
              <w:top w:val="nil"/>
              <w:left w:val="nil"/>
              <w:bottom w:val="nil"/>
              <w:right w:val="nil"/>
            </w:tcBorders>
            <w:shd w:val="clear" w:color="auto" w:fill="auto"/>
            <w:noWrap/>
            <w:vAlign w:val="center"/>
            <w:hideMark/>
          </w:tcPr>
          <w:p w14:paraId="3A73DD84"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64.5</w:t>
            </w:r>
          </w:p>
        </w:tc>
        <w:tc>
          <w:tcPr>
            <w:tcW w:w="1064" w:type="dxa"/>
            <w:tcBorders>
              <w:top w:val="nil"/>
              <w:left w:val="nil"/>
              <w:bottom w:val="nil"/>
              <w:right w:val="nil"/>
            </w:tcBorders>
            <w:shd w:val="clear" w:color="auto" w:fill="auto"/>
            <w:noWrap/>
            <w:vAlign w:val="center"/>
            <w:hideMark/>
          </w:tcPr>
          <w:p w14:paraId="0A05E09B"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0.038</w:t>
            </w:r>
          </w:p>
        </w:tc>
        <w:tc>
          <w:tcPr>
            <w:tcW w:w="996" w:type="dxa"/>
            <w:tcBorders>
              <w:top w:val="nil"/>
              <w:left w:val="nil"/>
              <w:bottom w:val="nil"/>
              <w:right w:val="nil"/>
            </w:tcBorders>
            <w:shd w:val="clear" w:color="auto" w:fill="auto"/>
            <w:noWrap/>
            <w:vAlign w:val="center"/>
            <w:hideMark/>
          </w:tcPr>
          <w:p w14:paraId="1E86510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2.10</w:t>
            </w:r>
          </w:p>
        </w:tc>
      </w:tr>
      <w:tr w:rsidR="00324964" w:rsidRPr="00AE024E" w14:paraId="758C08C9" w14:textId="77777777" w:rsidTr="00921FA1">
        <w:trPr>
          <w:trHeight w:val="288"/>
        </w:trPr>
        <w:tc>
          <w:tcPr>
            <w:tcW w:w="1119" w:type="dxa"/>
            <w:tcBorders>
              <w:top w:val="nil"/>
              <w:left w:val="nil"/>
              <w:bottom w:val="nil"/>
              <w:right w:val="nil"/>
            </w:tcBorders>
            <w:shd w:val="clear" w:color="auto" w:fill="auto"/>
            <w:noWrap/>
            <w:vAlign w:val="bottom"/>
            <w:hideMark/>
          </w:tcPr>
          <w:p w14:paraId="707FCDFC"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SymLPul4</w:t>
            </w:r>
          </w:p>
        </w:tc>
        <w:tc>
          <w:tcPr>
            <w:tcW w:w="1171" w:type="dxa"/>
            <w:tcBorders>
              <w:top w:val="nil"/>
              <w:left w:val="nil"/>
              <w:bottom w:val="nil"/>
              <w:right w:val="nil"/>
            </w:tcBorders>
            <w:shd w:val="clear" w:color="auto" w:fill="auto"/>
            <w:noWrap/>
            <w:vAlign w:val="center"/>
            <w:hideMark/>
          </w:tcPr>
          <w:p w14:paraId="720E413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14230</w:t>
            </w:r>
          </w:p>
        </w:tc>
        <w:tc>
          <w:tcPr>
            <w:tcW w:w="1062" w:type="dxa"/>
            <w:tcBorders>
              <w:top w:val="nil"/>
              <w:left w:val="nil"/>
              <w:bottom w:val="nil"/>
              <w:right w:val="nil"/>
            </w:tcBorders>
            <w:shd w:val="clear" w:color="auto" w:fill="auto"/>
            <w:noWrap/>
            <w:vAlign w:val="center"/>
            <w:hideMark/>
          </w:tcPr>
          <w:p w14:paraId="27E9DBBD"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75</w:t>
            </w:r>
          </w:p>
        </w:tc>
        <w:tc>
          <w:tcPr>
            <w:tcW w:w="960" w:type="dxa"/>
            <w:tcBorders>
              <w:top w:val="nil"/>
              <w:left w:val="nil"/>
              <w:bottom w:val="nil"/>
              <w:right w:val="nil"/>
            </w:tcBorders>
            <w:shd w:val="clear" w:color="auto" w:fill="auto"/>
            <w:noWrap/>
            <w:vAlign w:val="center"/>
            <w:hideMark/>
          </w:tcPr>
          <w:p w14:paraId="519FB102"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87.5</w:t>
            </w:r>
          </w:p>
        </w:tc>
        <w:tc>
          <w:tcPr>
            <w:tcW w:w="1064" w:type="dxa"/>
            <w:tcBorders>
              <w:top w:val="nil"/>
              <w:left w:val="nil"/>
              <w:bottom w:val="nil"/>
              <w:right w:val="nil"/>
            </w:tcBorders>
            <w:shd w:val="clear" w:color="auto" w:fill="auto"/>
            <w:noWrap/>
            <w:vAlign w:val="center"/>
            <w:hideMark/>
          </w:tcPr>
          <w:p w14:paraId="76568146"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0.027</w:t>
            </w:r>
          </w:p>
        </w:tc>
        <w:tc>
          <w:tcPr>
            <w:tcW w:w="996" w:type="dxa"/>
            <w:tcBorders>
              <w:top w:val="nil"/>
              <w:left w:val="nil"/>
              <w:bottom w:val="nil"/>
              <w:right w:val="nil"/>
            </w:tcBorders>
            <w:shd w:val="clear" w:color="auto" w:fill="auto"/>
            <w:noWrap/>
            <w:vAlign w:val="center"/>
            <w:hideMark/>
          </w:tcPr>
          <w:p w14:paraId="6FAA5BAE"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2.01</w:t>
            </w:r>
          </w:p>
        </w:tc>
      </w:tr>
      <w:tr w:rsidR="00324964" w:rsidRPr="00AE024E" w14:paraId="2708C8E6" w14:textId="77777777" w:rsidTr="00921FA1">
        <w:trPr>
          <w:trHeight w:val="288"/>
        </w:trPr>
        <w:tc>
          <w:tcPr>
            <w:tcW w:w="1119" w:type="dxa"/>
            <w:tcBorders>
              <w:top w:val="nil"/>
              <w:left w:val="nil"/>
              <w:bottom w:val="nil"/>
              <w:right w:val="nil"/>
            </w:tcBorders>
            <w:shd w:val="clear" w:color="auto" w:fill="auto"/>
            <w:noWrap/>
            <w:vAlign w:val="bottom"/>
            <w:hideMark/>
          </w:tcPr>
          <w:p w14:paraId="1839FA7D" w14:textId="77777777" w:rsidR="00324964" w:rsidRPr="00AE024E" w:rsidRDefault="00324964" w:rsidP="00921FA1">
            <w:pPr>
              <w:spacing w:after="0" w:line="240" w:lineRule="auto"/>
              <w:rPr>
                <w:rFonts w:eastAsia="Times New Roman" w:cstheme="minorHAnsi"/>
                <w:color w:val="000000"/>
              </w:rPr>
            </w:pPr>
            <w:r w:rsidRPr="00AE024E">
              <w:rPr>
                <w:rFonts w:eastAsia="Times New Roman" w:cstheme="minorHAnsi"/>
                <w:color w:val="000000"/>
              </w:rPr>
              <w:t>SymLPul5</w:t>
            </w:r>
          </w:p>
        </w:tc>
        <w:tc>
          <w:tcPr>
            <w:tcW w:w="1171" w:type="dxa"/>
            <w:tcBorders>
              <w:top w:val="nil"/>
              <w:left w:val="nil"/>
              <w:bottom w:val="nil"/>
              <w:right w:val="nil"/>
            </w:tcBorders>
            <w:shd w:val="clear" w:color="auto" w:fill="auto"/>
            <w:noWrap/>
            <w:vAlign w:val="center"/>
            <w:hideMark/>
          </w:tcPr>
          <w:p w14:paraId="034B3D71"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11967</w:t>
            </w:r>
          </w:p>
        </w:tc>
        <w:tc>
          <w:tcPr>
            <w:tcW w:w="1062" w:type="dxa"/>
            <w:tcBorders>
              <w:top w:val="nil"/>
              <w:left w:val="nil"/>
              <w:bottom w:val="nil"/>
              <w:right w:val="nil"/>
            </w:tcBorders>
            <w:shd w:val="clear" w:color="auto" w:fill="auto"/>
            <w:noWrap/>
            <w:vAlign w:val="center"/>
            <w:hideMark/>
          </w:tcPr>
          <w:p w14:paraId="7880DC15"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84</w:t>
            </w:r>
          </w:p>
        </w:tc>
        <w:tc>
          <w:tcPr>
            <w:tcW w:w="960" w:type="dxa"/>
            <w:tcBorders>
              <w:top w:val="nil"/>
              <w:left w:val="nil"/>
              <w:bottom w:val="nil"/>
              <w:right w:val="nil"/>
            </w:tcBorders>
            <w:shd w:val="clear" w:color="auto" w:fill="auto"/>
            <w:noWrap/>
            <w:vAlign w:val="center"/>
            <w:hideMark/>
          </w:tcPr>
          <w:p w14:paraId="02880F24"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97.5</w:t>
            </w:r>
          </w:p>
        </w:tc>
        <w:tc>
          <w:tcPr>
            <w:tcW w:w="1064" w:type="dxa"/>
            <w:tcBorders>
              <w:top w:val="nil"/>
              <w:left w:val="nil"/>
              <w:bottom w:val="nil"/>
              <w:right w:val="nil"/>
            </w:tcBorders>
            <w:shd w:val="clear" w:color="auto" w:fill="auto"/>
            <w:noWrap/>
            <w:vAlign w:val="center"/>
            <w:hideMark/>
          </w:tcPr>
          <w:p w14:paraId="38B985B6"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0.025</w:t>
            </w:r>
          </w:p>
        </w:tc>
        <w:tc>
          <w:tcPr>
            <w:tcW w:w="996" w:type="dxa"/>
            <w:tcBorders>
              <w:top w:val="nil"/>
              <w:left w:val="nil"/>
              <w:bottom w:val="nil"/>
              <w:right w:val="nil"/>
            </w:tcBorders>
            <w:shd w:val="clear" w:color="auto" w:fill="auto"/>
            <w:noWrap/>
            <w:vAlign w:val="center"/>
            <w:hideMark/>
          </w:tcPr>
          <w:p w14:paraId="404B6259" w14:textId="77777777" w:rsidR="00324964" w:rsidRPr="00AE024E" w:rsidRDefault="00324964" w:rsidP="00921FA1">
            <w:pPr>
              <w:spacing w:after="0" w:line="240" w:lineRule="auto"/>
              <w:jc w:val="center"/>
              <w:rPr>
                <w:rFonts w:eastAsia="Times New Roman" w:cstheme="minorHAnsi"/>
                <w:color w:val="000000"/>
              </w:rPr>
            </w:pPr>
            <w:r w:rsidRPr="00AE024E">
              <w:rPr>
                <w:rFonts w:eastAsia="Times New Roman" w:cstheme="minorHAnsi"/>
                <w:color w:val="000000"/>
              </w:rPr>
              <w:t>2.13</w:t>
            </w:r>
          </w:p>
        </w:tc>
      </w:tr>
      <w:tr w:rsidR="00324964" w:rsidRPr="00AE024E" w14:paraId="468EAF1B" w14:textId="77777777" w:rsidTr="00921FA1">
        <w:trPr>
          <w:trHeight w:val="288"/>
        </w:trPr>
        <w:tc>
          <w:tcPr>
            <w:tcW w:w="1119" w:type="dxa"/>
            <w:tcBorders>
              <w:top w:val="nil"/>
              <w:left w:val="nil"/>
              <w:bottom w:val="nil"/>
              <w:right w:val="nil"/>
            </w:tcBorders>
            <w:shd w:val="clear" w:color="auto" w:fill="auto"/>
            <w:noWrap/>
            <w:vAlign w:val="bottom"/>
            <w:hideMark/>
          </w:tcPr>
          <w:p w14:paraId="170FEDDC" w14:textId="77777777" w:rsidR="00324964" w:rsidRPr="00AE024E" w:rsidRDefault="00324964" w:rsidP="00921FA1">
            <w:pPr>
              <w:spacing w:after="0" w:line="240" w:lineRule="auto"/>
              <w:rPr>
                <w:rFonts w:eastAsia="Times New Roman" w:cstheme="minorHAnsi"/>
                <w:b/>
                <w:bCs/>
                <w:color w:val="000000"/>
              </w:rPr>
            </w:pPr>
            <w:r w:rsidRPr="00AE024E">
              <w:rPr>
                <w:rFonts w:eastAsia="Times New Roman" w:cstheme="minorHAnsi"/>
                <w:b/>
                <w:bCs/>
                <w:color w:val="000000"/>
              </w:rPr>
              <w:t>Mean</w:t>
            </w:r>
          </w:p>
        </w:tc>
        <w:tc>
          <w:tcPr>
            <w:tcW w:w="1171" w:type="dxa"/>
            <w:tcBorders>
              <w:top w:val="nil"/>
              <w:left w:val="nil"/>
              <w:bottom w:val="nil"/>
              <w:right w:val="nil"/>
            </w:tcBorders>
            <w:shd w:val="clear" w:color="auto" w:fill="auto"/>
            <w:noWrap/>
            <w:vAlign w:val="center"/>
            <w:hideMark/>
          </w:tcPr>
          <w:p w14:paraId="5924BD47"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11690</w:t>
            </w:r>
          </w:p>
        </w:tc>
        <w:tc>
          <w:tcPr>
            <w:tcW w:w="1062" w:type="dxa"/>
            <w:tcBorders>
              <w:top w:val="nil"/>
              <w:left w:val="nil"/>
              <w:bottom w:val="nil"/>
              <w:right w:val="nil"/>
            </w:tcBorders>
            <w:shd w:val="clear" w:color="auto" w:fill="auto"/>
            <w:noWrap/>
            <w:vAlign w:val="center"/>
            <w:hideMark/>
          </w:tcPr>
          <w:p w14:paraId="717E3B03"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78</w:t>
            </w:r>
          </w:p>
        </w:tc>
        <w:tc>
          <w:tcPr>
            <w:tcW w:w="960" w:type="dxa"/>
            <w:tcBorders>
              <w:top w:val="nil"/>
              <w:left w:val="nil"/>
              <w:bottom w:val="nil"/>
              <w:right w:val="nil"/>
            </w:tcBorders>
            <w:shd w:val="clear" w:color="auto" w:fill="auto"/>
            <w:noWrap/>
            <w:vAlign w:val="center"/>
            <w:hideMark/>
          </w:tcPr>
          <w:p w14:paraId="12AAC35A"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93.7</w:t>
            </w:r>
          </w:p>
        </w:tc>
        <w:tc>
          <w:tcPr>
            <w:tcW w:w="1064" w:type="dxa"/>
            <w:tcBorders>
              <w:top w:val="nil"/>
              <w:left w:val="nil"/>
              <w:bottom w:val="nil"/>
              <w:right w:val="nil"/>
            </w:tcBorders>
            <w:shd w:val="clear" w:color="auto" w:fill="auto"/>
            <w:noWrap/>
            <w:vAlign w:val="center"/>
            <w:hideMark/>
          </w:tcPr>
          <w:p w14:paraId="3C14FE7B"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0.028</w:t>
            </w:r>
          </w:p>
        </w:tc>
        <w:tc>
          <w:tcPr>
            <w:tcW w:w="996" w:type="dxa"/>
            <w:tcBorders>
              <w:top w:val="nil"/>
              <w:left w:val="nil"/>
              <w:bottom w:val="nil"/>
              <w:right w:val="nil"/>
            </w:tcBorders>
            <w:shd w:val="clear" w:color="auto" w:fill="auto"/>
            <w:noWrap/>
            <w:vAlign w:val="center"/>
            <w:hideMark/>
          </w:tcPr>
          <w:p w14:paraId="0C7383A9"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2.11</w:t>
            </w:r>
          </w:p>
        </w:tc>
      </w:tr>
      <w:tr w:rsidR="00324964" w:rsidRPr="00AE024E" w14:paraId="43912562" w14:textId="77777777" w:rsidTr="00921FA1">
        <w:trPr>
          <w:trHeight w:val="288"/>
        </w:trPr>
        <w:tc>
          <w:tcPr>
            <w:tcW w:w="1119" w:type="dxa"/>
            <w:tcBorders>
              <w:top w:val="nil"/>
              <w:left w:val="nil"/>
              <w:bottom w:val="nil"/>
              <w:right w:val="nil"/>
            </w:tcBorders>
            <w:shd w:val="clear" w:color="auto" w:fill="auto"/>
            <w:noWrap/>
            <w:vAlign w:val="bottom"/>
            <w:hideMark/>
          </w:tcPr>
          <w:p w14:paraId="6AE067F0" w14:textId="77777777" w:rsidR="00324964" w:rsidRPr="00AE024E" w:rsidRDefault="00324964" w:rsidP="00921FA1">
            <w:pPr>
              <w:spacing w:after="0" w:line="240" w:lineRule="auto"/>
              <w:rPr>
                <w:rFonts w:eastAsia="Times New Roman" w:cstheme="minorHAnsi"/>
                <w:b/>
                <w:bCs/>
                <w:color w:val="000000"/>
              </w:rPr>
            </w:pPr>
            <w:r w:rsidRPr="00AE024E">
              <w:rPr>
                <w:rFonts w:eastAsia="Times New Roman" w:cstheme="minorHAnsi"/>
                <w:b/>
                <w:bCs/>
                <w:color w:val="000000"/>
              </w:rPr>
              <w:t>STDV</w:t>
            </w:r>
          </w:p>
        </w:tc>
        <w:tc>
          <w:tcPr>
            <w:tcW w:w="1171" w:type="dxa"/>
            <w:tcBorders>
              <w:top w:val="nil"/>
              <w:left w:val="nil"/>
              <w:bottom w:val="nil"/>
              <w:right w:val="nil"/>
            </w:tcBorders>
            <w:shd w:val="clear" w:color="auto" w:fill="auto"/>
            <w:noWrap/>
            <w:vAlign w:val="center"/>
            <w:hideMark/>
          </w:tcPr>
          <w:p w14:paraId="3E0046D1"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1605</w:t>
            </w:r>
          </w:p>
        </w:tc>
        <w:tc>
          <w:tcPr>
            <w:tcW w:w="1062" w:type="dxa"/>
            <w:tcBorders>
              <w:top w:val="nil"/>
              <w:left w:val="nil"/>
              <w:bottom w:val="nil"/>
              <w:right w:val="nil"/>
            </w:tcBorders>
            <w:shd w:val="clear" w:color="auto" w:fill="auto"/>
            <w:noWrap/>
            <w:vAlign w:val="center"/>
            <w:hideMark/>
          </w:tcPr>
          <w:p w14:paraId="2BA997AB"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14</w:t>
            </w:r>
          </w:p>
        </w:tc>
        <w:tc>
          <w:tcPr>
            <w:tcW w:w="960" w:type="dxa"/>
            <w:tcBorders>
              <w:top w:val="nil"/>
              <w:left w:val="nil"/>
              <w:bottom w:val="nil"/>
              <w:right w:val="nil"/>
            </w:tcBorders>
            <w:shd w:val="clear" w:color="auto" w:fill="auto"/>
            <w:noWrap/>
            <w:vAlign w:val="center"/>
            <w:hideMark/>
          </w:tcPr>
          <w:p w14:paraId="242C4980"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19.0</w:t>
            </w:r>
          </w:p>
        </w:tc>
        <w:tc>
          <w:tcPr>
            <w:tcW w:w="1064" w:type="dxa"/>
            <w:tcBorders>
              <w:top w:val="nil"/>
              <w:left w:val="nil"/>
              <w:bottom w:val="nil"/>
              <w:right w:val="nil"/>
            </w:tcBorders>
            <w:shd w:val="clear" w:color="auto" w:fill="auto"/>
            <w:noWrap/>
            <w:vAlign w:val="center"/>
            <w:hideMark/>
          </w:tcPr>
          <w:p w14:paraId="520C66D3"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0.006</w:t>
            </w:r>
          </w:p>
        </w:tc>
        <w:tc>
          <w:tcPr>
            <w:tcW w:w="996" w:type="dxa"/>
            <w:tcBorders>
              <w:top w:val="nil"/>
              <w:left w:val="nil"/>
              <w:bottom w:val="nil"/>
              <w:right w:val="nil"/>
            </w:tcBorders>
            <w:shd w:val="clear" w:color="auto" w:fill="auto"/>
            <w:noWrap/>
            <w:vAlign w:val="center"/>
            <w:hideMark/>
          </w:tcPr>
          <w:p w14:paraId="40D196C0" w14:textId="77777777" w:rsidR="00324964" w:rsidRPr="00AE024E" w:rsidRDefault="00324964" w:rsidP="00921FA1">
            <w:pPr>
              <w:spacing w:after="0" w:line="240" w:lineRule="auto"/>
              <w:jc w:val="center"/>
              <w:rPr>
                <w:rFonts w:eastAsia="Times New Roman" w:cstheme="minorHAnsi"/>
                <w:b/>
                <w:bCs/>
                <w:color w:val="000000"/>
              </w:rPr>
            </w:pPr>
            <w:r w:rsidRPr="00AE024E">
              <w:rPr>
                <w:rFonts w:eastAsia="Times New Roman" w:cstheme="minorHAnsi"/>
                <w:b/>
                <w:bCs/>
                <w:color w:val="000000"/>
              </w:rPr>
              <w:t>0.07</w:t>
            </w:r>
          </w:p>
        </w:tc>
      </w:tr>
    </w:tbl>
    <w:p w14:paraId="3253EE14" w14:textId="77777777" w:rsidR="00324964" w:rsidRPr="00AE024E" w:rsidRDefault="00324964" w:rsidP="00324964">
      <w:pPr>
        <w:tabs>
          <w:tab w:val="left" w:pos="6390"/>
        </w:tabs>
        <w:spacing w:line="240" w:lineRule="auto"/>
        <w:rPr>
          <w:rFonts w:cstheme="minorHAnsi"/>
        </w:rPr>
      </w:pPr>
      <w:r w:rsidRPr="00AE024E">
        <w:rPr>
          <w:rFonts w:cstheme="minorHAnsi"/>
        </w:rPr>
        <w:t xml:space="preserve">Treatments: Apo = aposymbiotic, </w:t>
      </w:r>
      <w:proofErr w:type="spellStart"/>
      <w:r w:rsidRPr="00AE024E">
        <w:rPr>
          <w:rFonts w:cstheme="minorHAnsi"/>
        </w:rPr>
        <w:t>Sym</w:t>
      </w:r>
      <w:proofErr w:type="spellEnd"/>
      <w:r w:rsidRPr="00AE024E">
        <w:rPr>
          <w:rFonts w:cstheme="minorHAnsi"/>
        </w:rPr>
        <w:t xml:space="preserve"> = symbiotic, L = light, D = dark, </w:t>
      </w:r>
      <w:proofErr w:type="spellStart"/>
      <w:r w:rsidRPr="00AE024E">
        <w:rPr>
          <w:rFonts w:cstheme="minorHAnsi"/>
        </w:rPr>
        <w:t>Pul</w:t>
      </w:r>
      <w:proofErr w:type="spellEnd"/>
      <w:r w:rsidRPr="00AE024E">
        <w:rPr>
          <w:rFonts w:cstheme="minorHAnsi"/>
        </w:rPr>
        <w:t xml:space="preserve"> = sampled after pulse incubation.</w:t>
      </w:r>
    </w:p>
    <w:p w14:paraId="55965CA3" w14:textId="77777777" w:rsidR="00935B84" w:rsidRPr="00AE024E" w:rsidRDefault="00935B84" w:rsidP="00324964">
      <w:pPr>
        <w:tabs>
          <w:tab w:val="left" w:pos="6390"/>
        </w:tabs>
        <w:spacing w:line="240" w:lineRule="auto"/>
        <w:rPr>
          <w:rFonts w:cstheme="minorHAnsi"/>
          <w:sz w:val="24"/>
          <w:szCs w:val="24"/>
        </w:rPr>
      </w:pPr>
    </w:p>
    <w:p w14:paraId="046CB65B" w14:textId="77777777" w:rsidR="00324964" w:rsidRPr="00AE024E" w:rsidRDefault="00324964" w:rsidP="00AE024E">
      <w:pPr>
        <w:pStyle w:val="Heading4"/>
        <w:spacing w:line="240" w:lineRule="auto"/>
        <w:rPr>
          <w:rFonts w:asciiTheme="minorHAnsi" w:hAnsiTheme="minorHAnsi" w:cstheme="minorHAnsi"/>
          <w:color w:val="auto"/>
        </w:rPr>
      </w:pPr>
      <w:r w:rsidRPr="00AE024E">
        <w:rPr>
          <w:rFonts w:asciiTheme="minorHAnsi" w:hAnsiTheme="minorHAnsi" w:cstheme="minorHAnsi"/>
          <w:color w:val="auto"/>
        </w:rPr>
        <w:t xml:space="preserve">Distinct bacterial communities associated with symbiotic and aposymbiotic </w:t>
      </w:r>
      <w:r w:rsidRPr="00AE024E">
        <w:rPr>
          <w:rFonts w:asciiTheme="minorHAnsi" w:hAnsiTheme="minorHAnsi" w:cstheme="minorHAnsi"/>
          <w:i w:val="0"/>
          <w:color w:val="auto"/>
        </w:rPr>
        <w:t>C. xamachana</w:t>
      </w:r>
      <w:r w:rsidRPr="00AE024E">
        <w:rPr>
          <w:rFonts w:asciiTheme="minorHAnsi" w:hAnsiTheme="minorHAnsi" w:cstheme="minorHAnsi"/>
          <w:color w:val="auto"/>
        </w:rPr>
        <w:t xml:space="preserve"> </w:t>
      </w:r>
    </w:p>
    <w:p w14:paraId="599C6C11" w14:textId="67202F09" w:rsidR="00324964" w:rsidRPr="00AE024E" w:rsidRDefault="00324964" w:rsidP="00AE024E">
      <w:pPr>
        <w:tabs>
          <w:tab w:val="left" w:pos="6390"/>
        </w:tabs>
        <w:spacing w:line="240" w:lineRule="auto"/>
        <w:rPr>
          <w:rFonts w:cstheme="minorHAnsi"/>
        </w:rPr>
      </w:pPr>
      <w:r w:rsidRPr="00AE024E">
        <w:rPr>
          <w:rFonts w:cstheme="minorHAnsi"/>
        </w:rPr>
        <w:t xml:space="preserve">To identify differences between treatments and/or symbiotic states, we compared bacterial community profiles over medusae and treatments in a PCoA </w:t>
      </w:r>
      <w:r w:rsidRPr="00C23D56">
        <w:rPr>
          <w:rFonts w:cstheme="minorHAnsi"/>
        </w:rPr>
        <w:t>based on a Bray-Curtis dissimilarity matrix (</w:t>
      </w:r>
      <w:r w:rsidR="00B02AB9" w:rsidRPr="00C23D56">
        <w:rPr>
          <w:rFonts w:cstheme="minorHAnsi"/>
        </w:rPr>
        <w:t xml:space="preserve">Additional Information File </w:t>
      </w:r>
      <w:r w:rsidR="00CA09B9" w:rsidRPr="00C23D56">
        <w:rPr>
          <w:rFonts w:cstheme="minorHAnsi"/>
        </w:rPr>
        <w:t>2</w:t>
      </w:r>
      <w:r w:rsidR="00B02AB9" w:rsidRPr="00C23D56">
        <w:rPr>
          <w:rFonts w:cstheme="minorHAnsi"/>
        </w:rPr>
        <w:t xml:space="preserve"> - </w:t>
      </w:r>
      <w:r w:rsidRPr="00C23D56">
        <w:rPr>
          <w:rFonts w:cstheme="minorHAnsi"/>
        </w:rPr>
        <w:t xml:space="preserve">Fig. </w:t>
      </w:r>
      <w:r w:rsidR="00935B84" w:rsidRPr="00C23D56">
        <w:rPr>
          <w:rFonts w:cstheme="minorHAnsi"/>
        </w:rPr>
        <w:t>S</w:t>
      </w:r>
      <w:r w:rsidR="00B02AB9" w:rsidRPr="00C23D56">
        <w:rPr>
          <w:rFonts w:cstheme="minorHAnsi"/>
        </w:rPr>
        <w:t>6</w:t>
      </w:r>
      <w:r w:rsidRPr="00C23D56">
        <w:rPr>
          <w:rFonts w:cstheme="minorHAnsi"/>
        </w:rPr>
        <w:t>). ApoL samples were comparably broadly dispersed and clustered away from SymL and SymD samples, which were clustering relatively</w:t>
      </w:r>
      <w:r w:rsidRPr="00AE024E">
        <w:rPr>
          <w:rFonts w:cstheme="minorHAnsi"/>
        </w:rPr>
        <w:t xml:space="preserve"> close together. These finding were corroborated by an Analysis of Molecular Variance (AMOVA), showing significant differences between ApoL and SymL (</w:t>
      </w:r>
      <w:r w:rsidRPr="00AE024E">
        <w:rPr>
          <w:rFonts w:cstheme="minorHAnsi"/>
          <w:i/>
          <w:iCs/>
        </w:rPr>
        <w:t>p</w:t>
      </w:r>
      <w:r w:rsidRPr="00AE024E">
        <w:rPr>
          <w:rFonts w:cstheme="minorHAnsi"/>
          <w:i/>
          <w:iCs/>
          <w:vertAlign w:val="subscript"/>
        </w:rPr>
        <w:t>AMOVA</w:t>
      </w:r>
      <w:r w:rsidRPr="00AE024E">
        <w:rPr>
          <w:rFonts w:cstheme="minorHAnsi"/>
        </w:rPr>
        <w:t>=0.013), ApoL and SymD (</w:t>
      </w:r>
      <w:r w:rsidRPr="00AE024E">
        <w:rPr>
          <w:rFonts w:cstheme="minorHAnsi"/>
          <w:i/>
          <w:iCs/>
        </w:rPr>
        <w:t>p</w:t>
      </w:r>
      <w:r w:rsidRPr="00AE024E">
        <w:rPr>
          <w:rFonts w:cstheme="minorHAnsi"/>
          <w:i/>
          <w:iCs/>
          <w:vertAlign w:val="subscript"/>
        </w:rPr>
        <w:t>AMOVA</w:t>
      </w:r>
      <w:r w:rsidRPr="00AE024E">
        <w:rPr>
          <w:rFonts w:cstheme="minorHAnsi"/>
        </w:rPr>
        <w:t>=0.013), but not between SymL and SymD (</w:t>
      </w:r>
      <w:r w:rsidRPr="00AE024E">
        <w:rPr>
          <w:rFonts w:cstheme="minorHAnsi"/>
          <w:i/>
          <w:iCs/>
        </w:rPr>
        <w:t>p</w:t>
      </w:r>
      <w:r w:rsidRPr="00AE024E">
        <w:rPr>
          <w:rFonts w:cstheme="minorHAnsi"/>
          <w:i/>
          <w:iCs/>
          <w:vertAlign w:val="subscript"/>
        </w:rPr>
        <w:t>AMOVA</w:t>
      </w:r>
      <w:r w:rsidRPr="00AE024E">
        <w:rPr>
          <w:rFonts w:cstheme="minorHAnsi"/>
        </w:rPr>
        <w:t>=0.718). The similarities between light and dark treatments for symbiotic medusae including alpha diversity indices, PCoA, and AMOVA suggest that the 5h incubation did not affect the associated bacterial communities.</w:t>
      </w:r>
    </w:p>
    <w:p w14:paraId="60EAAC0E" w14:textId="77777777" w:rsidR="00935B84" w:rsidRPr="00AE024E" w:rsidRDefault="00935B84" w:rsidP="00935B84">
      <w:pPr>
        <w:tabs>
          <w:tab w:val="left" w:pos="6390"/>
        </w:tabs>
        <w:spacing w:line="240" w:lineRule="auto"/>
        <w:rPr>
          <w:rFonts w:cstheme="minorHAnsi"/>
        </w:rPr>
      </w:pPr>
      <w:r w:rsidRPr="00AE024E">
        <w:rPr>
          <w:rFonts w:cstheme="minorHAnsi"/>
          <w:noProof/>
        </w:rPr>
        <w:lastRenderedPageBreak/>
        <w:drawing>
          <wp:inline distT="0" distB="0" distL="0" distR="0" wp14:anchorId="48C3C178" wp14:editId="13A7331B">
            <wp:extent cx="2750820" cy="2219992"/>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2-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59364" cy="2226887"/>
                    </a:xfrm>
                    <a:prstGeom prst="rect">
                      <a:avLst/>
                    </a:prstGeom>
                  </pic:spPr>
                </pic:pic>
              </a:graphicData>
            </a:graphic>
          </wp:inline>
        </w:drawing>
      </w:r>
    </w:p>
    <w:p w14:paraId="25D773CC" w14:textId="4D8AAED1" w:rsidR="00935B84" w:rsidRPr="00AE024E" w:rsidRDefault="00935B84" w:rsidP="00935B84">
      <w:pPr>
        <w:tabs>
          <w:tab w:val="left" w:pos="6390"/>
        </w:tabs>
        <w:spacing w:after="0" w:line="240" w:lineRule="auto"/>
        <w:rPr>
          <w:rFonts w:cstheme="minorHAnsi"/>
        </w:rPr>
      </w:pPr>
      <w:r w:rsidRPr="00C23D56">
        <w:rPr>
          <w:rFonts w:cstheme="minorHAnsi"/>
          <w:b/>
        </w:rPr>
        <w:t>Figure S</w:t>
      </w:r>
      <w:r w:rsidR="00B02AB9" w:rsidRPr="00C23D56">
        <w:rPr>
          <w:rFonts w:cstheme="minorHAnsi"/>
          <w:b/>
        </w:rPr>
        <w:t>6</w:t>
      </w:r>
      <w:r w:rsidRPr="00C23D56">
        <w:rPr>
          <w:rFonts w:cstheme="minorHAnsi"/>
          <w:b/>
        </w:rPr>
        <w:t>.</w:t>
      </w:r>
      <w:r w:rsidRPr="00C23D56">
        <w:rPr>
          <w:rFonts w:cstheme="minorHAnsi"/>
        </w:rPr>
        <w:t xml:space="preserve"> Clustering</w:t>
      </w:r>
      <w:r w:rsidRPr="00AE024E">
        <w:rPr>
          <w:rFonts w:cstheme="minorHAnsi"/>
        </w:rPr>
        <w:t xml:space="preserve"> of </w:t>
      </w:r>
      <w:r w:rsidRPr="00AE024E">
        <w:rPr>
          <w:rFonts w:cstheme="minorHAnsi"/>
          <w:i/>
        </w:rPr>
        <w:t xml:space="preserve">C. xamachana </w:t>
      </w:r>
      <w:r w:rsidRPr="00AE024E">
        <w:rPr>
          <w:rFonts w:cstheme="minorHAnsi"/>
        </w:rPr>
        <w:t>samples based on Bray-Curtis dissimilarity of microbial community abundances in a principal coordinate analysis (PCoA) (R</w:t>
      </w:r>
      <w:r w:rsidRPr="00AE024E">
        <w:rPr>
          <w:rFonts w:cstheme="minorHAnsi"/>
          <w:vertAlign w:val="superscript"/>
        </w:rPr>
        <w:t xml:space="preserve">2 </w:t>
      </w:r>
      <w:r w:rsidRPr="00AE024E">
        <w:rPr>
          <w:rFonts w:cstheme="minorHAnsi"/>
        </w:rPr>
        <w:t xml:space="preserve">= 0.99). </w:t>
      </w:r>
    </w:p>
    <w:p w14:paraId="5582235D" w14:textId="77777777" w:rsidR="00935B84" w:rsidRDefault="00935B84" w:rsidP="00935B84">
      <w:pPr>
        <w:tabs>
          <w:tab w:val="left" w:pos="6390"/>
        </w:tabs>
        <w:spacing w:line="240" w:lineRule="auto"/>
        <w:rPr>
          <w:rFonts w:cstheme="minorHAnsi"/>
          <w:sz w:val="20"/>
          <w:szCs w:val="20"/>
        </w:rPr>
      </w:pPr>
      <w:r w:rsidRPr="00AE024E">
        <w:rPr>
          <w:rFonts w:cstheme="minorHAnsi"/>
        </w:rPr>
        <w:t xml:space="preserve">Treatments: Apo = aposymbiotic, </w:t>
      </w:r>
      <w:proofErr w:type="spellStart"/>
      <w:r w:rsidRPr="00AE024E">
        <w:rPr>
          <w:rFonts w:cstheme="minorHAnsi"/>
        </w:rPr>
        <w:t>Sym</w:t>
      </w:r>
      <w:proofErr w:type="spellEnd"/>
      <w:r w:rsidRPr="00AE024E">
        <w:rPr>
          <w:rFonts w:cstheme="minorHAnsi"/>
        </w:rPr>
        <w:t xml:space="preserve"> = symbiotic, L = light, D = dark, </w:t>
      </w:r>
      <w:proofErr w:type="spellStart"/>
      <w:r w:rsidRPr="00AE024E">
        <w:rPr>
          <w:rFonts w:cstheme="minorHAnsi"/>
        </w:rPr>
        <w:t>Pul</w:t>
      </w:r>
      <w:proofErr w:type="spellEnd"/>
      <w:r w:rsidRPr="00AE024E">
        <w:rPr>
          <w:rFonts w:cstheme="minorHAnsi"/>
        </w:rPr>
        <w:t xml:space="preserve"> = sampled after pulse incubation. Percentage values at each axis detail its explanatory power</w:t>
      </w:r>
      <w:r w:rsidRPr="00AE024E">
        <w:rPr>
          <w:rFonts w:cstheme="minorHAnsi"/>
          <w:sz w:val="20"/>
          <w:szCs w:val="20"/>
        </w:rPr>
        <w:t>.</w:t>
      </w:r>
    </w:p>
    <w:p w14:paraId="5B5BF70E" w14:textId="77777777" w:rsidR="00C23D56" w:rsidRDefault="00C23D56" w:rsidP="00AE024E">
      <w:pPr>
        <w:tabs>
          <w:tab w:val="left" w:pos="6390"/>
        </w:tabs>
        <w:spacing w:line="240" w:lineRule="auto"/>
        <w:rPr>
          <w:rFonts w:cstheme="minorHAnsi"/>
        </w:rPr>
      </w:pPr>
    </w:p>
    <w:p w14:paraId="41C2EB69" w14:textId="6FEBB378" w:rsidR="00324964" w:rsidRPr="00AE024E" w:rsidRDefault="00324964" w:rsidP="00AE024E">
      <w:pPr>
        <w:tabs>
          <w:tab w:val="left" w:pos="6390"/>
        </w:tabs>
        <w:spacing w:line="240" w:lineRule="auto"/>
        <w:rPr>
          <w:rFonts w:cstheme="minorHAnsi"/>
          <w:sz w:val="24"/>
          <w:szCs w:val="24"/>
        </w:rPr>
      </w:pPr>
      <w:r w:rsidRPr="00AE024E">
        <w:rPr>
          <w:rFonts w:cstheme="minorHAnsi"/>
        </w:rPr>
        <w:t>To identify OTUs that – based on their ubiquity – may be of functional importance</w:t>
      </w:r>
      <w:r w:rsidR="00D543A4">
        <w:rPr>
          <w:rFonts w:cstheme="minorHAnsi"/>
        </w:rPr>
        <w:t xml:space="preserve"> </w:t>
      </w:r>
      <w:r w:rsidRPr="00AE024E">
        <w:rPr>
          <w:rFonts w:cstheme="minorHAnsi"/>
        </w:rPr>
        <w:fldChar w:fldCharType="begin" w:fldLock="1"/>
      </w:r>
      <w:r w:rsidR="00C23D56">
        <w:rPr>
          <w:rFonts w:cstheme="minorHAnsi"/>
        </w:rPr>
        <w:instrText>ADDIN CSL_CITATION {"citationItems":[{"id":"ITEM-1","itemData":{"DOI":"10.1038/ismej.2015.39","ISSN":"1751-7362","abstract":"Despite being one of the simplest metazoans, corals harbor some of the most highly diverse and abundant microbial communities. Differentiating core, symbiotic bacteria from this diverse host-associated consortium is essential for characterizing the functional contributions of bacteria but has not been possible yet. Here we characterize the coral core microbiome and demonstrate clear phylogenetic and functional divisions between the micro-scale, niche habitats within the coral host. In doing so, we discover seven distinct bacterial phylotypes that are universal to the core microbiome of coral species, separated by thousands of kilometres of oceans. The two most abundant phylotypes are co-localized specifically with the corals/' endosymbiotic algae and symbiont-containing host cells. These bacterial symbioses likely facilitate the success of the dinoflagellate endosymbiosis with corals in diverse environmental regimes.","author":[{"dropping-particle":"","family":"Ainsworth","given":"Tracy","non-dropping-particle":"","parse-names":false,"suffix":""},{"dropping-particle":"","family":"Krause","given":"Lutz","non-dropping-particle":"","parse-names":false,"suffix":""},{"dropping-particle":"","family":"Bridge","given":"Thomas","non-dropping-particle":"","parse-names":false,"suffix":""},{"dropping-particle":"","family":"Torda","given":"Gergely","non-dropping-particle":"","parse-names":false,"suffix":""},{"dropping-particle":"","family":"Raina","given":"Jean-Baptise","non-dropping-particle":"","parse-names":false,"suffix":""},{"dropping-particle":"","family":"Zakrzewski","given":"Martha","non-dropping-particle":"","parse-names":false,"suffix":""},{"dropping-particle":"","family":"Gates","given":"Ruth D","non-dropping-particle":"","parse-names":false,"suffix":""},{"dropping-particle":"","family":"Padilla-Gamino","given":"Jacqueline L","non-dropping-particle":"","parse-names":false,"suffix":""},{"dropping-particle":"","family":"Spalding","given":"Heather L","non-dropping-particle":"","parse-names":false,"suffix":""},{"dropping-particle":"","family":"Smith","given":"Celia","non-dropping-particle":"","parse-names":false,"suffix":""},{"dropping-particle":"","family":"Woolsey","given":"Erika S","non-dropping-particle":"","parse-names":false,"suffix":""},{"dropping-particle":"","family":"Bourne","given":"David G","non-dropping-particle":"","parse-names":false,"suffix":""},{"dropping-particle":"","family":"Bongaerts","given":"Pim","non-dropping-particle":"","parse-names":false,"suffix":""},{"dropping-particle":"","family":"Hoegh-Guldberg","given":"Ove","non-dropping-particle":"","parse-names":false,"suffix":""},{"dropping-particle":"","family":"Leggat","given":"William","non-dropping-particle":"","parse-names":false,"suffix":""}],"container-title":"ISME J","id":"ITEM-1","issue":"10","issued":{"date-parts":[["2015"]]},"note":"Supplementary information available for this article at http://www.nature.com/ismej/journal/v9/n10/suppinfo/ismej201539s1.html","page":"2261-2274","title":"The coral core microbiome identifies rare bacterial taxa as ubiquitous endosymbionts","type":"article-journal","volume":"9"},"uris":["http://www.mendeley.com/documents/?uuid=d2cfc2f9-c484-4318-88b3-b62697de7c19"]}],"mendeley":{"formattedCitation":"[5]","plainTextFormattedCitation":"[5]","previouslyFormattedCitation":"&lt;sup&gt;5&lt;/sup&gt;"},"properties":{"noteIndex":0},"schema":"https://github.com/citation-style-language/schema/raw/master/csl-citation.json"}</w:instrText>
      </w:r>
      <w:r w:rsidRPr="00AE024E">
        <w:rPr>
          <w:rFonts w:cstheme="minorHAnsi"/>
        </w:rPr>
        <w:fldChar w:fldCharType="separate"/>
      </w:r>
      <w:r w:rsidR="00C23D56" w:rsidRPr="00C23D56">
        <w:rPr>
          <w:rFonts w:cstheme="minorHAnsi"/>
          <w:noProof/>
        </w:rPr>
        <w:t>[5]</w:t>
      </w:r>
      <w:r w:rsidRPr="00AE024E">
        <w:rPr>
          <w:rFonts w:cstheme="minorHAnsi"/>
        </w:rPr>
        <w:fldChar w:fldCharType="end"/>
      </w:r>
      <w:r w:rsidRPr="00AE024E">
        <w:rPr>
          <w:rFonts w:cstheme="minorHAnsi"/>
        </w:rPr>
        <w:t xml:space="preserve">, we firstly pooled all symbiotic samples (i.e. SymL and SymD). Next, we characterized the core microbiome of all jellyfish, the symbiome, and the apobiome. The core microbiome, i.e. the OTUs present in all 15 medusae, consisted of 18 OTUs, including 13 of the 15 most abundant </w:t>
      </w:r>
      <w:r w:rsidRPr="00C23D56">
        <w:rPr>
          <w:rFonts w:cstheme="minorHAnsi"/>
        </w:rPr>
        <w:t xml:space="preserve">taxa (Additional File </w:t>
      </w:r>
      <w:r w:rsidR="00CA09B9" w:rsidRPr="00C23D56">
        <w:rPr>
          <w:rFonts w:cstheme="minorHAnsi"/>
        </w:rPr>
        <w:t>3</w:t>
      </w:r>
      <w:r w:rsidRPr="00C23D56">
        <w:rPr>
          <w:rFonts w:cstheme="minorHAnsi"/>
        </w:rPr>
        <w:t>: Table S6). Curiously</w:t>
      </w:r>
      <w:r w:rsidRPr="00AE024E">
        <w:rPr>
          <w:rFonts w:cstheme="minorHAnsi"/>
        </w:rPr>
        <w:t xml:space="preserve">, the symbiome consisted only of OTU0017 (unclassified </w:t>
      </w:r>
      <w:r w:rsidRPr="00AE024E">
        <w:rPr>
          <w:rFonts w:cstheme="minorHAnsi"/>
          <w:i/>
        </w:rPr>
        <w:t>Rhodobacteraceae</w:t>
      </w:r>
      <w:r w:rsidRPr="00AE024E">
        <w:rPr>
          <w:rFonts w:cstheme="minorHAnsi"/>
        </w:rPr>
        <w:t>), which also occurred in one aposymbiotic sample at a low abundance (n = 4). The apobiome consisted of 9 OTUs and its most abundant member was OTU009 (</w:t>
      </w:r>
      <w:r w:rsidRPr="00AE024E">
        <w:rPr>
          <w:rFonts w:cstheme="minorHAnsi"/>
          <w:i/>
        </w:rPr>
        <w:t>Sphingomonas</w:t>
      </w:r>
      <w:r w:rsidRPr="00AE024E">
        <w:rPr>
          <w:rFonts w:cstheme="minorHAnsi"/>
        </w:rPr>
        <w:t xml:space="preserve"> sp.). </w:t>
      </w:r>
    </w:p>
    <w:p w14:paraId="2EEFF27A" w14:textId="09269BDB" w:rsidR="00324964" w:rsidRPr="00AE024E" w:rsidRDefault="00324964">
      <w:pPr>
        <w:rPr>
          <w:rFonts w:cstheme="minorHAnsi"/>
          <w:b/>
        </w:rPr>
      </w:pPr>
      <w:r w:rsidRPr="00C23D56">
        <w:rPr>
          <w:rFonts w:cstheme="minorHAnsi"/>
          <w:b/>
        </w:rPr>
        <w:t xml:space="preserve">References </w:t>
      </w:r>
      <w:r w:rsidR="00B02AB9" w:rsidRPr="00C23D56">
        <w:rPr>
          <w:rFonts w:cstheme="minorHAnsi"/>
          <w:b/>
        </w:rPr>
        <w:t>for</w:t>
      </w:r>
      <w:r w:rsidRPr="00C23D56">
        <w:rPr>
          <w:rFonts w:cstheme="minorHAnsi"/>
          <w:b/>
        </w:rPr>
        <w:t xml:space="preserve"> Additional Information File </w:t>
      </w:r>
      <w:r w:rsidR="00CA09B9" w:rsidRPr="00C23D56">
        <w:rPr>
          <w:rFonts w:cstheme="minorHAnsi"/>
          <w:b/>
        </w:rPr>
        <w:t>2</w:t>
      </w:r>
    </w:p>
    <w:p w14:paraId="27162972" w14:textId="585DA9FF" w:rsidR="00C23D56" w:rsidRDefault="00324964" w:rsidP="00C23D56">
      <w:pPr>
        <w:autoSpaceDE w:val="0"/>
        <w:autoSpaceDN w:val="0"/>
        <w:adjustRightInd w:val="0"/>
        <w:spacing w:after="0" w:line="240" w:lineRule="auto"/>
        <w:rPr>
          <w:rFonts w:ascii="Calibri" w:hAnsi="Calibri" w:cs="Calibri"/>
          <w:color w:val="000000"/>
        </w:rPr>
      </w:pPr>
      <w:r w:rsidRPr="00AE024E">
        <w:rPr>
          <w:rFonts w:cstheme="minorHAnsi"/>
        </w:rPr>
        <w:fldChar w:fldCharType="begin" w:fldLock="1"/>
      </w:r>
      <w:r w:rsidRPr="00AE024E">
        <w:rPr>
          <w:rFonts w:cstheme="minorHAnsi"/>
          <w:lang w:val="de-DE"/>
        </w:rPr>
        <w:instrText xml:space="preserve">ADDIN Mendeley Bibliography CSL_BIBLIOGRAPHY </w:instrText>
      </w:r>
      <w:r w:rsidRPr="00AE024E">
        <w:rPr>
          <w:rFonts w:cstheme="minorHAnsi"/>
        </w:rPr>
        <w:fldChar w:fldCharType="separate"/>
      </w:r>
      <w:r w:rsidR="00C23D56" w:rsidRPr="00D543A4">
        <w:rPr>
          <w:rFonts w:ascii="Calibri" w:hAnsi="Calibri" w:cs="Calibri"/>
          <w:noProof/>
          <w:szCs w:val="24"/>
          <w:lang w:val="de-DE"/>
        </w:rPr>
        <w:t xml:space="preserve">1. Schloss PD, Westcott SL, Ryabin T, Hall JR, Hartmann M, Hollister EB, et al. </w:t>
      </w:r>
      <w:r w:rsidR="00C23D56" w:rsidRPr="00C23D56">
        <w:rPr>
          <w:rFonts w:ascii="Calibri" w:hAnsi="Calibri" w:cs="Calibri"/>
          <w:noProof/>
          <w:szCs w:val="24"/>
        </w:rPr>
        <w:t>Introducing mothur: Open-Source, Platform-Indepe</w:t>
      </w:r>
      <w:bookmarkStart w:id="0" w:name="_GoBack"/>
      <w:bookmarkEnd w:id="0"/>
      <w:r w:rsidR="00C23D56" w:rsidRPr="00C23D56">
        <w:rPr>
          <w:rFonts w:ascii="Calibri" w:hAnsi="Calibri" w:cs="Calibri"/>
          <w:noProof/>
          <w:szCs w:val="24"/>
        </w:rPr>
        <w:t xml:space="preserve">ndent, Community-Supported Software for Describing and Comparing Microbial Communities. Appl Environ Microbiol. 2009;75:7537–41. </w:t>
      </w:r>
      <w:r w:rsidR="00C23D56">
        <w:rPr>
          <w:rFonts w:ascii="Calibri" w:hAnsi="Calibri" w:cs="Calibri"/>
          <w:color w:val="0000FF"/>
        </w:rPr>
        <w:t xml:space="preserve">https://doi.org/10.1128/aem.01541-09 </w:t>
      </w:r>
      <w:r w:rsidR="00C23D56">
        <w:rPr>
          <w:rFonts w:ascii="Calibri" w:hAnsi="Calibri" w:cs="Calibri"/>
          <w:color w:val="000000"/>
        </w:rPr>
        <w:t>American Society for Microbiology.</w:t>
      </w:r>
    </w:p>
    <w:p w14:paraId="560FBAFA" w14:textId="77777777" w:rsidR="00C23D56" w:rsidRPr="00C23D56" w:rsidRDefault="00C23D56" w:rsidP="00C23D56">
      <w:pPr>
        <w:autoSpaceDE w:val="0"/>
        <w:autoSpaceDN w:val="0"/>
        <w:adjustRightInd w:val="0"/>
        <w:spacing w:after="0" w:line="240" w:lineRule="auto"/>
        <w:rPr>
          <w:rFonts w:ascii="Calibri" w:hAnsi="Calibri" w:cs="Calibri"/>
          <w:color w:val="0000FF"/>
        </w:rPr>
      </w:pPr>
    </w:p>
    <w:p w14:paraId="1840C246" w14:textId="4AF9B19A" w:rsidR="00C23D56" w:rsidRPr="00C23D56" w:rsidRDefault="00C23D56" w:rsidP="00C23D56">
      <w:pPr>
        <w:widowControl w:val="0"/>
        <w:autoSpaceDE w:val="0"/>
        <w:autoSpaceDN w:val="0"/>
        <w:adjustRightInd w:val="0"/>
        <w:spacing w:line="240" w:lineRule="auto"/>
        <w:rPr>
          <w:rFonts w:ascii="Calibri" w:hAnsi="Calibri" w:cs="Calibri"/>
          <w:noProof/>
          <w:szCs w:val="24"/>
        </w:rPr>
      </w:pPr>
      <w:r w:rsidRPr="00D543A4">
        <w:rPr>
          <w:rFonts w:ascii="Calibri" w:hAnsi="Calibri" w:cs="Calibri"/>
          <w:noProof/>
          <w:szCs w:val="24"/>
          <w:lang w:val="de-DE"/>
        </w:rPr>
        <w:t xml:space="preserve">2. Pruesse E, Quast C, Knittel K, Fuchs BM, Ludwig W, Peplies J, et al. </w:t>
      </w:r>
      <w:r w:rsidRPr="00C23D56">
        <w:rPr>
          <w:rFonts w:ascii="Calibri" w:hAnsi="Calibri" w:cs="Calibri"/>
          <w:noProof/>
          <w:szCs w:val="24"/>
        </w:rPr>
        <w:t xml:space="preserve">SILVA: a comprehensive online resource for quality checked and aligned ribosomal RNA sequence data compatible with ARB. Nucleic Acids Res. 2007;35:7188–96. </w:t>
      </w:r>
      <w:r>
        <w:rPr>
          <w:rFonts w:ascii="Calibri" w:hAnsi="Calibri" w:cs="Calibri"/>
          <w:color w:val="0000FF"/>
        </w:rPr>
        <w:t xml:space="preserve">https://doi.org/10.1093%2Fnar%2Fgkm864 </w:t>
      </w:r>
      <w:r>
        <w:rPr>
          <w:rFonts w:ascii="Calibri" w:hAnsi="Calibri" w:cs="Calibri"/>
          <w:color w:val="000000"/>
        </w:rPr>
        <w:t>Oxford Academic.</w:t>
      </w:r>
    </w:p>
    <w:p w14:paraId="0769B254" w14:textId="4840D058" w:rsidR="00C23D56" w:rsidRPr="00C23D56" w:rsidRDefault="00C23D56" w:rsidP="00C23D56">
      <w:pPr>
        <w:widowControl w:val="0"/>
        <w:autoSpaceDE w:val="0"/>
        <w:autoSpaceDN w:val="0"/>
        <w:adjustRightInd w:val="0"/>
        <w:spacing w:line="240" w:lineRule="auto"/>
        <w:rPr>
          <w:rFonts w:ascii="Calibri" w:hAnsi="Calibri" w:cs="Calibri"/>
          <w:noProof/>
          <w:szCs w:val="24"/>
        </w:rPr>
      </w:pPr>
      <w:r w:rsidRPr="00C23D56">
        <w:rPr>
          <w:rFonts w:ascii="Calibri" w:hAnsi="Calibri" w:cs="Calibri"/>
          <w:noProof/>
          <w:szCs w:val="24"/>
        </w:rPr>
        <w:t>3. Huse SM, Welch DM, Morrison HG, Sogin ML. Ironing out the wrinkles in the rare biosphere through improved OTU clustering. Environ Microbiol. 2010;12:1889–98. http://dx.doi.org/10.1111/j.1462-2920.2010.02193.x</w:t>
      </w:r>
      <w:r>
        <w:rPr>
          <w:rFonts w:ascii="Calibri" w:hAnsi="Calibri" w:cs="Calibri"/>
          <w:noProof/>
          <w:szCs w:val="24"/>
        </w:rPr>
        <w:t xml:space="preserve"> American Society for Microbiology</w:t>
      </w:r>
    </w:p>
    <w:p w14:paraId="7CEAEB25" w14:textId="35F6FE04" w:rsidR="00C23D56" w:rsidRPr="00C23D56" w:rsidRDefault="00C23D56" w:rsidP="00C23D56">
      <w:pPr>
        <w:widowControl w:val="0"/>
        <w:autoSpaceDE w:val="0"/>
        <w:autoSpaceDN w:val="0"/>
        <w:adjustRightInd w:val="0"/>
        <w:spacing w:line="240" w:lineRule="auto"/>
        <w:rPr>
          <w:rFonts w:ascii="Calibri" w:hAnsi="Calibri" w:cs="Calibri"/>
          <w:noProof/>
          <w:szCs w:val="24"/>
        </w:rPr>
      </w:pPr>
      <w:r w:rsidRPr="00C23D56">
        <w:rPr>
          <w:rFonts w:ascii="Calibri" w:hAnsi="Calibri" w:cs="Calibri"/>
          <w:noProof/>
          <w:szCs w:val="24"/>
        </w:rPr>
        <w:t>4. Rognes T, Flouri T, Nichols B, Quince C, Mahé F. VSEARCH: A versatile open source tool for metagenomics. PeerJ.</w:t>
      </w:r>
      <w:r>
        <w:rPr>
          <w:rFonts w:ascii="Calibri" w:hAnsi="Calibri" w:cs="Calibri"/>
          <w:noProof/>
          <w:szCs w:val="24"/>
        </w:rPr>
        <w:t>2016</w:t>
      </w:r>
      <w:r w:rsidRPr="00C23D56">
        <w:rPr>
          <w:rFonts w:ascii="Calibri" w:hAnsi="Calibri" w:cs="Calibri"/>
          <w:noProof/>
          <w:szCs w:val="24"/>
        </w:rPr>
        <w:t xml:space="preserve"> </w:t>
      </w:r>
      <w:r>
        <w:rPr>
          <w:rFonts w:ascii="Calibri" w:hAnsi="Calibri" w:cs="Calibri"/>
          <w:color w:val="0000FF"/>
        </w:rPr>
        <w:t xml:space="preserve">https://doi.org/10.7717/peerj.2584 </w:t>
      </w:r>
      <w:r w:rsidRPr="00C23D56">
        <w:rPr>
          <w:rFonts w:ascii="Calibri" w:hAnsi="Calibri" w:cs="Calibri"/>
          <w:noProof/>
          <w:szCs w:val="24"/>
        </w:rPr>
        <w:t xml:space="preserve">PeerJ Inc. </w:t>
      </w:r>
    </w:p>
    <w:p w14:paraId="2250F4FF" w14:textId="2F6A23F2" w:rsidR="00324964" w:rsidRPr="00AE024E" w:rsidRDefault="00C23D56" w:rsidP="00C23D56">
      <w:pPr>
        <w:widowControl w:val="0"/>
        <w:autoSpaceDE w:val="0"/>
        <w:autoSpaceDN w:val="0"/>
        <w:adjustRightInd w:val="0"/>
        <w:spacing w:line="240" w:lineRule="auto"/>
        <w:rPr>
          <w:rFonts w:cstheme="minorHAnsi"/>
        </w:rPr>
      </w:pPr>
      <w:r w:rsidRPr="00C23D56">
        <w:rPr>
          <w:rFonts w:ascii="Calibri" w:hAnsi="Calibri" w:cs="Calibri"/>
          <w:noProof/>
          <w:szCs w:val="24"/>
        </w:rPr>
        <w:t>5. Ainsworth T, Krause L, Bridge T, Torda G, Raina J-B, Zakrzewski M, et al. The coral core microbiome identifies rare bacterial taxa as ubiquitous endosymbionts. ISME J. 2015;9:2261–74. http://dx.doi.org/10.1038/ismej.2015.39</w:t>
      </w:r>
      <w:r>
        <w:rPr>
          <w:rFonts w:ascii="Calibri" w:hAnsi="Calibri" w:cs="Calibri"/>
          <w:noProof/>
          <w:szCs w:val="24"/>
        </w:rPr>
        <w:t xml:space="preserve"> N</w:t>
      </w:r>
      <w:r w:rsidR="00326827">
        <w:rPr>
          <w:rFonts w:ascii="Calibri" w:hAnsi="Calibri" w:cs="Calibri"/>
          <w:noProof/>
          <w:szCs w:val="24"/>
        </w:rPr>
        <w:t>a</w:t>
      </w:r>
      <w:r>
        <w:rPr>
          <w:rFonts w:ascii="Calibri" w:hAnsi="Calibri" w:cs="Calibri"/>
          <w:noProof/>
          <w:szCs w:val="24"/>
        </w:rPr>
        <w:t>ture Publishing Group</w:t>
      </w:r>
      <w:r w:rsidR="00324964" w:rsidRPr="00AE024E">
        <w:rPr>
          <w:rFonts w:cstheme="minorHAnsi"/>
        </w:rPr>
        <w:fldChar w:fldCharType="end"/>
      </w:r>
    </w:p>
    <w:sectPr w:rsidR="00324964" w:rsidRPr="00AE02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964"/>
    <w:rsid w:val="00231B92"/>
    <w:rsid w:val="002529AD"/>
    <w:rsid w:val="002D433E"/>
    <w:rsid w:val="002F5E15"/>
    <w:rsid w:val="00324964"/>
    <w:rsid w:val="00326827"/>
    <w:rsid w:val="003F7494"/>
    <w:rsid w:val="005B4E94"/>
    <w:rsid w:val="007555F4"/>
    <w:rsid w:val="007B7BB1"/>
    <w:rsid w:val="008F3F92"/>
    <w:rsid w:val="00935B84"/>
    <w:rsid w:val="00AE024E"/>
    <w:rsid w:val="00B02AB9"/>
    <w:rsid w:val="00C23D56"/>
    <w:rsid w:val="00CA09B9"/>
    <w:rsid w:val="00D31586"/>
    <w:rsid w:val="00D543A4"/>
    <w:rsid w:val="00DB27CA"/>
    <w:rsid w:val="00E67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0CB6B"/>
  <w15:chartTrackingRefBased/>
  <w15:docId w15:val="{207CA33F-13CC-48D1-9EA1-4FAC0EBA8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4964"/>
  </w:style>
  <w:style w:type="paragraph" w:styleId="Heading1">
    <w:name w:val="heading 1"/>
    <w:basedOn w:val="Normal"/>
    <w:next w:val="Normal"/>
    <w:link w:val="Heading1Char"/>
    <w:uiPriority w:val="9"/>
    <w:qFormat/>
    <w:rsid w:val="0032496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2496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32496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96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24964"/>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semiHidden/>
    <w:unhideWhenUsed/>
    <w:rsid w:val="003249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249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4964"/>
    <w:rPr>
      <w:rFonts w:ascii="Segoe UI" w:hAnsi="Segoe UI" w:cs="Segoe UI"/>
      <w:sz w:val="18"/>
      <w:szCs w:val="18"/>
    </w:rPr>
  </w:style>
  <w:style w:type="character" w:customStyle="1" w:styleId="Heading4Char">
    <w:name w:val="Heading 4 Char"/>
    <w:basedOn w:val="DefaultParagraphFont"/>
    <w:link w:val="Heading4"/>
    <w:uiPriority w:val="9"/>
    <w:semiHidden/>
    <w:rsid w:val="00324964"/>
    <w:rPr>
      <w:rFonts w:asciiTheme="majorHAnsi" w:eastAsiaTheme="majorEastAsia" w:hAnsiTheme="majorHAnsi" w:cstheme="majorBidi"/>
      <w:i/>
      <w:iCs/>
      <w:color w:val="2E74B5" w:themeColor="accent1" w:themeShade="BF"/>
    </w:rPr>
  </w:style>
  <w:style w:type="character" w:styleId="CommentReference">
    <w:name w:val="annotation reference"/>
    <w:basedOn w:val="DefaultParagraphFont"/>
    <w:uiPriority w:val="99"/>
    <w:semiHidden/>
    <w:unhideWhenUsed/>
    <w:rsid w:val="00935B84"/>
    <w:rPr>
      <w:sz w:val="16"/>
      <w:szCs w:val="16"/>
    </w:rPr>
  </w:style>
  <w:style w:type="paragraph" w:styleId="CommentText">
    <w:name w:val="annotation text"/>
    <w:basedOn w:val="Normal"/>
    <w:link w:val="CommentTextChar"/>
    <w:uiPriority w:val="99"/>
    <w:unhideWhenUsed/>
    <w:rsid w:val="00935B84"/>
    <w:pPr>
      <w:spacing w:line="240" w:lineRule="auto"/>
    </w:pPr>
    <w:rPr>
      <w:sz w:val="20"/>
      <w:szCs w:val="20"/>
    </w:rPr>
  </w:style>
  <w:style w:type="character" w:customStyle="1" w:styleId="CommentTextChar">
    <w:name w:val="Comment Text Char"/>
    <w:basedOn w:val="DefaultParagraphFont"/>
    <w:link w:val="CommentText"/>
    <w:uiPriority w:val="99"/>
    <w:rsid w:val="00935B84"/>
    <w:rPr>
      <w:sz w:val="20"/>
      <w:szCs w:val="20"/>
    </w:rPr>
  </w:style>
  <w:style w:type="paragraph" w:styleId="CommentSubject">
    <w:name w:val="annotation subject"/>
    <w:basedOn w:val="CommentText"/>
    <w:next w:val="CommentText"/>
    <w:link w:val="CommentSubjectChar"/>
    <w:uiPriority w:val="99"/>
    <w:semiHidden/>
    <w:unhideWhenUsed/>
    <w:rsid w:val="00935B84"/>
    <w:rPr>
      <w:b/>
      <w:bCs/>
    </w:rPr>
  </w:style>
  <w:style w:type="character" w:customStyle="1" w:styleId="CommentSubjectChar">
    <w:name w:val="Comment Subject Char"/>
    <w:basedOn w:val="CommentTextChar"/>
    <w:link w:val="CommentSubject"/>
    <w:uiPriority w:val="99"/>
    <w:semiHidden/>
    <w:rsid w:val="00935B8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0DDED9-C99B-4FCF-8DD2-280A3CDAB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4064</Words>
  <Characters>23167</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Till Röthig</dc:creator>
  <cp:keywords/>
  <dc:description/>
  <cp:lastModifiedBy>Till Röthig</cp:lastModifiedBy>
  <cp:revision>6</cp:revision>
  <dcterms:created xsi:type="dcterms:W3CDTF">2020-12-09T13:39:00Z</dcterms:created>
  <dcterms:modified xsi:type="dcterms:W3CDTF">2020-12-09T13:41:00Z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http://www.zotero.org/styles/microbiome</vt:lpwstr>
  </property>
  <property fmtid="{D5CDD505-2E9C-101B-9397-08002B2CF9AE}" pid="13" name="Mendeley Recent Style Name 5_1">
    <vt:lpwstr>Microbiome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http://www.zotero.org/styles/molecular-ecology</vt:lpwstr>
  </property>
  <property fmtid="{D5CDD505-2E9C-101B-9397-08002B2CF9AE}" pid="19" name="Mendeley Recent Style Name 8_1">
    <vt:lpwstr>Molecular Ecology</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ca49a24d-698c-3d7c-aeba-45c356cdde99</vt:lpwstr>
  </property>
  <property fmtid="{D5CDD505-2E9C-101B-9397-08002B2CF9AE}" pid="24" name="Mendeley Citation Style_1">
    <vt:lpwstr>http://www.zotero.org/styles/microbiome</vt:lpwstr>
  </property>
</Properties>
</file>