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E0E16A" w14:textId="77777777" w:rsidR="007E1F9B" w:rsidRPr="009F7A1F" w:rsidRDefault="007E1F9B" w:rsidP="007E1F9B">
      <w:pPr>
        <w:pStyle w:val="Heading1"/>
        <w:rPr>
          <w:sz w:val="28"/>
          <w:szCs w:val="28"/>
        </w:rPr>
      </w:pPr>
      <w:r w:rsidRPr="009F7A1F">
        <w:rPr>
          <w:sz w:val="28"/>
          <w:szCs w:val="28"/>
        </w:rPr>
        <w:t>Accounting for regional transmission variability and the impact of malaria control interventions in Ghana: A population level mathematical approach.</w:t>
      </w:r>
    </w:p>
    <w:p w14:paraId="3834894F" w14:textId="77777777" w:rsidR="007E1F9B" w:rsidRPr="004C2A45" w:rsidRDefault="007E1F9B" w:rsidP="007E1F9B">
      <w:pPr>
        <w:jc w:val="center"/>
        <w:rPr>
          <w:rFonts w:eastAsia="Times New Roman"/>
          <w:b/>
          <w:szCs w:val="24"/>
        </w:rPr>
      </w:pPr>
    </w:p>
    <w:p w14:paraId="52846175" w14:textId="77777777" w:rsidR="007E1F9B" w:rsidRPr="004C2A45" w:rsidRDefault="007E1F9B" w:rsidP="007E1F9B">
      <w:pPr>
        <w:jc w:val="center"/>
        <w:rPr>
          <w:rFonts w:eastAsia="Times New Roman"/>
          <w:b/>
          <w:szCs w:val="24"/>
        </w:rPr>
      </w:pPr>
      <w:r w:rsidRPr="004C2A45">
        <w:rPr>
          <w:rFonts w:eastAsia="Times New Roman"/>
          <w:b/>
          <w:szCs w:val="24"/>
        </w:rPr>
        <w:t xml:space="preserve">Supplementary file </w:t>
      </w:r>
    </w:p>
    <w:p w14:paraId="3B9BA377" w14:textId="77777777" w:rsidR="007E1F9B" w:rsidRPr="004C2A45" w:rsidRDefault="007E1F9B" w:rsidP="002B6379">
      <w:pPr>
        <w:jc w:val="both"/>
        <w:rPr>
          <w:rFonts w:eastAsia="Times New Roman"/>
          <w:b/>
          <w:szCs w:val="24"/>
        </w:rPr>
      </w:pPr>
    </w:p>
    <w:p w14:paraId="5CDADD87" w14:textId="77777777" w:rsidR="007E1F9B" w:rsidRPr="004841CD" w:rsidRDefault="007E1F9B" w:rsidP="002B6379">
      <w:pPr>
        <w:spacing w:after="0" w:line="480" w:lineRule="auto"/>
        <w:jc w:val="both"/>
        <w:rPr>
          <w:b/>
          <w:szCs w:val="24"/>
        </w:rPr>
      </w:pPr>
      <w:r w:rsidRPr="004841CD">
        <w:rPr>
          <w:b/>
          <w:szCs w:val="24"/>
        </w:rPr>
        <w:t>Introduction</w:t>
      </w:r>
    </w:p>
    <w:p w14:paraId="537160F4" w14:textId="5F53FB28" w:rsidR="007E1F9B" w:rsidRDefault="007E1F9B" w:rsidP="002B6379">
      <w:pPr>
        <w:spacing w:after="0" w:line="480" w:lineRule="auto"/>
        <w:jc w:val="both"/>
        <w:rPr>
          <w:szCs w:val="24"/>
        </w:rPr>
      </w:pPr>
      <w:r w:rsidRPr="004841CD">
        <w:rPr>
          <w:szCs w:val="24"/>
        </w:rPr>
        <w:t xml:space="preserve">Malaria infection is still a major public health concern in Ghana and the entire population is at a high risk of infection all year round. Younger children are more at risk of clinical expression of the disease compared with adults due to acquired immunity over time following repeated exposure to parasite infection </w:t>
      </w:r>
      <w:r w:rsidRPr="004841CD">
        <w:rPr>
          <w:szCs w:val="24"/>
        </w:rPr>
        <w:fldChar w:fldCharType="begin"/>
      </w:r>
      <w:r w:rsidR="006F1B7D">
        <w:rPr>
          <w:szCs w:val="24"/>
        </w:rPr>
        <w:instrText xml:space="preserve"> ADDIN ZOTERO_ITEM CSL_CITATION {"citationID":"40a0949W","properties":{"formattedCitation":"[1]","plainCitation":"[1]","noteIndex":0},"citationItems":[{"id":530,"uris":["http://zotero.org/users/584652/items/G42TJK5E"],"uri":["http://zotero.org/users/584652/items/G42TJK5E"],"itemData":{"id":530,"type":"article","publisher":"National Malaria Control Program","title":"An epidemiological profile of malaria and its control in Ghana.","URL":"https://www.linkmalaria.org/sites/www.linkmalaria.org/files/content/country/profiles/Ghana-epi-report-2014.pdf","author":[{"literal":"National Malaria Control Program"}],"accessed":{"date-parts":[["2016",2,15]]},"issued":{"date-parts":[["2013"]]}}}],"schema":"https://github.com/citation-style-language/schema/raw/master/csl-citation.json"} </w:instrText>
      </w:r>
      <w:r w:rsidRPr="004841CD">
        <w:rPr>
          <w:szCs w:val="24"/>
        </w:rPr>
        <w:fldChar w:fldCharType="separate"/>
      </w:r>
      <w:r w:rsidRPr="004841CD">
        <w:t>[1]</w:t>
      </w:r>
      <w:r w:rsidRPr="004841CD">
        <w:rPr>
          <w:szCs w:val="24"/>
        </w:rPr>
        <w:fldChar w:fldCharType="end"/>
      </w:r>
      <w:r w:rsidRPr="004841CD">
        <w:rPr>
          <w:szCs w:val="24"/>
        </w:rPr>
        <w:t>.</w:t>
      </w:r>
    </w:p>
    <w:p w14:paraId="3FA15379" w14:textId="77777777" w:rsidR="007E1F9B" w:rsidRPr="004841CD" w:rsidRDefault="007E1F9B" w:rsidP="002B6379">
      <w:pPr>
        <w:spacing w:after="0" w:line="480" w:lineRule="auto"/>
        <w:jc w:val="both"/>
        <w:rPr>
          <w:szCs w:val="24"/>
        </w:rPr>
      </w:pPr>
    </w:p>
    <w:p w14:paraId="2B0C12D7" w14:textId="73FE695F" w:rsidR="007E1F9B" w:rsidRDefault="007E1F9B" w:rsidP="002B6379">
      <w:pPr>
        <w:spacing w:after="0" w:line="480" w:lineRule="auto"/>
        <w:jc w:val="both"/>
        <w:rPr>
          <w:szCs w:val="24"/>
        </w:rPr>
      </w:pPr>
      <w:r w:rsidRPr="004841CD">
        <w:rPr>
          <w:szCs w:val="24"/>
        </w:rPr>
        <w:t xml:space="preserve">As described elsewhere, transmission dynamics vary considerably across the country following the dynamics of the ecology in three geographical zones; namely the Guinea savannah, Transitional forest and the Coastal savannah </w:t>
      </w:r>
      <w:r w:rsidRPr="004841CD">
        <w:rPr>
          <w:szCs w:val="24"/>
        </w:rPr>
        <w:fldChar w:fldCharType="begin"/>
      </w:r>
      <w:r w:rsidR="006F1B7D">
        <w:rPr>
          <w:szCs w:val="24"/>
        </w:rPr>
        <w:instrText xml:space="preserve"> ADDIN ZOTERO_ITEM CSL_CITATION {"citationID":"a4ujp9377f","properties":{"formattedCitation":"[2]","plainCitation":"[2]","noteIndex":0},"citationItems":[{"id":1330,"uris":["http://zotero.org/users/584652/items/EZE5MR95"],"uri":["http://zotero.org/users/584652/items/EZE5MR95"],"itemData":{"id":1330,"type":"article-journal","container-title":"PLOS ONE","DOI":"10.1371/journal.pone.0191707","ISSN":"1932-6203","issue":"1","language":"en","page":"e0191707","source":"CrossRef","title":"Spatio-temporal heterogeneity of malaria morbidity in Ghana: Analysis of routine health facility data","title-short":"Spatio-temporal heterogeneity of malaria morbidity in Ghana","volume":"13","author":[{"family":"Awine","given":"Timothy"},{"family":"Malm","given":"Keziah"},{"family":"Peprah","given":"Nana Yaw"},{"family":"Silal","given":"Sheetal P."}],"editor":[{"family":"Munderloh","given":"Ulrike Gertrud"}],"issued":{"date-parts":[["2018",1,29]]}}}],"schema":"https://github.com/citation-style-language/schema/raw/master/csl-citation.json"} </w:instrText>
      </w:r>
      <w:r w:rsidRPr="004841CD">
        <w:rPr>
          <w:szCs w:val="24"/>
        </w:rPr>
        <w:fldChar w:fldCharType="separate"/>
      </w:r>
      <w:r w:rsidRPr="004841CD">
        <w:t>[2]</w:t>
      </w:r>
      <w:r w:rsidRPr="004841CD">
        <w:rPr>
          <w:szCs w:val="24"/>
        </w:rPr>
        <w:fldChar w:fldCharType="end"/>
      </w:r>
      <w:r w:rsidRPr="004841CD">
        <w:rPr>
          <w:szCs w:val="24"/>
        </w:rPr>
        <w:t xml:space="preserve">. </w:t>
      </w:r>
    </w:p>
    <w:p w14:paraId="093B7955" w14:textId="77777777" w:rsidR="007E1F9B" w:rsidRPr="004841CD" w:rsidRDefault="007E1F9B" w:rsidP="002B6379">
      <w:pPr>
        <w:spacing w:after="0" w:line="480" w:lineRule="auto"/>
        <w:jc w:val="both"/>
        <w:rPr>
          <w:szCs w:val="24"/>
        </w:rPr>
      </w:pPr>
    </w:p>
    <w:p w14:paraId="49AA6056" w14:textId="3685CAA4" w:rsidR="007E1F9B" w:rsidRDefault="007E1F9B" w:rsidP="002B6379">
      <w:pPr>
        <w:spacing w:after="0" w:line="480" w:lineRule="auto"/>
        <w:jc w:val="both"/>
        <w:rPr>
          <w:szCs w:val="24"/>
        </w:rPr>
      </w:pPr>
      <w:r w:rsidRPr="004841CD">
        <w:rPr>
          <w:szCs w:val="24"/>
        </w:rPr>
        <w:t xml:space="preserve">The characteristics of these different ecological settings have been shown to be principal factors in the transmission dynamics of malaria morbidity in the various zones. In evaluating the impact of various interventions on the transmission of malaria, it is therefore appropriate to consider dynamics of the environment in the respective zones </w:t>
      </w:r>
      <w:r w:rsidRPr="004841CD">
        <w:rPr>
          <w:szCs w:val="24"/>
        </w:rPr>
        <w:fldChar w:fldCharType="begin"/>
      </w:r>
      <w:r w:rsidR="006F1B7D">
        <w:rPr>
          <w:szCs w:val="24"/>
        </w:rPr>
        <w:instrText xml:space="preserve"> ADDIN ZOTERO_ITEM CSL_CITATION {"citationID":"58GGfPXr","properties":{"formattedCitation":"[2]","plainCitation":"[2]","noteIndex":0},"citationItems":[{"id":1330,"uris":["http://zotero.org/users/584652/items/EZE5MR95"],"uri":["http://zotero.org/users/584652/items/EZE5MR95"],"itemData":{"id":1330,"type":"article-journal","container-title":"PLOS ONE","DOI":"10.1371/journal.pone.0191707","ISSN":"1932-6203","issue":"1","language":"en","page":"e0191707","source":"CrossRef","title":"Spatio-temporal heterogeneity of malaria morbidity in Ghana: Analysis of routine health facility data","title-short":"Spatio-temporal heterogeneity of malaria morbidity in Ghana","volume":"13","author":[{"family":"Awine","given":"Timothy"},{"family":"Malm","given":"Keziah"},{"family":"Peprah","given":"Nana Yaw"},{"family":"Silal","given":"Sheetal P."}],"editor":[{"family":"Munderloh","given":"Ulrike Gertrud"}],"issued":{"date-parts":[["2018",1,29]]}}}],"schema":"https://github.com/citation-style-language/schema/raw/master/csl-citation.json"} </w:instrText>
      </w:r>
      <w:r w:rsidRPr="004841CD">
        <w:rPr>
          <w:szCs w:val="24"/>
        </w:rPr>
        <w:fldChar w:fldCharType="separate"/>
      </w:r>
      <w:r w:rsidRPr="004841CD">
        <w:t>[2]</w:t>
      </w:r>
      <w:r w:rsidRPr="004841CD">
        <w:rPr>
          <w:szCs w:val="24"/>
        </w:rPr>
        <w:fldChar w:fldCharType="end"/>
      </w:r>
      <w:r w:rsidRPr="004841CD">
        <w:rPr>
          <w:szCs w:val="24"/>
        </w:rPr>
        <w:t xml:space="preserve">. </w:t>
      </w:r>
    </w:p>
    <w:p w14:paraId="283E8E66" w14:textId="77777777" w:rsidR="007E1F9B" w:rsidRPr="004841CD" w:rsidRDefault="007E1F9B" w:rsidP="002B6379">
      <w:pPr>
        <w:spacing w:after="0" w:line="480" w:lineRule="auto"/>
        <w:jc w:val="both"/>
        <w:rPr>
          <w:szCs w:val="24"/>
        </w:rPr>
      </w:pPr>
    </w:p>
    <w:p w14:paraId="02E999A7" w14:textId="77777777" w:rsidR="007E1F9B" w:rsidRDefault="007E1F9B" w:rsidP="002B6379">
      <w:pPr>
        <w:spacing w:after="0" w:line="480" w:lineRule="auto"/>
        <w:jc w:val="both"/>
        <w:rPr>
          <w:rFonts w:eastAsia="Times New Roman"/>
          <w:b/>
          <w:szCs w:val="24"/>
        </w:rPr>
      </w:pPr>
      <w:r>
        <w:rPr>
          <w:rFonts w:eastAsia="Times New Roman"/>
          <w:b/>
          <w:szCs w:val="24"/>
        </w:rPr>
        <w:t>Transmission model</w:t>
      </w:r>
    </w:p>
    <w:p w14:paraId="56B850CB" w14:textId="3AE36179" w:rsidR="007E1F9B" w:rsidRPr="00EA0B87" w:rsidRDefault="007E1F9B" w:rsidP="002B6379">
      <w:pPr>
        <w:spacing w:after="0" w:line="480" w:lineRule="auto"/>
        <w:jc w:val="both"/>
        <w:rPr>
          <w:rFonts w:eastAsia="Times New Roman"/>
          <w:szCs w:val="24"/>
        </w:rPr>
      </w:pPr>
      <w:r>
        <w:rPr>
          <w:rFonts w:eastAsia="Times New Roman"/>
          <w:szCs w:val="24"/>
        </w:rPr>
        <w:t>A</w:t>
      </w:r>
      <w:r w:rsidRPr="00EA0B87">
        <w:rPr>
          <w:rFonts w:eastAsia="Times New Roman"/>
          <w:szCs w:val="24"/>
        </w:rPr>
        <w:t xml:space="preserve"> model was developed and replicated </w:t>
      </w:r>
      <w:r>
        <w:rPr>
          <w:rFonts w:eastAsia="Times New Roman"/>
          <w:szCs w:val="24"/>
        </w:rPr>
        <w:t>f</w:t>
      </w:r>
      <w:r w:rsidRPr="00EA0B87">
        <w:rPr>
          <w:rFonts w:eastAsia="Times New Roman"/>
          <w:szCs w:val="24"/>
        </w:rPr>
        <w:t xml:space="preserve">or </w:t>
      </w:r>
      <w:r>
        <w:rPr>
          <w:rFonts w:eastAsia="Times New Roman"/>
          <w:szCs w:val="24"/>
        </w:rPr>
        <w:t xml:space="preserve">the </w:t>
      </w:r>
      <w:r w:rsidRPr="00EA0B87">
        <w:rPr>
          <w:rFonts w:eastAsia="Times New Roman"/>
          <w:szCs w:val="24"/>
        </w:rPr>
        <w:t>three zones. The model is a human-vector coupled with the vector component dependent on the environmental variables such as monthly average temperature (°C) and rainfall (mm).</w:t>
      </w:r>
      <w:r w:rsidR="008D7C5E" w:rsidRPr="008D7C5E">
        <w:rPr>
          <w:rFonts w:eastAsia="Times New Roman"/>
          <w:szCs w:val="24"/>
        </w:rPr>
        <w:t xml:space="preserve"> </w:t>
      </w:r>
      <w:r w:rsidR="008D7C5E">
        <w:rPr>
          <w:rFonts w:eastAsia="Times New Roman"/>
          <w:szCs w:val="24"/>
        </w:rPr>
        <w:t xml:space="preserve"> It was also structured to reflect in some parts the health system architecture, especially with respect to malaria morbidity and mortality in Ghana.</w:t>
      </w:r>
      <w:r>
        <w:rPr>
          <w:rFonts w:eastAsia="Times New Roman"/>
          <w:szCs w:val="24"/>
        </w:rPr>
        <w:t xml:space="preserve"> The diagram in Fig 1 shows the structure of the model.</w:t>
      </w:r>
    </w:p>
    <w:p w14:paraId="3EA13286" w14:textId="77777777" w:rsidR="007E1F9B" w:rsidRPr="00DB21A1" w:rsidRDefault="007E1F9B" w:rsidP="002B6379">
      <w:pPr>
        <w:spacing w:after="0" w:line="480" w:lineRule="auto"/>
        <w:jc w:val="both"/>
        <w:rPr>
          <w:rFonts w:eastAsia="Times New Roman"/>
          <w:b/>
          <w:szCs w:val="24"/>
        </w:rPr>
      </w:pPr>
      <w:r w:rsidRPr="00DB21A1">
        <w:rPr>
          <w:rFonts w:eastAsia="Times New Roman"/>
          <w:b/>
          <w:szCs w:val="24"/>
        </w:rPr>
        <w:lastRenderedPageBreak/>
        <w:t xml:space="preserve">Demographics </w:t>
      </w:r>
    </w:p>
    <w:p w14:paraId="491C0C3B" w14:textId="77777777" w:rsidR="007E1F9B" w:rsidRDefault="007E1F9B" w:rsidP="002B6379">
      <w:pPr>
        <w:spacing w:after="0" w:line="480" w:lineRule="auto"/>
        <w:jc w:val="both"/>
        <w:rPr>
          <w:rFonts w:eastAsia="Times New Roman"/>
          <w:szCs w:val="24"/>
        </w:rPr>
      </w:pPr>
      <w:r w:rsidRPr="00DB21A1">
        <w:rPr>
          <w:rFonts w:eastAsia="Times New Roman"/>
          <w:szCs w:val="24"/>
        </w:rPr>
        <w:t xml:space="preserve">Though the model is not age structured, the recruited population is divided mainly into </w:t>
      </w:r>
      <w:r w:rsidRPr="004841CD">
        <w:rPr>
          <w:rFonts w:eastAsia="Times New Roman"/>
          <w:szCs w:val="24"/>
        </w:rPr>
        <w:t>three</w:t>
      </w:r>
      <w:r w:rsidRPr="00DB21A1">
        <w:rPr>
          <w:rFonts w:eastAsia="Times New Roman"/>
          <w:szCs w:val="24"/>
        </w:rPr>
        <w:t>, one for children under 6 years (</w:t>
      </w:r>
      <w:r w:rsidRPr="004841CD">
        <w:rPr>
          <w:rFonts w:eastAsia="Times New Roman"/>
          <w:b/>
          <w:szCs w:val="24"/>
        </w:rPr>
        <w:t>Sn</w:t>
      </w:r>
      <w:r w:rsidRPr="00DB21A1">
        <w:rPr>
          <w:rFonts w:eastAsia="Times New Roman"/>
          <w:szCs w:val="24"/>
        </w:rPr>
        <w:t>)</w:t>
      </w:r>
      <w:r w:rsidRPr="004841CD">
        <w:rPr>
          <w:rFonts w:eastAsia="Times New Roman"/>
          <w:szCs w:val="24"/>
        </w:rPr>
        <w:t xml:space="preserve">, who are relatively naïve, children born with a congenital infection </w:t>
      </w:r>
      <w:r w:rsidRPr="00950DEE">
        <w:rPr>
          <w:rFonts w:eastAsia="Times New Roman"/>
          <w:szCs w:val="24"/>
        </w:rPr>
        <w:t>(2.5%), and</w:t>
      </w:r>
      <w:r>
        <w:rPr>
          <w:rFonts w:eastAsia="Times New Roman"/>
          <w:szCs w:val="24"/>
        </w:rPr>
        <w:t xml:space="preserve"> </w:t>
      </w:r>
      <w:r w:rsidRPr="00DB21A1">
        <w:rPr>
          <w:rFonts w:eastAsia="Times New Roman"/>
          <w:szCs w:val="24"/>
        </w:rPr>
        <w:t xml:space="preserve">the </w:t>
      </w:r>
      <w:r w:rsidRPr="004841CD">
        <w:rPr>
          <w:rFonts w:eastAsia="Times New Roman"/>
          <w:szCs w:val="24"/>
        </w:rPr>
        <w:t>third</w:t>
      </w:r>
      <w:r w:rsidRPr="00DB21A1">
        <w:rPr>
          <w:rFonts w:eastAsia="Times New Roman"/>
          <w:szCs w:val="24"/>
        </w:rPr>
        <w:t xml:space="preserve"> for all 6 years and above (</w:t>
      </w:r>
      <w:proofErr w:type="spellStart"/>
      <w:r w:rsidRPr="004841CD">
        <w:rPr>
          <w:rFonts w:eastAsia="Times New Roman"/>
          <w:b/>
          <w:szCs w:val="24"/>
        </w:rPr>
        <w:t>Snn</w:t>
      </w:r>
      <w:proofErr w:type="spellEnd"/>
      <w:r w:rsidRPr="00DB21A1">
        <w:rPr>
          <w:rFonts w:eastAsia="Times New Roman"/>
          <w:szCs w:val="24"/>
        </w:rPr>
        <w:t xml:space="preserve">). </w:t>
      </w:r>
    </w:p>
    <w:p w14:paraId="540E0D32" w14:textId="77777777" w:rsidR="007E1F9B" w:rsidRDefault="007E1F9B" w:rsidP="002B6379">
      <w:pPr>
        <w:spacing w:after="0" w:line="480" w:lineRule="auto"/>
        <w:jc w:val="both"/>
        <w:rPr>
          <w:rFonts w:eastAsia="Times New Roman"/>
          <w:szCs w:val="24"/>
        </w:rPr>
        <w:sectPr w:rsidR="007E1F9B" w:rsidSect="002B6379">
          <w:type w:val="continuous"/>
          <w:pgSz w:w="11906" w:h="16838"/>
          <w:pgMar w:top="1440" w:right="1080" w:bottom="1440" w:left="1080" w:header="708" w:footer="708" w:gutter="0"/>
          <w:cols w:space="708"/>
          <w:docGrid w:linePitch="360"/>
        </w:sectPr>
      </w:pPr>
    </w:p>
    <w:p w14:paraId="3A1D283B" w14:textId="77777777" w:rsidR="007E1F9B" w:rsidRPr="004C2A45" w:rsidRDefault="007E1F9B" w:rsidP="002B6379">
      <w:pPr>
        <w:jc w:val="both"/>
        <w:rPr>
          <w:rFonts w:eastAsia="Times New Roman"/>
          <w:b/>
          <w:szCs w:val="24"/>
        </w:rPr>
      </w:pPr>
      <w:r w:rsidRPr="004C2A45">
        <w:rPr>
          <w:rFonts w:eastAsia="Times New Roman"/>
          <w:b/>
          <w:szCs w:val="24"/>
        </w:rPr>
        <w:lastRenderedPageBreak/>
        <w:t xml:space="preserve">Base model diagram </w:t>
      </w:r>
    </w:p>
    <w:p w14:paraId="0B9D3CF3" w14:textId="257B1419" w:rsidR="007E1F9B" w:rsidRPr="004C2A45" w:rsidRDefault="002B6379" w:rsidP="008F1408">
      <w:pPr>
        <w:jc w:val="center"/>
        <w:rPr>
          <w:rFonts w:eastAsia="Times New Roman"/>
          <w:b/>
          <w:szCs w:val="24"/>
        </w:rPr>
      </w:pPr>
      <w:r>
        <w:rPr>
          <w:rFonts w:eastAsia="Times New Roman"/>
          <w:b/>
          <w:noProof/>
          <w:szCs w:val="24"/>
          <w:lang w:eastAsia="en-ZA"/>
        </w:rPr>
        <w:object w:dxaOrig="12630" w:dyaOrig="8956" w14:anchorId="397BAB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2.25pt;height:297.75pt" o:ole="">
            <v:imagedata r:id="rId8" o:title=""/>
          </v:shape>
          <o:OLEObject Type="Embed" ProgID="AcroExch.Document.DC" ShapeID="_x0000_i1025" DrawAspect="Content" ObjectID="_1648879061" r:id="rId9"/>
        </w:object>
      </w:r>
    </w:p>
    <w:p w14:paraId="2A37DDC4" w14:textId="77777777" w:rsidR="007E1F9B" w:rsidRPr="004C2A45" w:rsidRDefault="007E1F9B" w:rsidP="002B6379">
      <w:pPr>
        <w:spacing w:after="0" w:line="240" w:lineRule="auto"/>
        <w:ind w:left="1440" w:firstLine="720"/>
        <w:jc w:val="both"/>
        <w:rPr>
          <w:rFonts w:eastAsia="Times New Roman"/>
          <w:b/>
          <w:szCs w:val="24"/>
        </w:rPr>
      </w:pPr>
      <w:r w:rsidRPr="004C2A45">
        <w:rPr>
          <w:rFonts w:eastAsia="Times New Roman"/>
          <w:b/>
          <w:szCs w:val="24"/>
        </w:rPr>
        <w:t xml:space="preserve">Fig 1 Malaria transmission model showing various compartments of both human and vector populations. </w:t>
      </w:r>
    </w:p>
    <w:p w14:paraId="3C43777A" w14:textId="77777777" w:rsidR="007E1F9B" w:rsidRPr="004C2A45" w:rsidRDefault="007E1F9B" w:rsidP="002B6379">
      <w:pPr>
        <w:spacing w:after="0" w:line="240" w:lineRule="auto"/>
        <w:ind w:left="2160"/>
        <w:jc w:val="both"/>
        <w:rPr>
          <w:rFonts w:eastAsia="Times New Roman"/>
          <w:sz w:val="20"/>
          <w:szCs w:val="20"/>
        </w:rPr>
        <w:sectPr w:rsidR="007E1F9B" w:rsidRPr="004C2A45" w:rsidSect="002B6379">
          <w:type w:val="continuous"/>
          <w:pgSz w:w="16838" w:h="11906" w:orient="landscape"/>
          <w:pgMar w:top="1440" w:right="1080" w:bottom="1440" w:left="1080" w:header="708" w:footer="708" w:gutter="0"/>
          <w:cols w:space="708"/>
          <w:docGrid w:linePitch="360"/>
        </w:sectPr>
      </w:pPr>
      <w:r w:rsidRPr="004C2A45">
        <w:rPr>
          <w:rFonts w:eastAsia="Times New Roman"/>
          <w:b/>
          <w:sz w:val="20"/>
          <w:szCs w:val="20"/>
        </w:rPr>
        <w:t xml:space="preserve">Human population: </w:t>
      </w:r>
      <w:r w:rsidR="00A5417F" w:rsidRPr="00D83BF1">
        <w:rPr>
          <w:rFonts w:eastAsia="Times New Roman"/>
          <w:b/>
          <w:sz w:val="20"/>
          <w:szCs w:val="20"/>
        </w:rPr>
        <w:t>S</w:t>
      </w:r>
      <w:r w:rsidR="00A5417F">
        <w:rPr>
          <w:rFonts w:eastAsia="Times New Roman"/>
          <w:b/>
          <w:sz w:val="20"/>
          <w:szCs w:val="20"/>
        </w:rPr>
        <w:t xml:space="preserve"> (</w:t>
      </w:r>
      <w:r w:rsidRPr="004C2A45">
        <w:rPr>
          <w:rFonts w:eastAsia="Times New Roman"/>
          <w:b/>
          <w:sz w:val="20"/>
          <w:szCs w:val="20"/>
        </w:rPr>
        <w:t>Sn</w:t>
      </w:r>
      <w:r w:rsidRPr="004C2A45">
        <w:rPr>
          <w:rFonts w:eastAsia="Times New Roman"/>
          <w:sz w:val="20"/>
          <w:szCs w:val="20"/>
        </w:rPr>
        <w:t xml:space="preserve">, </w:t>
      </w:r>
      <w:r w:rsidRPr="004C2A45">
        <w:rPr>
          <w:rFonts w:eastAsia="Times New Roman"/>
          <w:b/>
          <w:sz w:val="20"/>
          <w:szCs w:val="20"/>
        </w:rPr>
        <w:t>Snn</w:t>
      </w:r>
      <w:r w:rsidRPr="004C2A45">
        <w:rPr>
          <w:rFonts w:eastAsia="Times New Roman"/>
          <w:sz w:val="20"/>
          <w:szCs w:val="20"/>
        </w:rPr>
        <w:t xml:space="preserve"> and </w:t>
      </w:r>
      <w:r w:rsidRPr="004C2A45">
        <w:rPr>
          <w:rFonts w:eastAsia="Times New Roman"/>
          <w:b/>
          <w:sz w:val="20"/>
          <w:szCs w:val="20"/>
        </w:rPr>
        <w:t>Snnp</w:t>
      </w:r>
      <w:r w:rsidRPr="004C2A45">
        <w:rPr>
          <w:rFonts w:eastAsia="Times New Roman"/>
          <w:sz w:val="20"/>
          <w:szCs w:val="20"/>
        </w:rPr>
        <w:t xml:space="preserve"> represent</w:t>
      </w:r>
      <w:r w:rsidR="00A5417F">
        <w:rPr>
          <w:rFonts w:eastAsia="Times New Roman"/>
          <w:sz w:val="20"/>
          <w:szCs w:val="20"/>
        </w:rPr>
        <w:t>ing</w:t>
      </w:r>
      <w:r w:rsidRPr="004C2A45">
        <w:rPr>
          <w:rFonts w:eastAsia="Times New Roman"/>
          <w:sz w:val="20"/>
          <w:szCs w:val="20"/>
        </w:rPr>
        <w:t xml:space="preserve"> the susceptible human compartments respectively for new births and children under 6 years of age, adults and pregnant women</w:t>
      </w:r>
      <w:r w:rsidR="00A5417F">
        <w:rPr>
          <w:rFonts w:eastAsia="Times New Roman"/>
          <w:sz w:val="20"/>
          <w:szCs w:val="20"/>
        </w:rPr>
        <w:t xml:space="preserve">) represents the susceptible class with the </w:t>
      </w:r>
      <w:r w:rsidR="00A5417F" w:rsidRPr="00D83BF1">
        <w:rPr>
          <w:rFonts w:eastAsia="Times New Roman"/>
          <w:b/>
          <w:sz w:val="20"/>
          <w:szCs w:val="20"/>
        </w:rPr>
        <w:t>Snnp</w:t>
      </w:r>
      <w:r w:rsidR="00A5417F">
        <w:rPr>
          <w:rFonts w:eastAsia="Times New Roman"/>
          <w:sz w:val="20"/>
          <w:szCs w:val="20"/>
        </w:rPr>
        <w:t xml:space="preserve"> being the susceptible pregnant women</w:t>
      </w:r>
      <w:r w:rsidRPr="004C2A45">
        <w:rPr>
          <w:rFonts w:eastAsia="Times New Roman"/>
          <w:sz w:val="20"/>
          <w:szCs w:val="20"/>
        </w:rPr>
        <w:t xml:space="preserve"> drawn from the adult population</w:t>
      </w:r>
      <w:r w:rsidR="00A5417F">
        <w:rPr>
          <w:rFonts w:eastAsia="Times New Roman"/>
          <w:sz w:val="20"/>
          <w:szCs w:val="20"/>
        </w:rPr>
        <w:t xml:space="preserve">, </w:t>
      </w:r>
      <w:r w:rsidR="00A5417F" w:rsidRPr="00D83BF1">
        <w:rPr>
          <w:rFonts w:eastAsia="Times New Roman"/>
          <w:b/>
          <w:sz w:val="20"/>
          <w:szCs w:val="20"/>
        </w:rPr>
        <w:t>Sn</w:t>
      </w:r>
      <w:r w:rsidRPr="004C2A45">
        <w:rPr>
          <w:rFonts w:eastAsia="Times New Roman"/>
          <w:sz w:val="20"/>
          <w:szCs w:val="20"/>
        </w:rPr>
        <w:t xml:space="preserve">. </w:t>
      </w:r>
      <w:r w:rsidR="00A5417F" w:rsidRPr="00D83BF1">
        <w:rPr>
          <w:rFonts w:eastAsia="Times New Roman"/>
          <w:b/>
          <w:sz w:val="20"/>
          <w:szCs w:val="20"/>
        </w:rPr>
        <w:t>L</w:t>
      </w:r>
      <w:r w:rsidR="00A5417F">
        <w:rPr>
          <w:rFonts w:eastAsia="Times New Roman"/>
          <w:b/>
          <w:sz w:val="20"/>
          <w:szCs w:val="20"/>
        </w:rPr>
        <w:t xml:space="preserve"> (</w:t>
      </w:r>
      <w:r w:rsidRPr="004C2A45">
        <w:rPr>
          <w:rFonts w:eastAsia="Times New Roman"/>
          <w:b/>
          <w:sz w:val="20"/>
          <w:szCs w:val="20"/>
        </w:rPr>
        <w:t>L1</w:t>
      </w:r>
      <w:r w:rsidRPr="004C2A45">
        <w:rPr>
          <w:rFonts w:eastAsia="Times New Roman"/>
          <w:sz w:val="20"/>
          <w:szCs w:val="20"/>
        </w:rPr>
        <w:t>,</w:t>
      </w:r>
      <w:r w:rsidRPr="004C2A45">
        <w:rPr>
          <w:rFonts w:eastAsia="Times New Roman"/>
          <w:b/>
          <w:sz w:val="20"/>
          <w:szCs w:val="20"/>
        </w:rPr>
        <w:t>L2</w:t>
      </w:r>
      <w:r w:rsidRPr="004C2A45">
        <w:rPr>
          <w:rFonts w:eastAsia="Times New Roman"/>
          <w:sz w:val="20"/>
          <w:szCs w:val="20"/>
        </w:rPr>
        <w:t xml:space="preserve"> and </w:t>
      </w:r>
      <w:r w:rsidRPr="004C2A45">
        <w:rPr>
          <w:rFonts w:eastAsia="Times New Roman"/>
          <w:b/>
          <w:sz w:val="20"/>
          <w:szCs w:val="20"/>
        </w:rPr>
        <w:t>L3</w:t>
      </w:r>
      <w:r w:rsidR="00A5417F">
        <w:rPr>
          <w:rFonts w:eastAsia="Times New Roman"/>
          <w:b/>
          <w:sz w:val="20"/>
          <w:szCs w:val="20"/>
        </w:rPr>
        <w:t xml:space="preserve"> </w:t>
      </w:r>
      <w:r w:rsidR="00A5417F" w:rsidRPr="004C2A45">
        <w:rPr>
          <w:rFonts w:eastAsia="Times New Roman"/>
          <w:sz w:val="20"/>
          <w:szCs w:val="20"/>
        </w:rPr>
        <w:t>respectively for new births and children under 6 years of age, adults and pregnant women</w:t>
      </w:r>
      <w:r w:rsidR="00A5417F">
        <w:rPr>
          <w:rFonts w:eastAsia="Times New Roman"/>
          <w:b/>
          <w:sz w:val="20"/>
          <w:szCs w:val="20"/>
        </w:rPr>
        <w:t>)</w:t>
      </w:r>
      <w:r w:rsidRPr="004C2A45">
        <w:rPr>
          <w:rFonts w:eastAsia="Times New Roman"/>
          <w:sz w:val="20"/>
          <w:szCs w:val="20"/>
        </w:rPr>
        <w:t xml:space="preserve"> represent</w:t>
      </w:r>
      <w:r w:rsidR="00D83BF1">
        <w:rPr>
          <w:rFonts w:eastAsia="Times New Roman"/>
          <w:sz w:val="20"/>
          <w:szCs w:val="20"/>
        </w:rPr>
        <w:t xml:space="preserve"> </w:t>
      </w:r>
      <w:r w:rsidRPr="004C2A45">
        <w:rPr>
          <w:rFonts w:eastAsia="Times New Roman"/>
          <w:sz w:val="20"/>
          <w:szCs w:val="20"/>
        </w:rPr>
        <w:t xml:space="preserve">the latent infection period before the onset of gametocytes. </w:t>
      </w:r>
      <w:r w:rsidRPr="004C2A45">
        <w:rPr>
          <w:rFonts w:eastAsia="Times New Roman"/>
          <w:b/>
          <w:sz w:val="20"/>
          <w:szCs w:val="20"/>
        </w:rPr>
        <w:t>Ic</w:t>
      </w:r>
      <w:r w:rsidRPr="004C2A45">
        <w:rPr>
          <w:rFonts w:eastAsia="Times New Roman"/>
          <w:sz w:val="20"/>
          <w:szCs w:val="20"/>
        </w:rPr>
        <w:t xml:space="preserve">, </w:t>
      </w:r>
      <w:r w:rsidRPr="004C2A45">
        <w:rPr>
          <w:rFonts w:eastAsia="Times New Roman"/>
          <w:b/>
          <w:sz w:val="20"/>
          <w:szCs w:val="20"/>
        </w:rPr>
        <w:t>Ia</w:t>
      </w:r>
      <w:r w:rsidRPr="004C2A45">
        <w:rPr>
          <w:rFonts w:eastAsia="Times New Roman"/>
          <w:sz w:val="20"/>
          <w:szCs w:val="20"/>
        </w:rPr>
        <w:t xml:space="preserve">, </w:t>
      </w:r>
      <w:r w:rsidRPr="004C2A45">
        <w:rPr>
          <w:rFonts w:eastAsia="Times New Roman"/>
          <w:b/>
          <w:sz w:val="20"/>
          <w:szCs w:val="20"/>
        </w:rPr>
        <w:t>Is</w:t>
      </w:r>
      <w:r w:rsidRPr="004C2A45">
        <w:rPr>
          <w:rFonts w:eastAsia="Times New Roman"/>
          <w:sz w:val="20"/>
          <w:szCs w:val="20"/>
        </w:rPr>
        <w:t xml:space="preserve"> and </w:t>
      </w:r>
      <w:r w:rsidRPr="004C2A45">
        <w:rPr>
          <w:rFonts w:eastAsia="Times New Roman"/>
          <w:b/>
          <w:sz w:val="20"/>
          <w:szCs w:val="20"/>
        </w:rPr>
        <w:t>Ism</w:t>
      </w:r>
      <w:r w:rsidRPr="004C2A45">
        <w:rPr>
          <w:rFonts w:eastAsia="Times New Roman"/>
          <w:sz w:val="20"/>
          <w:szCs w:val="20"/>
        </w:rPr>
        <w:t xml:space="preserve"> compartments represents symptomatic infection (clinical infection), asymptomatic infection, severe infection and sub-microscopic infection respectively. Pregnant women attend antenatal clinic (ANC) without an infection, </w:t>
      </w:r>
      <w:r w:rsidRPr="004C2A45">
        <w:rPr>
          <w:rFonts w:eastAsia="Times New Roman"/>
          <w:b/>
          <w:sz w:val="20"/>
          <w:szCs w:val="20"/>
        </w:rPr>
        <w:t>IANCN</w:t>
      </w:r>
      <w:r w:rsidRPr="004C2A45">
        <w:rPr>
          <w:rFonts w:eastAsia="Times New Roman"/>
          <w:sz w:val="20"/>
          <w:szCs w:val="20"/>
        </w:rPr>
        <w:t xml:space="preserve"> or progress from </w:t>
      </w:r>
      <w:r w:rsidRPr="004C2A45">
        <w:rPr>
          <w:rFonts w:eastAsia="Times New Roman"/>
          <w:b/>
          <w:sz w:val="20"/>
          <w:szCs w:val="20"/>
        </w:rPr>
        <w:t>L3</w:t>
      </w:r>
      <w:r w:rsidRPr="004C2A45">
        <w:rPr>
          <w:rFonts w:eastAsia="Times New Roman"/>
          <w:sz w:val="20"/>
          <w:szCs w:val="20"/>
        </w:rPr>
        <w:t xml:space="preserve"> into </w:t>
      </w:r>
      <w:r w:rsidRPr="004C2A45">
        <w:rPr>
          <w:rFonts w:eastAsia="Times New Roman"/>
          <w:b/>
          <w:sz w:val="20"/>
          <w:szCs w:val="20"/>
        </w:rPr>
        <w:t>IANCP</w:t>
      </w:r>
      <w:r w:rsidRPr="004C2A45">
        <w:rPr>
          <w:rFonts w:eastAsia="Times New Roman"/>
          <w:sz w:val="20"/>
          <w:szCs w:val="20"/>
        </w:rPr>
        <w:t xml:space="preserve"> once infected.</w:t>
      </w:r>
      <w:r w:rsidRPr="004C2A45">
        <w:rPr>
          <w:rFonts w:eastAsia="Times New Roman"/>
          <w:b/>
          <w:sz w:val="20"/>
          <w:szCs w:val="20"/>
        </w:rPr>
        <w:t>Tr1</w:t>
      </w:r>
      <w:r w:rsidRPr="004C2A45">
        <w:rPr>
          <w:rFonts w:eastAsia="Times New Roman"/>
          <w:sz w:val="20"/>
          <w:szCs w:val="20"/>
        </w:rPr>
        <w:t xml:space="preserve">, </w:t>
      </w:r>
      <w:r w:rsidRPr="004C2A45">
        <w:rPr>
          <w:rFonts w:eastAsia="Times New Roman"/>
          <w:b/>
          <w:sz w:val="20"/>
          <w:szCs w:val="20"/>
        </w:rPr>
        <w:t>Tr2</w:t>
      </w:r>
      <w:r w:rsidRPr="004C2A45">
        <w:rPr>
          <w:rFonts w:eastAsia="Times New Roman"/>
          <w:sz w:val="20"/>
          <w:szCs w:val="20"/>
        </w:rPr>
        <w:t xml:space="preserve"> and </w:t>
      </w:r>
      <w:r w:rsidRPr="004C2A45">
        <w:rPr>
          <w:rFonts w:eastAsia="Times New Roman"/>
          <w:b/>
          <w:sz w:val="20"/>
          <w:szCs w:val="20"/>
        </w:rPr>
        <w:t>Tr3</w:t>
      </w:r>
      <w:r w:rsidRPr="004C2A45">
        <w:rPr>
          <w:rFonts w:eastAsia="Times New Roman"/>
          <w:sz w:val="20"/>
          <w:szCs w:val="20"/>
        </w:rPr>
        <w:t xml:space="preserve"> represent the treatment sought for confirmed uncomplicated malaria (</w:t>
      </w:r>
      <w:r w:rsidRPr="004C2A45">
        <w:rPr>
          <w:rFonts w:eastAsia="Times New Roman"/>
          <w:b/>
          <w:sz w:val="20"/>
          <w:szCs w:val="20"/>
        </w:rPr>
        <w:t>Ia</w:t>
      </w:r>
      <w:r w:rsidRPr="004C2A45">
        <w:rPr>
          <w:rFonts w:eastAsia="Times New Roman"/>
          <w:sz w:val="20"/>
          <w:szCs w:val="20"/>
        </w:rPr>
        <w:t>), severe malaria (</w:t>
      </w:r>
      <w:r w:rsidRPr="004C2A45">
        <w:rPr>
          <w:rFonts w:eastAsia="Times New Roman"/>
          <w:b/>
          <w:sz w:val="20"/>
          <w:szCs w:val="20"/>
        </w:rPr>
        <w:t>Is</w:t>
      </w:r>
      <w:r w:rsidRPr="004C2A45">
        <w:rPr>
          <w:rFonts w:eastAsia="Times New Roman"/>
          <w:sz w:val="20"/>
          <w:szCs w:val="20"/>
        </w:rPr>
        <w:t xml:space="preserve">) and routine monthly SP prophylaxis for pregnant women at ANC, </w:t>
      </w:r>
      <w:r w:rsidRPr="004C2A45">
        <w:rPr>
          <w:rFonts w:eastAsia="Times New Roman"/>
          <w:b/>
          <w:sz w:val="20"/>
          <w:szCs w:val="20"/>
        </w:rPr>
        <w:t>Trf1</w:t>
      </w:r>
      <w:r w:rsidRPr="004C2A45">
        <w:rPr>
          <w:rFonts w:eastAsia="Times New Roman"/>
          <w:sz w:val="20"/>
          <w:szCs w:val="20"/>
        </w:rPr>
        <w:t xml:space="preserve">, </w:t>
      </w:r>
      <w:r w:rsidRPr="004C2A45">
        <w:rPr>
          <w:rFonts w:eastAsia="Times New Roman"/>
          <w:b/>
          <w:sz w:val="20"/>
          <w:szCs w:val="20"/>
        </w:rPr>
        <w:t>Trf2</w:t>
      </w:r>
      <w:r w:rsidRPr="004C2A45">
        <w:rPr>
          <w:rFonts w:eastAsia="Times New Roman"/>
          <w:sz w:val="20"/>
          <w:szCs w:val="20"/>
        </w:rPr>
        <w:t xml:space="preserve"> and </w:t>
      </w:r>
      <w:r w:rsidRPr="004C2A45">
        <w:rPr>
          <w:rFonts w:eastAsia="Times New Roman"/>
          <w:b/>
          <w:sz w:val="20"/>
          <w:szCs w:val="20"/>
        </w:rPr>
        <w:t>Trf3</w:t>
      </w:r>
      <w:r w:rsidRPr="004C2A45">
        <w:rPr>
          <w:rFonts w:eastAsia="Times New Roman"/>
          <w:sz w:val="20"/>
          <w:szCs w:val="20"/>
        </w:rPr>
        <w:t xml:space="preserve"> represent respective treatment failure due to adherence and possible drug resistance for the three latter treatment options. </w:t>
      </w:r>
      <w:r w:rsidRPr="004C2A45">
        <w:rPr>
          <w:rFonts w:eastAsia="Times New Roman"/>
          <w:b/>
          <w:sz w:val="20"/>
          <w:szCs w:val="20"/>
        </w:rPr>
        <w:t>Vector population:</w:t>
      </w:r>
      <w:r w:rsidRPr="004C2A45">
        <w:rPr>
          <w:rFonts w:eastAsia="Times New Roman"/>
          <w:sz w:val="20"/>
          <w:szCs w:val="20"/>
        </w:rPr>
        <w:t xml:space="preserve"> </w:t>
      </w:r>
      <w:r w:rsidRPr="004C2A45">
        <w:rPr>
          <w:rFonts w:eastAsia="Times New Roman"/>
          <w:b/>
          <w:sz w:val="20"/>
          <w:szCs w:val="20"/>
        </w:rPr>
        <w:t>Lv</w:t>
      </w:r>
      <w:r w:rsidRPr="004C2A45">
        <w:rPr>
          <w:rFonts w:eastAsia="Times New Roman"/>
          <w:sz w:val="20"/>
          <w:szCs w:val="20"/>
        </w:rPr>
        <w:t xml:space="preserve"> represents larva population and </w:t>
      </w:r>
      <w:r w:rsidRPr="004C2A45">
        <w:rPr>
          <w:rFonts w:eastAsia="Times New Roman"/>
          <w:b/>
          <w:sz w:val="20"/>
          <w:szCs w:val="20"/>
        </w:rPr>
        <w:t>Sm</w:t>
      </w:r>
      <w:r w:rsidRPr="004C2A45">
        <w:rPr>
          <w:rFonts w:eastAsia="Times New Roman"/>
          <w:sz w:val="20"/>
          <w:szCs w:val="20"/>
        </w:rPr>
        <w:t xml:space="preserve"> susceptible </w:t>
      </w:r>
      <w:r>
        <w:rPr>
          <w:rFonts w:eastAsia="Times New Roman"/>
          <w:sz w:val="20"/>
          <w:szCs w:val="20"/>
        </w:rPr>
        <w:t>mosquitoes</w:t>
      </w:r>
      <w:r w:rsidRPr="004C2A45">
        <w:rPr>
          <w:rFonts w:eastAsia="Times New Roman"/>
          <w:sz w:val="20"/>
          <w:szCs w:val="20"/>
        </w:rPr>
        <w:t xml:space="preserve">. Exposed </w:t>
      </w:r>
      <w:r>
        <w:rPr>
          <w:rFonts w:eastAsia="Times New Roman"/>
          <w:sz w:val="20"/>
          <w:szCs w:val="20"/>
        </w:rPr>
        <w:t>mosquitoes</w:t>
      </w:r>
      <w:r w:rsidRPr="004C2A45">
        <w:rPr>
          <w:rFonts w:eastAsia="Times New Roman"/>
          <w:sz w:val="20"/>
          <w:szCs w:val="20"/>
        </w:rPr>
        <w:t xml:space="preserve"> are captured in </w:t>
      </w:r>
      <w:r w:rsidRPr="004C2A45">
        <w:rPr>
          <w:rFonts w:eastAsia="Times New Roman"/>
          <w:b/>
          <w:sz w:val="20"/>
          <w:szCs w:val="20"/>
        </w:rPr>
        <w:t>Em</w:t>
      </w:r>
      <w:r w:rsidRPr="004C2A45">
        <w:rPr>
          <w:rFonts w:eastAsia="Times New Roman"/>
          <w:sz w:val="20"/>
          <w:szCs w:val="20"/>
        </w:rPr>
        <w:t xml:space="preserve"> compartment. Whereas infectious </w:t>
      </w:r>
      <w:r>
        <w:rPr>
          <w:rFonts w:eastAsia="Times New Roman"/>
          <w:sz w:val="20"/>
          <w:szCs w:val="20"/>
        </w:rPr>
        <w:t>mosquitoes</w:t>
      </w:r>
      <w:r w:rsidRPr="004C2A45">
        <w:rPr>
          <w:rFonts w:eastAsia="Times New Roman"/>
          <w:sz w:val="20"/>
          <w:szCs w:val="20"/>
        </w:rPr>
        <w:t xml:space="preserve"> are in the </w:t>
      </w:r>
      <w:r w:rsidRPr="004C2A45">
        <w:rPr>
          <w:rFonts w:eastAsia="Times New Roman"/>
          <w:b/>
          <w:sz w:val="20"/>
          <w:szCs w:val="20"/>
        </w:rPr>
        <w:t>Im</w:t>
      </w:r>
      <w:r w:rsidRPr="004C2A45">
        <w:rPr>
          <w:rFonts w:eastAsia="Times New Roman"/>
          <w:sz w:val="20"/>
          <w:szCs w:val="20"/>
        </w:rPr>
        <w:t xml:space="preserve"> compartment. FOI is force of infection.</w:t>
      </w:r>
    </w:p>
    <w:p w14:paraId="034B63E8" w14:textId="45CCDC32" w:rsidR="007E1F9B" w:rsidRDefault="007E1F9B" w:rsidP="002B6379">
      <w:pPr>
        <w:spacing w:after="0" w:line="480" w:lineRule="auto"/>
        <w:jc w:val="both"/>
        <w:rPr>
          <w:rFonts w:eastAsia="Times New Roman"/>
          <w:szCs w:val="24"/>
        </w:rPr>
      </w:pPr>
      <w:r w:rsidRPr="00DB21A1">
        <w:rPr>
          <w:rFonts w:eastAsia="Times New Roman"/>
          <w:szCs w:val="24"/>
        </w:rPr>
        <w:lastRenderedPageBreak/>
        <w:t xml:space="preserve">This is to account for the different risk </w:t>
      </w:r>
      <w:r w:rsidRPr="004841CD">
        <w:rPr>
          <w:rFonts w:eastAsia="Times New Roman"/>
          <w:szCs w:val="24"/>
        </w:rPr>
        <w:t xml:space="preserve">profile </w:t>
      </w:r>
      <w:r w:rsidRPr="00DB21A1">
        <w:rPr>
          <w:rFonts w:eastAsia="Times New Roman"/>
          <w:szCs w:val="24"/>
        </w:rPr>
        <w:t xml:space="preserve">of infection </w:t>
      </w:r>
      <w:r w:rsidRPr="004841CD">
        <w:rPr>
          <w:rFonts w:eastAsia="Times New Roman"/>
          <w:szCs w:val="24"/>
        </w:rPr>
        <w:t>for</w:t>
      </w:r>
      <w:r w:rsidRPr="00DB21A1">
        <w:rPr>
          <w:rFonts w:eastAsia="Times New Roman"/>
          <w:szCs w:val="24"/>
        </w:rPr>
        <w:t xml:space="preserve"> children under 6</w:t>
      </w:r>
      <w:r>
        <w:rPr>
          <w:rFonts w:eastAsia="Times New Roman"/>
          <w:szCs w:val="24"/>
        </w:rPr>
        <w:t xml:space="preserve">, pregnant women and others not in these categories </w:t>
      </w:r>
      <w:r>
        <w:rPr>
          <w:rFonts w:eastAsia="Times New Roman"/>
          <w:szCs w:val="24"/>
        </w:rPr>
        <w:fldChar w:fldCharType="begin"/>
      </w:r>
      <w:r w:rsidR="006F1B7D">
        <w:rPr>
          <w:rFonts w:eastAsia="Times New Roman"/>
          <w:szCs w:val="24"/>
        </w:rPr>
        <w:instrText xml:space="preserve"> ADDIN ZOTERO_ITEM CSL_CITATION {"citationID":"tKNBNb8r","properties":{"formattedCitation":"[3,4]","plainCitation":"[3,4]","noteIndex":0},"citationItems":[{"id":1107,"uris":["http://zotero.org/users/584652/items/46CR7B2T"],"uri":["http://zotero.org/users/584652/items/46CR7B2T"],"itemData":{"id":1107,"type":"article-journal","container-title":"Malaria journal","issue":"1","page":"17","source":"Google Scholar","title":"Prevalence of congenital malaria in high-risk Ghanaian newborns: a cross-sectional study","title-short":"Prevalence of congenital malaria in high-risk Ghanaian newborns","volume":"12","author":[{"family":"Enweronu-Laryea","given":"Christabel C."},{"family":"Adjei","given":"George O."},{"family":"Mensah","given":"Benjamin"},{"family":"Duah","given":"Nancy"},{"family":"Quashie","given":"Neils B."}],"issued":{"date-parts":[["2013"]]}}},{"id":1592,"uris":["http://zotero.org/users/584652/items/SATUU94W"],"uri":["http://zotero.org/users/584652/items/SATUU94W"],"itemData":{"id":1592,"type":"article","title":"Preventive treatment of Malaria in  Pregnancy, maternally transferred antibodies to  malaria and the risk of clinical malaria in  a  five year Birth  cohort in Ghana","author":[{"family":"Unpublished","given":""}],"issued":{"date-parts":[["2014"]]}}}],"schema":"https://github.com/citation-style-language/schema/raw/master/csl-citation.json"} </w:instrText>
      </w:r>
      <w:r>
        <w:rPr>
          <w:rFonts w:eastAsia="Times New Roman"/>
          <w:szCs w:val="24"/>
        </w:rPr>
        <w:fldChar w:fldCharType="separate"/>
      </w:r>
      <w:r w:rsidRPr="00824AB7">
        <w:t>[3,4]</w:t>
      </w:r>
      <w:r>
        <w:rPr>
          <w:rFonts w:eastAsia="Times New Roman"/>
          <w:szCs w:val="24"/>
        </w:rPr>
        <w:fldChar w:fldCharType="end"/>
      </w:r>
      <w:r>
        <w:rPr>
          <w:rFonts w:eastAsia="Times New Roman"/>
          <w:szCs w:val="24"/>
        </w:rPr>
        <w:t xml:space="preserve">. </w:t>
      </w:r>
      <w:r w:rsidRPr="00636EFC">
        <w:rPr>
          <w:rFonts w:eastAsia="Times New Roman"/>
          <w:b/>
          <w:szCs w:val="24"/>
        </w:rPr>
        <w:t>Sn</w:t>
      </w:r>
      <w:r w:rsidRPr="00636EFC">
        <w:rPr>
          <w:rFonts w:eastAsia="Times New Roman"/>
          <w:szCs w:val="24"/>
        </w:rPr>
        <w:t xml:space="preserve">, </w:t>
      </w:r>
      <w:r w:rsidRPr="00D82707">
        <w:rPr>
          <w:rFonts w:eastAsia="Times New Roman"/>
          <w:b/>
          <w:szCs w:val="24"/>
        </w:rPr>
        <w:t>Snn</w:t>
      </w:r>
      <w:r w:rsidRPr="005E0036">
        <w:rPr>
          <w:rFonts w:eastAsia="Times New Roman"/>
          <w:szCs w:val="24"/>
        </w:rPr>
        <w:t xml:space="preserve"> and </w:t>
      </w:r>
      <w:r w:rsidRPr="005E0036">
        <w:rPr>
          <w:rFonts w:eastAsia="Times New Roman"/>
          <w:b/>
          <w:szCs w:val="24"/>
        </w:rPr>
        <w:t>Snnp</w:t>
      </w:r>
      <w:r w:rsidRPr="005E0036">
        <w:rPr>
          <w:rFonts w:eastAsia="Times New Roman"/>
          <w:szCs w:val="24"/>
        </w:rPr>
        <w:t xml:space="preserve"> </w:t>
      </w:r>
      <w:r>
        <w:rPr>
          <w:rFonts w:eastAsia="Times New Roman"/>
          <w:szCs w:val="24"/>
        </w:rPr>
        <w:t xml:space="preserve">therefore are compartments for </w:t>
      </w:r>
      <w:r w:rsidRPr="005E0036">
        <w:rPr>
          <w:rFonts w:eastAsia="Times New Roman"/>
          <w:szCs w:val="24"/>
        </w:rPr>
        <w:t xml:space="preserve">infants and young children (less than 6 years old), </w:t>
      </w:r>
      <w:r w:rsidRPr="00930900">
        <w:rPr>
          <w:rFonts w:eastAsia="Times New Roman"/>
          <w:szCs w:val="24"/>
        </w:rPr>
        <w:t xml:space="preserve">all others 6 years and above </w:t>
      </w:r>
      <w:r w:rsidRPr="00C81EAF">
        <w:rPr>
          <w:rFonts w:eastAsia="Times New Roman"/>
          <w:szCs w:val="24"/>
        </w:rPr>
        <w:t xml:space="preserve">and </w:t>
      </w:r>
      <w:r>
        <w:rPr>
          <w:rFonts w:eastAsia="Times New Roman"/>
          <w:szCs w:val="24"/>
        </w:rPr>
        <w:t xml:space="preserve">susceptible </w:t>
      </w:r>
      <w:r w:rsidRPr="00C81EAF">
        <w:rPr>
          <w:rFonts w:eastAsia="Times New Roman"/>
          <w:szCs w:val="24"/>
        </w:rPr>
        <w:t>pregnant women</w:t>
      </w:r>
      <w:r>
        <w:rPr>
          <w:rFonts w:eastAsia="Times New Roman"/>
          <w:szCs w:val="24"/>
        </w:rPr>
        <w:t xml:space="preserve"> </w:t>
      </w:r>
      <w:r w:rsidRPr="005E0036">
        <w:rPr>
          <w:rFonts w:eastAsia="Times New Roman"/>
          <w:szCs w:val="24"/>
        </w:rPr>
        <w:t>respectively</w:t>
      </w:r>
      <w:r>
        <w:rPr>
          <w:rFonts w:eastAsia="Times New Roman"/>
          <w:szCs w:val="24"/>
        </w:rPr>
        <w:t>, Fig 1,</w:t>
      </w:r>
      <w:r w:rsidR="009629A6">
        <w:rPr>
          <w:rFonts w:eastAsia="Times New Roman"/>
          <w:szCs w:val="24"/>
        </w:rPr>
        <w:t xml:space="preserve"> </w:t>
      </w:r>
      <w:r>
        <w:rPr>
          <w:rFonts w:eastAsia="Times New Roman"/>
          <w:szCs w:val="24"/>
        </w:rPr>
        <w:t>and 1a</w:t>
      </w:r>
      <w:r w:rsidRPr="00C81EAF">
        <w:rPr>
          <w:rFonts w:eastAsia="Times New Roman"/>
          <w:szCs w:val="24"/>
        </w:rPr>
        <w:t xml:space="preserve">. </w:t>
      </w:r>
    </w:p>
    <w:p w14:paraId="7E4473EC" w14:textId="77777777" w:rsidR="007E1F9B" w:rsidRPr="004841CD" w:rsidRDefault="007E1F9B" w:rsidP="002B6379">
      <w:pPr>
        <w:spacing w:after="0" w:line="480" w:lineRule="auto"/>
        <w:jc w:val="both"/>
        <w:rPr>
          <w:rFonts w:eastAsia="Times New Roman"/>
          <w:szCs w:val="24"/>
        </w:rPr>
      </w:pPr>
    </w:p>
    <w:p w14:paraId="2320313B" w14:textId="285F26F5" w:rsidR="007E1F9B" w:rsidRDefault="007E1F9B" w:rsidP="002B6379">
      <w:pPr>
        <w:spacing w:after="0" w:line="480" w:lineRule="auto"/>
        <w:jc w:val="both"/>
        <w:rPr>
          <w:rFonts w:eastAsia="Times New Roman"/>
          <w:szCs w:val="24"/>
        </w:rPr>
      </w:pPr>
      <w:r w:rsidRPr="004841CD">
        <w:rPr>
          <w:rFonts w:eastAsia="Times New Roman"/>
          <w:szCs w:val="24"/>
        </w:rPr>
        <w:t xml:space="preserve">To account for malaria in pregnancy, a compartment for pregnant women </w:t>
      </w:r>
      <w:r w:rsidRPr="00950DEE">
        <w:rPr>
          <w:rFonts w:eastAsia="Times New Roman"/>
          <w:szCs w:val="24"/>
        </w:rPr>
        <w:t>in the population</w:t>
      </w:r>
      <w:r w:rsidRPr="00066237">
        <w:rPr>
          <w:rFonts w:eastAsia="Times New Roman"/>
          <w:szCs w:val="24"/>
        </w:rPr>
        <w:t xml:space="preserve"> </w:t>
      </w:r>
      <w:r w:rsidRPr="00636EFC">
        <w:rPr>
          <w:rFonts w:eastAsia="Times New Roman"/>
          <w:szCs w:val="24"/>
        </w:rPr>
        <w:t>(</w:t>
      </w:r>
      <w:r w:rsidRPr="00DB21A1">
        <w:rPr>
          <w:rFonts w:eastAsia="Times New Roman"/>
          <w:b/>
          <w:szCs w:val="24"/>
        </w:rPr>
        <w:t>Snnp</w:t>
      </w:r>
      <w:r w:rsidRPr="004841CD">
        <w:rPr>
          <w:rFonts w:eastAsia="Times New Roman"/>
          <w:szCs w:val="24"/>
        </w:rPr>
        <w:t>) was added to allow for the dynamics of infection and A</w:t>
      </w:r>
      <w:r w:rsidR="00FA4CA5">
        <w:rPr>
          <w:rFonts w:eastAsia="Times New Roman"/>
          <w:szCs w:val="24"/>
        </w:rPr>
        <w:t>n</w:t>
      </w:r>
      <w:r w:rsidR="000C5518">
        <w:rPr>
          <w:rFonts w:eastAsia="Times New Roman"/>
          <w:szCs w:val="24"/>
        </w:rPr>
        <w:t>t</w:t>
      </w:r>
      <w:r w:rsidR="00FA4CA5">
        <w:rPr>
          <w:rFonts w:eastAsia="Times New Roman"/>
          <w:szCs w:val="24"/>
        </w:rPr>
        <w:t xml:space="preserve">enatal </w:t>
      </w:r>
      <w:r w:rsidRPr="004841CD">
        <w:rPr>
          <w:rFonts w:eastAsia="Times New Roman"/>
          <w:szCs w:val="24"/>
        </w:rPr>
        <w:t>C</w:t>
      </w:r>
      <w:r w:rsidR="00FA4CA5">
        <w:rPr>
          <w:rFonts w:eastAsia="Times New Roman"/>
          <w:szCs w:val="24"/>
        </w:rPr>
        <w:t>linic (ANC)</w:t>
      </w:r>
      <w:r w:rsidRPr="004841CD">
        <w:rPr>
          <w:rFonts w:eastAsia="Times New Roman"/>
          <w:szCs w:val="24"/>
        </w:rPr>
        <w:t xml:space="preserve"> attendance</w:t>
      </w:r>
      <w:r>
        <w:rPr>
          <w:rFonts w:eastAsia="Times New Roman"/>
          <w:szCs w:val="24"/>
        </w:rPr>
        <w:t xml:space="preserve"> since these cases of malaria are captured at the ANC</w:t>
      </w:r>
      <w:r w:rsidRPr="004841CD">
        <w:rPr>
          <w:rFonts w:eastAsia="Times New Roman"/>
          <w:szCs w:val="24"/>
        </w:rPr>
        <w:t xml:space="preserve">. It is estimated that, pregnant </w:t>
      </w:r>
      <w:r w:rsidRPr="00636EFC">
        <w:rPr>
          <w:rFonts w:eastAsia="Times New Roman"/>
          <w:szCs w:val="24"/>
        </w:rPr>
        <w:t xml:space="preserve">women </w:t>
      </w:r>
      <w:r>
        <w:rPr>
          <w:rFonts w:eastAsia="Times New Roman"/>
          <w:szCs w:val="24"/>
        </w:rPr>
        <w:t>make up</w:t>
      </w:r>
      <w:r w:rsidRPr="00636EFC">
        <w:rPr>
          <w:rFonts w:eastAsia="Times New Roman"/>
          <w:szCs w:val="24"/>
        </w:rPr>
        <w:t xml:space="preserve"> </w:t>
      </w:r>
      <w:r>
        <w:rPr>
          <w:rFonts w:eastAsia="Times New Roman"/>
          <w:szCs w:val="24"/>
        </w:rPr>
        <w:t>2.5</w:t>
      </w:r>
      <w:r w:rsidRPr="00D82707">
        <w:rPr>
          <w:rFonts w:eastAsia="Times New Roman"/>
          <w:szCs w:val="24"/>
        </w:rPr>
        <w:t xml:space="preserve">% of </w:t>
      </w:r>
      <w:r w:rsidRPr="005E0036">
        <w:rPr>
          <w:rFonts w:eastAsia="Times New Roman"/>
          <w:szCs w:val="24"/>
        </w:rPr>
        <w:t xml:space="preserve">the population and these are drawn from the </w:t>
      </w:r>
      <w:r w:rsidRPr="00DB21A1">
        <w:rPr>
          <w:rFonts w:eastAsia="Times New Roman"/>
          <w:b/>
          <w:szCs w:val="24"/>
        </w:rPr>
        <w:t>Snn</w:t>
      </w:r>
      <w:r w:rsidRPr="004841CD">
        <w:rPr>
          <w:rFonts w:eastAsia="Times New Roman"/>
          <w:szCs w:val="24"/>
        </w:rPr>
        <w:t xml:space="preserve"> compartment </w:t>
      </w:r>
      <w:r>
        <w:rPr>
          <w:rFonts w:eastAsia="Times New Roman"/>
          <w:szCs w:val="24"/>
        </w:rPr>
        <w:t xml:space="preserve">as shown on Fig 1a </w:t>
      </w:r>
      <w:r w:rsidRPr="004841CD">
        <w:rPr>
          <w:rFonts w:eastAsia="Times New Roman"/>
          <w:szCs w:val="24"/>
        </w:rPr>
        <w:fldChar w:fldCharType="begin"/>
      </w:r>
      <w:r w:rsidR="006F1B7D">
        <w:rPr>
          <w:rFonts w:eastAsia="Times New Roman"/>
          <w:szCs w:val="24"/>
        </w:rPr>
        <w:instrText xml:space="preserve"> ADDIN ZOTERO_ITEM CSL_CITATION {"citationID":"1jdSVLxG","properties":{"formattedCitation":"[5]","plainCitation":"[5]","noteIndex":0},"citationItems":[{"id":1077,"uris":["http://zotero.org/users/584652/items/XR385FP2"],"uri":["http://zotero.org/users/584652/items/XR385FP2"],"itemData":{"id":1077,"type":"article","title":"Ghana Malaria Operational Plan FY 2017","URL":"https://www.pmi.gov/docs/default-source/default-document-library/malaria-operational-plans/fy17/fy-2017-ghana-malaria-operational-plan.pdf?sfvrsn=6","author":[{"family":"United States Agency for International Development","given":""}],"accessed":{"date-parts":[["2017",5,11]]},"issued":{"date-parts":[["2017"]]}}}],"schema":"https://github.com/citation-style-language/schema/raw/master/csl-citation.json"} </w:instrText>
      </w:r>
      <w:r w:rsidRPr="004841CD">
        <w:rPr>
          <w:rFonts w:eastAsia="Times New Roman"/>
          <w:szCs w:val="24"/>
        </w:rPr>
        <w:fldChar w:fldCharType="separate"/>
      </w:r>
      <w:r w:rsidRPr="00824AB7">
        <w:t>[5]</w:t>
      </w:r>
      <w:r w:rsidRPr="004841CD">
        <w:rPr>
          <w:rFonts w:eastAsia="Times New Roman"/>
          <w:szCs w:val="24"/>
        </w:rPr>
        <w:fldChar w:fldCharType="end"/>
      </w:r>
      <w:r w:rsidRPr="004841CD">
        <w:rPr>
          <w:rFonts w:eastAsia="Times New Roman"/>
          <w:szCs w:val="24"/>
        </w:rPr>
        <w:t xml:space="preserve">. </w:t>
      </w:r>
    </w:p>
    <w:p w14:paraId="250D5EA8" w14:textId="77777777" w:rsidR="007E1F9B" w:rsidRDefault="007E1F9B" w:rsidP="002B6379">
      <w:pPr>
        <w:spacing w:after="0" w:line="480" w:lineRule="auto"/>
        <w:jc w:val="both"/>
        <w:rPr>
          <w:rFonts w:eastAsia="Times New Roman"/>
          <w:szCs w:val="24"/>
        </w:rPr>
      </w:pPr>
    </w:p>
    <w:p w14:paraId="0CF50BAE" w14:textId="77777777" w:rsidR="007E1F9B" w:rsidRDefault="007E1F9B" w:rsidP="008F1408">
      <w:pPr>
        <w:spacing w:after="0" w:line="480" w:lineRule="auto"/>
        <w:jc w:val="center"/>
        <w:rPr>
          <w:rFonts w:eastAsia="Times New Roman"/>
          <w:szCs w:val="24"/>
        </w:rPr>
      </w:pPr>
      <w:r w:rsidRPr="00252711">
        <w:rPr>
          <w:rFonts w:eastAsia="Times New Roman"/>
          <w:noProof/>
          <w:szCs w:val="24"/>
          <w:lang w:val="en-GB" w:eastAsia="en-GB"/>
        </w:rPr>
        <w:drawing>
          <wp:inline distT="0" distB="0" distL="0" distR="0" wp14:anchorId="5873FE94" wp14:editId="74FA4B5B">
            <wp:extent cx="3143250" cy="3238500"/>
            <wp:effectExtent l="0" t="0" r="0" b="0"/>
            <wp:docPr id="1" name="Picture 1" descr="C:\Users\AWNTIM001\Google Drive\Cape Town 2019\Term 2\Paper 5\recruit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WNTIM001\Google Drive\Cape Town 2019\Term 2\Paper 5\recruitment.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43250" cy="3238500"/>
                    </a:xfrm>
                    <a:prstGeom prst="rect">
                      <a:avLst/>
                    </a:prstGeom>
                    <a:noFill/>
                    <a:ln>
                      <a:noFill/>
                    </a:ln>
                  </pic:spPr>
                </pic:pic>
              </a:graphicData>
            </a:graphic>
          </wp:inline>
        </w:drawing>
      </w:r>
    </w:p>
    <w:p w14:paraId="2FCDD1FA" w14:textId="77777777" w:rsidR="007E1F9B" w:rsidRPr="004C2A45" w:rsidRDefault="007E1F9B" w:rsidP="002B6379">
      <w:pPr>
        <w:spacing w:after="0" w:line="240" w:lineRule="auto"/>
        <w:jc w:val="both"/>
        <w:rPr>
          <w:rFonts w:eastAsia="Times New Roman"/>
          <w:b/>
          <w:szCs w:val="24"/>
        </w:rPr>
      </w:pPr>
      <w:r w:rsidRPr="004C2A45">
        <w:rPr>
          <w:rFonts w:eastAsia="Times New Roman"/>
          <w:b/>
          <w:szCs w:val="24"/>
        </w:rPr>
        <w:t>Fig 1</w:t>
      </w:r>
      <w:r>
        <w:rPr>
          <w:rFonts w:eastAsia="Times New Roman"/>
          <w:b/>
          <w:szCs w:val="24"/>
        </w:rPr>
        <w:t>a</w:t>
      </w:r>
      <w:r w:rsidRPr="004C2A45">
        <w:rPr>
          <w:rFonts w:eastAsia="Times New Roman"/>
          <w:b/>
          <w:szCs w:val="24"/>
        </w:rPr>
        <w:t xml:space="preserve"> </w:t>
      </w:r>
      <w:r>
        <w:rPr>
          <w:rFonts w:eastAsia="Times New Roman"/>
          <w:b/>
          <w:szCs w:val="24"/>
        </w:rPr>
        <w:t>Model compartments for recruitment and susceptible</w:t>
      </w:r>
      <w:r w:rsidRPr="004C2A45">
        <w:rPr>
          <w:rFonts w:eastAsia="Times New Roman"/>
          <w:b/>
          <w:szCs w:val="24"/>
        </w:rPr>
        <w:t xml:space="preserve"> pop</w:t>
      </w:r>
      <w:r>
        <w:rPr>
          <w:rFonts w:eastAsia="Times New Roman"/>
          <w:b/>
          <w:szCs w:val="24"/>
        </w:rPr>
        <w:t>ulations</w:t>
      </w:r>
    </w:p>
    <w:p w14:paraId="05FD2D67" w14:textId="77777777" w:rsidR="007E1F9B" w:rsidRDefault="007E1F9B" w:rsidP="002B6379">
      <w:pPr>
        <w:spacing w:after="0" w:line="480" w:lineRule="auto"/>
        <w:jc w:val="both"/>
        <w:rPr>
          <w:rFonts w:eastAsia="Times New Roman"/>
          <w:szCs w:val="24"/>
        </w:rPr>
      </w:pPr>
    </w:p>
    <w:p w14:paraId="5CC38A21" w14:textId="01676C61" w:rsidR="007E1F9B" w:rsidRDefault="007E1F9B" w:rsidP="002B6379">
      <w:pPr>
        <w:spacing w:after="0" w:line="480" w:lineRule="auto"/>
        <w:jc w:val="both"/>
        <w:rPr>
          <w:rFonts w:eastAsia="Times New Roman"/>
          <w:color w:val="FF0000"/>
          <w:szCs w:val="24"/>
        </w:rPr>
      </w:pPr>
      <w:r>
        <w:rPr>
          <w:rFonts w:eastAsia="Times New Roman"/>
          <w:szCs w:val="24"/>
        </w:rPr>
        <w:t>Congenital infection with malaria is an important component of the burden of malaria among neonates. In Ghana, studies have shown that, 2.2% or more of neonates are infected with malaria at birth even though the recommended Intermittent Preventive Treatment in pregnancy (</w:t>
      </w:r>
      <w:r w:rsidRPr="004841CD">
        <w:rPr>
          <w:rFonts w:eastAsia="Times New Roman"/>
          <w:szCs w:val="24"/>
        </w:rPr>
        <w:t>IPTp</w:t>
      </w:r>
      <w:r>
        <w:rPr>
          <w:rFonts w:eastAsia="Times New Roman"/>
          <w:szCs w:val="24"/>
        </w:rPr>
        <w:t xml:space="preserve">) intake among pregnant women across the country is more than a third. Though at these level of prevalence </w:t>
      </w:r>
      <w:r>
        <w:rPr>
          <w:rFonts w:eastAsia="Times New Roman"/>
          <w:szCs w:val="24"/>
        </w:rPr>
        <w:lastRenderedPageBreak/>
        <w:t>it may seem insignificant</w:t>
      </w:r>
      <w:r w:rsidRPr="00DB03E9">
        <w:rPr>
          <w:rFonts w:eastAsia="Times New Roman"/>
          <w:szCs w:val="24"/>
        </w:rPr>
        <w:t xml:space="preserve">, </w:t>
      </w:r>
      <w:r w:rsidRPr="00143AFF">
        <w:rPr>
          <w:rFonts w:eastAsia="Times New Roman"/>
          <w:szCs w:val="24"/>
        </w:rPr>
        <w:t>a proportion of the new borns with a congenital infection are recruited into the asymptomatically infected (</w:t>
      </w:r>
      <w:r w:rsidRPr="00143AFF">
        <w:rPr>
          <w:rFonts w:eastAsia="Times New Roman"/>
          <w:b/>
          <w:szCs w:val="24"/>
        </w:rPr>
        <w:t>Ia)</w:t>
      </w:r>
      <w:r w:rsidRPr="00143AFF">
        <w:rPr>
          <w:rFonts w:eastAsia="Times New Roman"/>
          <w:szCs w:val="24"/>
        </w:rPr>
        <w:t xml:space="preserve"> compartment </w:t>
      </w:r>
      <w:r>
        <w:rPr>
          <w:rFonts w:eastAsia="Times New Roman"/>
          <w:color w:val="FF0000"/>
          <w:szCs w:val="24"/>
        </w:rPr>
        <w:fldChar w:fldCharType="begin"/>
      </w:r>
      <w:r w:rsidR="006F1B7D">
        <w:rPr>
          <w:rFonts w:eastAsia="Times New Roman"/>
          <w:color w:val="FF0000"/>
          <w:szCs w:val="24"/>
        </w:rPr>
        <w:instrText xml:space="preserve"> ADDIN ZOTERO_ITEM CSL_CITATION {"citationID":"r52BqEhB","properties":{"formattedCitation":"[3,4,6,7]","plainCitation":"[3,4,6,7]","noteIndex":0},"citationItems":[{"id":1107,"uris":["http://zotero.org/users/584652/items/46CR7B2T"],"uri":["http://zotero.org/users/584652/items/46CR7B2T"],"itemData":{"id":1107,"type":"article-journal","container-title":"Malaria journal","issue":"1","page":"17","source":"Google Scholar","title":"Prevalence of congenital malaria in high-risk Ghanaian newborns: a cross-sectional study","title-short":"Prevalence of congenital malaria in high-risk Ghanaian newborns","volume":"12","author":[{"family":"Enweronu-Laryea","given":"Christabel C."},{"family":"Adjei","given":"George O."},{"family":"Mensah","given":"Benjamin"},{"family":"Duah","given":"Nancy"},{"family":"Quashie","given":"Neils B."}],"issued":{"date-parts":[["2013"]]}}},{"id":1592,"uris":["http://zotero.org/users/584652/items/SATUU94W"],"uri":["http://zotero.org/users/584652/items/SATUU94W"],"itemData":{"id":1592,"type":"article","title":"Preventive treatment of Malaria in  Pregnancy, maternally transferred antibodies to  malaria and the risk of clinical malaria in  a  five year Birth  cohort in Ghana","author":[{"family":"Unpublished","given":""}],"issued":{"date-parts":[["2014"]]}}},{"id":1143,"uris":["http://zotero.org/users/584652/items/KC7RAHJE"],"uri":["http://zotero.org/users/584652/items/KC7RAHJE"],"itemData":{"id":1143,"type":"report","title":"NMCP Annual Bulletin","author":[{"family":"NMCP,Ghana","given":""}],"issued":{"date-parts":[["2016"]]}}},{"id":1135,"uris":["http://zotero.org/users/584652/items/EFEU22RQ"],"uri":["http://zotero.org/users/584652/items/EFEU22RQ"],"itemData":{"id":1135,"type":"article-journal","container-title":"Tropical Medicine &amp; International Health","DOI":"10.1111/j.1365-3156.2007.01931.x","ISSN":"13602276","issue":"11","language":"en","page":"1279-1287","source":"CrossRef","title":"Epidemiology of congenital malaria in Nigeria: a multi-centre study: Epidemiology of congenital malaria in Nigeria","title-short":"Epidemiology of congenital malaria in Nigeria","volume":"12","author":[{"family":"Falade","given":"Catherine"},{"family":"Mokuolu","given":"Olugbenga"},{"family":"Okafor","given":"Henrietta"},{"family":"Orogade","given":"Adeola"},{"family":"Falade","given":"Adegoke"},{"family":"Adedoyin","given":"Olanrewaju"},{"family":"Oguonu","given":"Tagbo"},{"family":"Aisha","given":"Maman"},{"family":"Hamer","given":"Davidson H."},{"family":"Callahan","given":"Michael V."}],"issued":{"date-parts":[["2007",10,23]]}}}],"schema":"https://github.com/citation-style-language/schema/raw/master/csl-citation.json"} </w:instrText>
      </w:r>
      <w:r>
        <w:rPr>
          <w:rFonts w:eastAsia="Times New Roman"/>
          <w:color w:val="FF0000"/>
          <w:szCs w:val="24"/>
        </w:rPr>
        <w:fldChar w:fldCharType="separate"/>
      </w:r>
      <w:r w:rsidRPr="00824AB7">
        <w:t>[3,4,6,7]</w:t>
      </w:r>
      <w:r>
        <w:rPr>
          <w:rFonts w:eastAsia="Times New Roman"/>
          <w:color w:val="FF0000"/>
          <w:szCs w:val="24"/>
        </w:rPr>
        <w:fldChar w:fldCharType="end"/>
      </w:r>
      <w:r w:rsidRPr="00DB21A1">
        <w:rPr>
          <w:rFonts w:eastAsia="Times New Roman"/>
          <w:color w:val="FF0000"/>
          <w:szCs w:val="24"/>
        </w:rPr>
        <w:t>.</w:t>
      </w:r>
    </w:p>
    <w:p w14:paraId="5496F94A" w14:textId="77777777" w:rsidR="007E1F9B" w:rsidRDefault="007E1F9B" w:rsidP="002B6379">
      <w:pPr>
        <w:spacing w:after="0" w:line="480" w:lineRule="auto"/>
        <w:jc w:val="both"/>
        <w:rPr>
          <w:rFonts w:eastAsia="Times New Roman"/>
          <w:color w:val="FF0000"/>
          <w:szCs w:val="24"/>
        </w:rPr>
      </w:pPr>
    </w:p>
    <w:p w14:paraId="3EE67BE7" w14:textId="1851F2E2" w:rsidR="007E1F9B" w:rsidRPr="00143AFF" w:rsidRDefault="007E1F9B" w:rsidP="002B6379">
      <w:pPr>
        <w:spacing w:after="0" w:line="480" w:lineRule="auto"/>
        <w:jc w:val="both"/>
        <w:rPr>
          <w:rFonts w:eastAsia="Times New Roman"/>
          <w:szCs w:val="24"/>
        </w:rPr>
      </w:pPr>
      <w:r w:rsidRPr="00143AFF">
        <w:rPr>
          <w:rFonts w:eastAsia="Times New Roman"/>
          <w:szCs w:val="24"/>
        </w:rPr>
        <w:t xml:space="preserve">From Fig 1a, </w:t>
      </w:r>
      <w:r w:rsidRPr="00143AFF">
        <w:rPr>
          <w:rFonts w:eastAsia="Times New Roman"/>
          <w:b/>
          <w:szCs w:val="24"/>
        </w:rPr>
        <w:t>P</w:t>
      </w:r>
      <w:r w:rsidRPr="00143AFF">
        <w:rPr>
          <w:rFonts w:eastAsia="Times New Roman"/>
          <w:b/>
          <w:szCs w:val="24"/>
          <w:vertAlign w:val="subscript"/>
        </w:rPr>
        <w:t>n</w:t>
      </w:r>
      <w:r w:rsidRPr="00143AFF">
        <w:rPr>
          <w:rFonts w:eastAsia="Times New Roman"/>
          <w:szCs w:val="24"/>
          <w:vertAlign w:val="subscript"/>
        </w:rPr>
        <w:t xml:space="preserve"> , </w:t>
      </w:r>
      <w:r w:rsidRPr="00143AFF">
        <w:rPr>
          <w:rFonts w:eastAsia="Times New Roman"/>
          <w:b/>
          <w:szCs w:val="24"/>
        </w:rPr>
        <w:t>P</w:t>
      </w:r>
      <w:r w:rsidRPr="00143AFF">
        <w:rPr>
          <w:rFonts w:eastAsia="Times New Roman"/>
          <w:b/>
          <w:szCs w:val="24"/>
          <w:vertAlign w:val="subscript"/>
        </w:rPr>
        <w:t>m</w:t>
      </w:r>
      <w:r w:rsidRPr="00143AFF">
        <w:rPr>
          <w:rFonts w:eastAsia="Times New Roman"/>
          <w:szCs w:val="24"/>
          <w:vertAlign w:val="subscript"/>
        </w:rPr>
        <w:t xml:space="preserve"> </w:t>
      </w:r>
      <w:r w:rsidRPr="00143AFF">
        <w:rPr>
          <w:rFonts w:eastAsia="Times New Roman"/>
          <w:szCs w:val="24"/>
        </w:rPr>
        <w:t>and</w:t>
      </w:r>
      <w:r w:rsidRPr="00143AFF">
        <w:rPr>
          <w:rFonts w:eastAsia="Times New Roman"/>
          <w:szCs w:val="24"/>
          <w:vertAlign w:val="subscript"/>
        </w:rPr>
        <w:t xml:space="preserve"> </w:t>
      </w:r>
      <w:r w:rsidRPr="00143AFF">
        <w:rPr>
          <w:rFonts w:eastAsia="Times New Roman"/>
          <w:b/>
          <w:szCs w:val="24"/>
        </w:rPr>
        <w:t>P</w:t>
      </w:r>
      <w:r w:rsidRPr="00143AFF">
        <w:rPr>
          <w:rFonts w:eastAsia="Times New Roman"/>
          <w:b/>
          <w:szCs w:val="24"/>
          <w:vertAlign w:val="subscript"/>
        </w:rPr>
        <w:t>x</w:t>
      </w:r>
      <w:r w:rsidRPr="00143AFF">
        <w:rPr>
          <w:rFonts w:eastAsia="Times New Roman"/>
          <w:szCs w:val="24"/>
          <w:vertAlign w:val="subscript"/>
        </w:rPr>
        <w:t xml:space="preserve"> </w:t>
      </w:r>
      <w:r w:rsidRPr="00143AFF">
        <w:rPr>
          <w:rFonts w:eastAsia="Times New Roman"/>
          <w:szCs w:val="24"/>
        </w:rPr>
        <w:t xml:space="preserve"> are respectively proportions of the children under, population 6 and above and the proportion of pregnant women from the adult population that are recruited into the susceptible compartments. </w:t>
      </w:r>
      <w:r w:rsidRPr="00143AFF">
        <w:rPr>
          <w:rFonts w:eastAsia="Times New Roman"/>
          <w:b/>
          <w:szCs w:val="24"/>
        </w:rPr>
        <w:t>N</w:t>
      </w:r>
      <w:r w:rsidRPr="00143AFF">
        <w:rPr>
          <w:rFonts w:eastAsia="Times New Roman"/>
          <w:b/>
          <w:szCs w:val="24"/>
          <w:vertAlign w:val="subscript"/>
        </w:rPr>
        <w:t>h</w:t>
      </w:r>
      <w:r w:rsidRPr="00143AFF">
        <w:rPr>
          <w:rFonts w:eastAsia="Times New Roman"/>
          <w:szCs w:val="24"/>
          <w:vertAlign w:val="subscript"/>
        </w:rPr>
        <w:t xml:space="preserve"> </w:t>
      </w:r>
      <w:r w:rsidRPr="00143AFF">
        <w:rPr>
          <w:rFonts w:eastAsia="Times New Roman"/>
          <w:szCs w:val="24"/>
        </w:rPr>
        <w:t xml:space="preserve">and </w:t>
      </w:r>
      <w:r w:rsidRPr="00143AFF">
        <w:rPr>
          <w:rFonts w:eastAsia="Times New Roman"/>
          <w:b/>
          <w:szCs w:val="24"/>
        </w:rPr>
        <w:t>b</w:t>
      </w:r>
      <w:r w:rsidRPr="00143AFF">
        <w:rPr>
          <w:rFonts w:eastAsia="Times New Roman"/>
          <w:b/>
          <w:szCs w:val="24"/>
          <w:vertAlign w:val="subscript"/>
        </w:rPr>
        <w:t>n</w:t>
      </w:r>
      <w:r w:rsidRPr="00143AFF">
        <w:rPr>
          <w:rFonts w:eastAsia="Times New Roman"/>
          <w:szCs w:val="24"/>
        </w:rPr>
        <w:t xml:space="preserve"> represent the population size and life expectancy.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λ</m:t>
            </m:r>
          </m:e>
          <m:sub>
            <m:r>
              <m:rPr>
                <m:sty m:val="bi"/>
              </m:rPr>
              <w:rPr>
                <w:rFonts w:ascii="Cambria Math" w:eastAsia="Times New Roman" w:hAnsi="Cambria Math"/>
                <w:sz w:val="28"/>
                <w:szCs w:val="28"/>
              </w:rPr>
              <m:t>m</m:t>
            </m:r>
          </m:sub>
        </m:sSub>
      </m:oMath>
      <w:r w:rsidRPr="00143AFF">
        <w:rPr>
          <w:rFonts w:eastAsia="Times New Roman"/>
          <w:b/>
          <w:sz w:val="28"/>
          <w:szCs w:val="28"/>
        </w:rPr>
        <w:t xml:space="preserve"> </w:t>
      </w:r>
      <w:r w:rsidRPr="00143AFF">
        <w:rPr>
          <w:rFonts w:eastAsia="Times New Roman"/>
          <w:szCs w:val="24"/>
        </w:rPr>
        <w:t>represents the force of infection from mosquito to human transmission.</w:t>
      </w:r>
    </w:p>
    <w:p w14:paraId="2B2C159A" w14:textId="77777777" w:rsidR="007E1F9B" w:rsidRPr="004841CD" w:rsidRDefault="007E1F9B" w:rsidP="002B6379">
      <w:pPr>
        <w:spacing w:after="0" w:line="480" w:lineRule="auto"/>
        <w:jc w:val="both"/>
        <w:rPr>
          <w:rFonts w:eastAsia="Times New Roman"/>
          <w:szCs w:val="24"/>
        </w:rPr>
      </w:pPr>
      <w:r>
        <w:rPr>
          <w:rFonts w:eastAsia="Times New Roman"/>
          <w:color w:val="FF0000"/>
          <w:szCs w:val="24"/>
        </w:rPr>
        <w:t xml:space="preserve"> </w:t>
      </w:r>
    </w:p>
    <w:p w14:paraId="55456FC3" w14:textId="77777777" w:rsidR="007E1F9B" w:rsidRPr="00DB21A1" w:rsidRDefault="007E1F9B" w:rsidP="002B6379">
      <w:pPr>
        <w:spacing w:after="0" w:line="480" w:lineRule="auto"/>
        <w:jc w:val="both"/>
        <w:rPr>
          <w:rFonts w:eastAsia="Times New Roman"/>
          <w:b/>
          <w:szCs w:val="24"/>
        </w:rPr>
      </w:pPr>
      <w:r w:rsidRPr="00DB21A1">
        <w:rPr>
          <w:rFonts w:eastAsia="Times New Roman"/>
          <w:b/>
          <w:szCs w:val="24"/>
        </w:rPr>
        <w:t>Exposed/Latent period in humans</w:t>
      </w:r>
    </w:p>
    <w:p w14:paraId="63DD7C3B" w14:textId="77777777" w:rsidR="007E1F9B" w:rsidRDefault="007E1F9B" w:rsidP="002B6379">
      <w:pPr>
        <w:spacing w:after="0" w:line="480" w:lineRule="auto"/>
        <w:jc w:val="both"/>
        <w:rPr>
          <w:rFonts w:eastAsia="Times New Roman"/>
          <w:szCs w:val="24"/>
        </w:rPr>
      </w:pPr>
      <w:r w:rsidRPr="004841CD">
        <w:rPr>
          <w:rFonts w:eastAsia="Times New Roman"/>
          <w:szCs w:val="24"/>
        </w:rPr>
        <w:t>Upon infection (</w:t>
      </w:r>
      <w:r>
        <w:rPr>
          <w:rFonts w:eastAsia="Times New Roman"/>
          <w:szCs w:val="24"/>
        </w:rPr>
        <w:t xml:space="preserve">through </w:t>
      </w:r>
      <w:r w:rsidRPr="004841CD">
        <w:rPr>
          <w:rFonts w:eastAsia="Times New Roman"/>
          <w:szCs w:val="24"/>
        </w:rPr>
        <w:t>force of infection</w:t>
      </w:r>
      <w:r>
        <w:rPr>
          <w:rFonts w:eastAsia="Times New Roman"/>
          <w:szCs w:val="24"/>
        </w:rPr>
        <w:t xml:space="preserve">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λ</m:t>
            </m:r>
          </m:e>
          <m:sub>
            <m:r>
              <m:rPr>
                <m:sty m:val="bi"/>
              </m:rPr>
              <w:rPr>
                <w:rFonts w:ascii="Cambria Math" w:eastAsia="Times New Roman" w:hAnsi="Cambria Math"/>
                <w:sz w:val="28"/>
                <w:szCs w:val="28"/>
              </w:rPr>
              <m:t>m</m:t>
            </m:r>
          </m:sub>
        </m:sSub>
      </m:oMath>
      <w:r>
        <w:rPr>
          <w:rFonts w:eastAsia="Times New Roman"/>
          <w:szCs w:val="24"/>
        </w:rPr>
        <w:t xml:space="preserve"> </w:t>
      </w:r>
      <w:r w:rsidRPr="004841CD">
        <w:rPr>
          <w:rFonts w:eastAsia="Times New Roman"/>
          <w:szCs w:val="24"/>
        </w:rPr>
        <w:t xml:space="preserve"> described later), following a successful mosquito bite on a susceptible human, progress is made into the latent state (liver stage infection) of infection</w:t>
      </w:r>
      <w:r w:rsidRPr="00950DEE">
        <w:rPr>
          <w:rFonts w:eastAsia="Times New Roman"/>
          <w:szCs w:val="24"/>
        </w:rPr>
        <w:t xml:space="preserve"> (</w:t>
      </w:r>
      <w:r w:rsidRPr="00950DEE">
        <w:rPr>
          <w:rFonts w:eastAsia="Times New Roman"/>
          <w:b/>
          <w:szCs w:val="24"/>
        </w:rPr>
        <w:t>L1,</w:t>
      </w:r>
      <w:r w:rsidRPr="00066237">
        <w:rPr>
          <w:rFonts w:eastAsia="Times New Roman"/>
          <w:b/>
          <w:szCs w:val="24"/>
        </w:rPr>
        <w:t xml:space="preserve"> </w:t>
      </w:r>
      <w:r w:rsidRPr="00636EFC">
        <w:rPr>
          <w:rFonts w:eastAsia="Times New Roman"/>
          <w:b/>
          <w:szCs w:val="24"/>
        </w:rPr>
        <w:t>L2</w:t>
      </w:r>
      <w:r w:rsidRPr="00636EFC">
        <w:rPr>
          <w:rFonts w:eastAsia="Times New Roman"/>
          <w:szCs w:val="24"/>
        </w:rPr>
        <w:t xml:space="preserve"> and </w:t>
      </w:r>
      <w:r w:rsidRPr="00636EFC">
        <w:rPr>
          <w:rFonts w:eastAsia="Times New Roman"/>
          <w:b/>
          <w:szCs w:val="24"/>
        </w:rPr>
        <w:t>L3</w:t>
      </w:r>
      <w:r w:rsidRPr="00D82707">
        <w:rPr>
          <w:rFonts w:eastAsia="Times New Roman"/>
          <w:b/>
          <w:szCs w:val="24"/>
        </w:rPr>
        <w:t xml:space="preserve"> </w:t>
      </w:r>
      <w:r w:rsidRPr="00290B41">
        <w:rPr>
          <w:rFonts w:eastAsia="Times New Roman"/>
          <w:szCs w:val="24"/>
        </w:rPr>
        <w:t>respectively for the children under 6 years, the rest of the population and pregnant women</w:t>
      </w:r>
      <w:r w:rsidRPr="00930900">
        <w:rPr>
          <w:rFonts w:eastAsia="Times New Roman"/>
          <w:b/>
          <w:szCs w:val="24"/>
        </w:rPr>
        <w:t xml:space="preserve"> </w:t>
      </w:r>
      <w:r w:rsidRPr="00C81EAF">
        <w:rPr>
          <w:rFonts w:eastAsia="Times New Roman"/>
          <w:szCs w:val="24"/>
        </w:rPr>
        <w:t>)</w:t>
      </w:r>
      <w:r>
        <w:rPr>
          <w:rFonts w:eastAsia="Times New Roman"/>
          <w:szCs w:val="24"/>
        </w:rPr>
        <w:t xml:space="preserve"> as shown on Fig 1b</w:t>
      </w:r>
      <w:r w:rsidRPr="00C81EAF">
        <w:rPr>
          <w:rFonts w:eastAsia="Times New Roman"/>
          <w:szCs w:val="24"/>
        </w:rPr>
        <w:t>.</w:t>
      </w:r>
    </w:p>
    <w:p w14:paraId="42F3CEF5" w14:textId="77777777" w:rsidR="007E1F9B" w:rsidRDefault="007E1F9B" w:rsidP="007E1F9B">
      <w:pPr>
        <w:spacing w:after="0" w:line="480" w:lineRule="auto"/>
        <w:jc w:val="center"/>
        <w:rPr>
          <w:rFonts w:eastAsia="Times New Roman"/>
          <w:szCs w:val="24"/>
        </w:rPr>
      </w:pPr>
      <w:r w:rsidRPr="00252711">
        <w:rPr>
          <w:rFonts w:eastAsia="Times New Roman"/>
          <w:noProof/>
          <w:szCs w:val="24"/>
          <w:lang w:val="en-GB" w:eastAsia="en-GB"/>
        </w:rPr>
        <w:drawing>
          <wp:inline distT="0" distB="0" distL="0" distR="0" wp14:anchorId="4129C8DC" wp14:editId="7B0B81DA">
            <wp:extent cx="3695700" cy="2219325"/>
            <wp:effectExtent l="0" t="0" r="0" b="9525"/>
            <wp:docPr id="2" name="Picture 2" descr="C:\Users\AWNTIM001\Google Drive\Cape Town 2019\Term 2\Paper 5\expos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WNTIM001\Google Drive\Cape Town 2019\Term 2\Paper 5\exposed.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95700" cy="2219325"/>
                    </a:xfrm>
                    <a:prstGeom prst="rect">
                      <a:avLst/>
                    </a:prstGeom>
                    <a:noFill/>
                    <a:ln>
                      <a:noFill/>
                    </a:ln>
                  </pic:spPr>
                </pic:pic>
              </a:graphicData>
            </a:graphic>
          </wp:inline>
        </w:drawing>
      </w:r>
    </w:p>
    <w:p w14:paraId="1E575995" w14:textId="77777777" w:rsidR="007E1F9B" w:rsidRPr="004C2A45" w:rsidRDefault="007E1F9B" w:rsidP="007E1F9B">
      <w:pPr>
        <w:spacing w:after="0" w:line="240" w:lineRule="auto"/>
        <w:rPr>
          <w:rFonts w:eastAsia="Times New Roman"/>
          <w:b/>
          <w:szCs w:val="24"/>
        </w:rPr>
      </w:pPr>
      <w:r w:rsidRPr="004C2A45">
        <w:rPr>
          <w:rFonts w:eastAsia="Times New Roman"/>
          <w:b/>
          <w:szCs w:val="24"/>
        </w:rPr>
        <w:t>Fig 1</w:t>
      </w:r>
      <w:r>
        <w:rPr>
          <w:rFonts w:eastAsia="Times New Roman"/>
          <w:b/>
          <w:szCs w:val="24"/>
        </w:rPr>
        <w:t>b</w:t>
      </w:r>
      <w:r w:rsidRPr="004C2A45">
        <w:rPr>
          <w:rFonts w:eastAsia="Times New Roman"/>
          <w:b/>
          <w:szCs w:val="24"/>
        </w:rPr>
        <w:t xml:space="preserve"> </w:t>
      </w:r>
      <w:r>
        <w:rPr>
          <w:rFonts w:eastAsia="Times New Roman"/>
          <w:b/>
          <w:szCs w:val="24"/>
        </w:rPr>
        <w:t>Model compartments for exposed</w:t>
      </w:r>
      <w:r w:rsidRPr="004C2A45">
        <w:rPr>
          <w:rFonts w:eastAsia="Times New Roman"/>
          <w:b/>
          <w:szCs w:val="24"/>
        </w:rPr>
        <w:t xml:space="preserve"> pop</w:t>
      </w:r>
      <w:r>
        <w:rPr>
          <w:rFonts w:eastAsia="Times New Roman"/>
          <w:b/>
          <w:szCs w:val="24"/>
        </w:rPr>
        <w:t>ulations</w:t>
      </w:r>
    </w:p>
    <w:p w14:paraId="18147509" w14:textId="77777777" w:rsidR="007E1F9B" w:rsidRDefault="007E1F9B" w:rsidP="007E1F9B">
      <w:pPr>
        <w:spacing w:after="0" w:line="480" w:lineRule="auto"/>
        <w:jc w:val="center"/>
        <w:rPr>
          <w:rFonts w:eastAsia="Times New Roman"/>
          <w:szCs w:val="24"/>
        </w:rPr>
      </w:pPr>
    </w:p>
    <w:p w14:paraId="63DA8DD1" w14:textId="77777777" w:rsidR="007E1F9B" w:rsidRPr="00F5697C" w:rsidRDefault="007E1F9B" w:rsidP="002B6379">
      <w:pPr>
        <w:spacing w:after="0" w:line="480" w:lineRule="auto"/>
        <w:jc w:val="both"/>
        <w:rPr>
          <w:rFonts w:eastAsia="Times New Roman"/>
          <w:szCs w:val="24"/>
        </w:rPr>
      </w:pPr>
      <w:r w:rsidRPr="00C81EAF">
        <w:rPr>
          <w:rFonts w:eastAsia="Times New Roman"/>
          <w:szCs w:val="24"/>
        </w:rPr>
        <w:t xml:space="preserve">Until the </w:t>
      </w:r>
      <w:r w:rsidRPr="006E0BE5">
        <w:rPr>
          <w:rFonts w:eastAsia="Times New Roman"/>
          <w:szCs w:val="24"/>
        </w:rPr>
        <w:t>blood stage</w:t>
      </w:r>
      <w:r w:rsidRPr="008F4A6B">
        <w:rPr>
          <w:rFonts w:eastAsia="Times New Roman"/>
          <w:szCs w:val="24"/>
        </w:rPr>
        <w:t xml:space="preserve"> </w:t>
      </w:r>
      <w:r w:rsidRPr="008F4A6B">
        <w:rPr>
          <w:rFonts w:eastAsia="Times New Roman"/>
          <w:b/>
          <w:szCs w:val="24"/>
        </w:rPr>
        <w:t>Ic</w:t>
      </w:r>
      <w:r w:rsidRPr="008F4A6B">
        <w:rPr>
          <w:rFonts w:eastAsia="Times New Roman"/>
          <w:szCs w:val="24"/>
        </w:rPr>
        <w:t xml:space="preserve"> (clinical malaria infection), </w:t>
      </w:r>
      <w:r w:rsidRPr="004841CD">
        <w:rPr>
          <w:rFonts w:eastAsia="Times New Roman"/>
          <w:b/>
          <w:szCs w:val="24"/>
        </w:rPr>
        <w:t>Isd</w:t>
      </w:r>
      <w:r w:rsidRPr="004841CD">
        <w:rPr>
          <w:rFonts w:eastAsia="Times New Roman"/>
          <w:szCs w:val="24"/>
        </w:rPr>
        <w:t xml:space="preserve"> (severe disease),</w:t>
      </w:r>
      <w:r w:rsidRPr="004841CD">
        <w:rPr>
          <w:rFonts w:eastAsia="Times New Roman"/>
          <w:b/>
          <w:szCs w:val="24"/>
        </w:rPr>
        <w:t>Ia</w:t>
      </w:r>
      <w:r w:rsidRPr="004841CD">
        <w:rPr>
          <w:rFonts w:eastAsia="Times New Roman"/>
          <w:szCs w:val="24"/>
        </w:rPr>
        <w:t xml:space="preserve"> (asymptomatic infection) and potentially </w:t>
      </w:r>
      <w:r w:rsidRPr="004841CD">
        <w:rPr>
          <w:rFonts w:eastAsia="Times New Roman"/>
          <w:b/>
          <w:szCs w:val="24"/>
        </w:rPr>
        <w:t>Ism</w:t>
      </w:r>
      <w:r w:rsidRPr="004841CD">
        <w:rPr>
          <w:rFonts w:eastAsia="Times New Roman"/>
          <w:szCs w:val="24"/>
        </w:rPr>
        <w:t xml:space="preserve"> (sub-microscopic infection) it is assumed that all latent states (</w:t>
      </w:r>
      <w:r w:rsidRPr="004841CD">
        <w:rPr>
          <w:rFonts w:eastAsia="Times New Roman"/>
          <w:b/>
          <w:szCs w:val="24"/>
        </w:rPr>
        <w:t>L1</w:t>
      </w:r>
      <w:r w:rsidRPr="004841CD">
        <w:rPr>
          <w:rFonts w:eastAsia="Times New Roman"/>
          <w:szCs w:val="24"/>
        </w:rPr>
        <w:t xml:space="preserve">, </w:t>
      </w:r>
      <w:r w:rsidRPr="004841CD">
        <w:rPr>
          <w:rFonts w:eastAsia="Times New Roman"/>
          <w:b/>
          <w:szCs w:val="24"/>
        </w:rPr>
        <w:t>L2</w:t>
      </w:r>
      <w:r w:rsidRPr="004841CD">
        <w:rPr>
          <w:rFonts w:eastAsia="Times New Roman"/>
          <w:szCs w:val="24"/>
        </w:rPr>
        <w:t xml:space="preserve"> and </w:t>
      </w:r>
      <w:r w:rsidRPr="004841CD">
        <w:rPr>
          <w:rFonts w:eastAsia="Times New Roman"/>
          <w:b/>
          <w:szCs w:val="24"/>
        </w:rPr>
        <w:t>L3</w:t>
      </w:r>
      <w:r w:rsidRPr="004841CD">
        <w:rPr>
          <w:rFonts w:eastAsia="Times New Roman"/>
          <w:szCs w:val="24"/>
        </w:rPr>
        <w:t>) infections are non-infectious and undetectable by either Rapid Diagnostic Test (RDT) or microscopy.</w:t>
      </w:r>
      <w:r>
        <w:rPr>
          <w:rFonts w:eastAsia="Times New Roman"/>
          <w:szCs w:val="24"/>
        </w:rPr>
        <w:t xml:space="preserve"> </w:t>
      </w:r>
      <w:r w:rsidRPr="00143AFF">
        <w:rPr>
          <w:rFonts w:eastAsia="Times New Roman"/>
          <w:b/>
          <w:szCs w:val="24"/>
        </w:rPr>
        <w:t>pc1</w:t>
      </w:r>
      <w:r>
        <w:rPr>
          <w:rFonts w:eastAsia="Times New Roman"/>
          <w:szCs w:val="24"/>
        </w:rPr>
        <w:t xml:space="preserve">, </w:t>
      </w:r>
      <w:r w:rsidRPr="00143AFF">
        <w:rPr>
          <w:rFonts w:eastAsia="Times New Roman"/>
          <w:b/>
          <w:szCs w:val="24"/>
        </w:rPr>
        <w:t>pc2</w:t>
      </w:r>
      <w:r>
        <w:rPr>
          <w:rFonts w:eastAsia="Times New Roman"/>
          <w:szCs w:val="24"/>
        </w:rPr>
        <w:t xml:space="preserve"> and </w:t>
      </w:r>
      <w:r w:rsidRPr="004841CD">
        <w:rPr>
          <w:rFonts w:eastAsia="Times New Roman"/>
          <w:szCs w:val="24"/>
        </w:rPr>
        <w:t>ppc</w:t>
      </w:r>
      <w:r>
        <w:rPr>
          <w:rFonts w:eastAsia="Times New Roman"/>
          <w:szCs w:val="24"/>
        </w:rPr>
        <w:t xml:space="preserve"> are the probabilities of children under 6, adults above 6 years and pregnant women </w:t>
      </w:r>
      <w:r>
        <w:rPr>
          <w:rFonts w:eastAsia="Times New Roman"/>
          <w:szCs w:val="24"/>
        </w:rPr>
        <w:lastRenderedPageBreak/>
        <w:t xml:space="preserve">respectively developing symptomatic malaria after being exposed whiles </w:t>
      </w:r>
      <w:r w:rsidRPr="00143AFF">
        <w:rPr>
          <w:rFonts w:eastAsia="Times New Roman"/>
          <w:b/>
          <w:szCs w:val="24"/>
        </w:rPr>
        <w:t>pa1</w:t>
      </w:r>
      <w:r>
        <w:rPr>
          <w:rFonts w:eastAsia="Times New Roman"/>
          <w:szCs w:val="24"/>
        </w:rPr>
        <w:t xml:space="preserve">, </w:t>
      </w:r>
      <w:r w:rsidRPr="00143AFF">
        <w:rPr>
          <w:rFonts w:eastAsia="Times New Roman"/>
          <w:b/>
          <w:szCs w:val="24"/>
        </w:rPr>
        <w:t>pa2</w:t>
      </w:r>
      <w:r>
        <w:rPr>
          <w:rFonts w:eastAsia="Times New Roman"/>
          <w:szCs w:val="24"/>
        </w:rPr>
        <w:t xml:space="preserve"> and </w:t>
      </w:r>
      <w:r w:rsidRPr="00143AFF">
        <w:rPr>
          <w:rFonts w:eastAsia="Times New Roman"/>
          <w:b/>
          <w:szCs w:val="24"/>
        </w:rPr>
        <w:t>ppa</w:t>
      </w:r>
      <w:r>
        <w:rPr>
          <w:rFonts w:eastAsia="Times New Roman"/>
          <w:szCs w:val="24"/>
        </w:rPr>
        <w:t xml:space="preserve"> are respectively for developing an asymptomatic malaria. Based on the conditional probability applied, the rest of the exposed develop sub-microscopic infection with a probability less those of symptomatic and asymptomatic malaria as shown on Fig 1 and 1b. </w:t>
      </w:r>
      <m:oMath>
        <m:r>
          <m:rPr>
            <m:sty m:val="bi"/>
          </m:rPr>
          <w:rPr>
            <w:rFonts w:ascii="Cambria Math" w:eastAsia="Times New Roman" w:hAnsi="Cambria Math"/>
            <w:sz w:val="28"/>
            <w:szCs w:val="28"/>
          </w:rPr>
          <m:t>γ</m:t>
        </m:r>
      </m:oMath>
      <w:r>
        <w:rPr>
          <w:rFonts w:eastAsia="Times New Roman"/>
          <w:b/>
          <w:sz w:val="28"/>
          <w:szCs w:val="28"/>
        </w:rPr>
        <w:t xml:space="preserve"> </w:t>
      </w:r>
      <w:r>
        <w:rPr>
          <w:rFonts w:eastAsia="Times New Roman"/>
          <w:szCs w:val="24"/>
        </w:rPr>
        <w:t>is the duration of incubation before the blood stages of infection occurs.</w:t>
      </w:r>
    </w:p>
    <w:p w14:paraId="527F89EE" w14:textId="77777777" w:rsidR="007E1F9B" w:rsidRPr="004841CD" w:rsidRDefault="007E1F9B" w:rsidP="007E1F9B">
      <w:pPr>
        <w:spacing w:after="0" w:line="480" w:lineRule="auto"/>
        <w:rPr>
          <w:rFonts w:eastAsia="Times New Roman"/>
          <w:szCs w:val="24"/>
        </w:rPr>
      </w:pPr>
    </w:p>
    <w:p w14:paraId="01DB44BC" w14:textId="77777777" w:rsidR="007E1F9B" w:rsidRPr="00DB21A1" w:rsidRDefault="007E1F9B" w:rsidP="007E1F9B">
      <w:pPr>
        <w:spacing w:after="0" w:line="480" w:lineRule="auto"/>
        <w:rPr>
          <w:rFonts w:eastAsia="Times New Roman"/>
          <w:b/>
          <w:szCs w:val="24"/>
        </w:rPr>
      </w:pPr>
      <w:r w:rsidRPr="00DB21A1">
        <w:rPr>
          <w:rFonts w:eastAsia="Times New Roman"/>
          <w:b/>
          <w:szCs w:val="24"/>
        </w:rPr>
        <w:t>Infected/Infectious stages</w:t>
      </w:r>
    </w:p>
    <w:p w14:paraId="53E88888" w14:textId="77777777" w:rsidR="007E1F9B" w:rsidRDefault="007E1F9B" w:rsidP="002B6379">
      <w:pPr>
        <w:spacing w:after="0" w:line="480" w:lineRule="auto"/>
        <w:jc w:val="both"/>
        <w:rPr>
          <w:rFonts w:eastAsia="Times New Roman"/>
          <w:szCs w:val="24"/>
        </w:rPr>
      </w:pPr>
      <w:r w:rsidRPr="004841CD">
        <w:rPr>
          <w:rFonts w:eastAsia="Times New Roman"/>
          <w:szCs w:val="24"/>
        </w:rPr>
        <w:t xml:space="preserve">While the asymptomatically infected population in </w:t>
      </w:r>
      <w:r w:rsidRPr="004841CD">
        <w:rPr>
          <w:rFonts w:eastAsia="Times New Roman"/>
          <w:b/>
          <w:szCs w:val="24"/>
        </w:rPr>
        <w:t>Ia</w:t>
      </w:r>
      <w:r>
        <w:rPr>
          <w:rFonts w:eastAsia="Times New Roman"/>
          <w:b/>
          <w:szCs w:val="24"/>
        </w:rPr>
        <w:t xml:space="preserve"> or Ism</w:t>
      </w:r>
      <w:r w:rsidRPr="004841CD">
        <w:rPr>
          <w:rFonts w:eastAsia="Times New Roman"/>
          <w:szCs w:val="24"/>
        </w:rPr>
        <w:t xml:space="preserve"> could make a transition into </w:t>
      </w:r>
      <w:r w:rsidRPr="00636EFC">
        <w:rPr>
          <w:rFonts w:eastAsia="Times New Roman"/>
          <w:szCs w:val="24"/>
        </w:rPr>
        <w:t>symptomatically infected (</w:t>
      </w:r>
      <w:r w:rsidRPr="00636EFC">
        <w:rPr>
          <w:rFonts w:eastAsia="Times New Roman"/>
          <w:b/>
          <w:szCs w:val="24"/>
        </w:rPr>
        <w:t>Ic</w:t>
      </w:r>
      <w:r w:rsidRPr="00D82707">
        <w:rPr>
          <w:rFonts w:eastAsia="Times New Roman"/>
          <w:b/>
          <w:szCs w:val="24"/>
        </w:rPr>
        <w:t>)</w:t>
      </w:r>
      <w:r w:rsidRPr="005E0036">
        <w:rPr>
          <w:rFonts w:eastAsia="Times New Roman"/>
          <w:szCs w:val="24"/>
        </w:rPr>
        <w:t xml:space="preserve"> compartment, perhaps due to waning immunity or being infected again (</w:t>
      </w:r>
      <w:r w:rsidR="008D7C5E" w:rsidRPr="005E0036">
        <w:rPr>
          <w:rFonts w:eastAsia="Times New Roman"/>
          <w:szCs w:val="24"/>
        </w:rPr>
        <w:t>superinfection</w:t>
      </w:r>
      <w:r w:rsidR="008D7C5E">
        <w:rPr>
          <w:rFonts w:eastAsia="Times New Roman"/>
          <w:szCs w:val="24"/>
        </w:rPr>
        <w:t xml:space="preserve"> in Fig 1c, </w:t>
      </w:r>
      <w:r w:rsidR="008D7C5E" w:rsidRPr="00496A9A">
        <w:rPr>
          <w:rFonts w:eastAsia="Times New Roman"/>
          <w:b/>
          <w:szCs w:val="24"/>
        </w:rPr>
        <w:t>SI</w:t>
      </w:r>
      <w:r w:rsidR="008D7C5E">
        <w:rPr>
          <w:rFonts w:eastAsia="Times New Roman"/>
          <w:szCs w:val="24"/>
        </w:rPr>
        <w:t xml:space="preserve"> in Fig 1</w:t>
      </w:r>
      <w:r w:rsidR="008D7C5E" w:rsidRPr="005E0036">
        <w:rPr>
          <w:rFonts w:eastAsia="Times New Roman"/>
          <w:szCs w:val="24"/>
        </w:rPr>
        <w:t>)</w:t>
      </w:r>
      <w:r w:rsidRPr="005E0036">
        <w:rPr>
          <w:rFonts w:eastAsia="Times New Roman"/>
          <w:szCs w:val="24"/>
        </w:rPr>
        <w:t xml:space="preserve">), a proportion of those in the </w:t>
      </w:r>
      <w:r w:rsidRPr="00B42608">
        <w:rPr>
          <w:rFonts w:eastAsia="Times New Roman"/>
          <w:b/>
          <w:szCs w:val="24"/>
        </w:rPr>
        <w:t>Ic</w:t>
      </w:r>
      <w:r w:rsidRPr="00B42608">
        <w:rPr>
          <w:rFonts w:eastAsia="Times New Roman"/>
          <w:szCs w:val="24"/>
        </w:rPr>
        <w:t xml:space="preserve"> compartment could also recover naturally into </w:t>
      </w:r>
      <w:r w:rsidRPr="00930900">
        <w:rPr>
          <w:rFonts w:eastAsia="Times New Roman"/>
          <w:b/>
          <w:szCs w:val="24"/>
        </w:rPr>
        <w:t>Ia</w:t>
      </w:r>
      <w:r w:rsidRPr="00930900">
        <w:rPr>
          <w:rFonts w:eastAsia="Times New Roman"/>
          <w:szCs w:val="24"/>
        </w:rPr>
        <w:t xml:space="preserve"> from where</w:t>
      </w:r>
      <w:r>
        <w:rPr>
          <w:rFonts w:eastAsia="Times New Roman"/>
          <w:szCs w:val="24"/>
        </w:rPr>
        <w:t xml:space="preserve">, if parasites loads are very low may not be detectable </w:t>
      </w:r>
      <w:r w:rsidRPr="00930900">
        <w:rPr>
          <w:rFonts w:eastAsia="Times New Roman"/>
          <w:szCs w:val="24"/>
        </w:rPr>
        <w:t>and</w:t>
      </w:r>
      <w:r>
        <w:rPr>
          <w:rFonts w:eastAsia="Times New Roman"/>
          <w:szCs w:val="24"/>
        </w:rPr>
        <w:t xml:space="preserve"> </w:t>
      </w:r>
      <w:r w:rsidRPr="00930900">
        <w:rPr>
          <w:rFonts w:eastAsia="Times New Roman"/>
          <w:szCs w:val="24"/>
        </w:rPr>
        <w:t>the</w:t>
      </w:r>
      <w:r>
        <w:rPr>
          <w:rFonts w:eastAsia="Times New Roman"/>
          <w:szCs w:val="24"/>
        </w:rPr>
        <w:t xml:space="preserve">refore classified </w:t>
      </w:r>
      <w:r w:rsidRPr="00930900">
        <w:rPr>
          <w:rFonts w:eastAsia="Times New Roman"/>
          <w:szCs w:val="24"/>
        </w:rPr>
        <w:t>into the sub-microscopic infection (</w:t>
      </w:r>
      <w:r w:rsidRPr="00C81EAF">
        <w:rPr>
          <w:rFonts w:eastAsia="Times New Roman"/>
          <w:b/>
          <w:szCs w:val="24"/>
        </w:rPr>
        <w:t>Ism)</w:t>
      </w:r>
      <w:r w:rsidRPr="00C81EAF">
        <w:rPr>
          <w:rFonts w:eastAsia="Times New Roman"/>
          <w:szCs w:val="24"/>
        </w:rPr>
        <w:t xml:space="preserve"> state</w:t>
      </w:r>
      <w:r>
        <w:rPr>
          <w:rFonts w:eastAsia="Times New Roman"/>
          <w:szCs w:val="24"/>
        </w:rPr>
        <w:t>.</w:t>
      </w:r>
    </w:p>
    <w:p w14:paraId="1ACAB801" w14:textId="77777777" w:rsidR="007E1F9B" w:rsidRDefault="009629A6" w:rsidP="007E1F9B">
      <w:pPr>
        <w:spacing w:after="0" w:line="480" w:lineRule="auto"/>
        <w:jc w:val="center"/>
        <w:rPr>
          <w:rFonts w:eastAsia="Times New Roman"/>
          <w:szCs w:val="24"/>
        </w:rPr>
      </w:pPr>
      <w:r w:rsidRPr="008F7463">
        <w:rPr>
          <w:rFonts w:eastAsia="Times New Roman"/>
          <w:noProof/>
          <w:szCs w:val="24"/>
          <w:lang w:val="en-GB" w:eastAsia="en-GB"/>
        </w:rPr>
        <w:drawing>
          <wp:inline distT="0" distB="0" distL="0" distR="0" wp14:anchorId="0381718C" wp14:editId="17EDCA53">
            <wp:extent cx="3524250" cy="3136446"/>
            <wp:effectExtent l="0" t="0" r="0" b="6985"/>
            <wp:docPr id="4" name="Picture 4" descr="C:\Users\AWNTIM001\Google Drive\Cape Town 2019\Term 2\Paper 5\infectio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WNTIM001\Google Drive\Cape Town 2019\Term 2\Paper 5\infectiou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36389" cy="3147250"/>
                    </a:xfrm>
                    <a:prstGeom prst="rect">
                      <a:avLst/>
                    </a:prstGeom>
                    <a:noFill/>
                    <a:ln>
                      <a:noFill/>
                    </a:ln>
                  </pic:spPr>
                </pic:pic>
              </a:graphicData>
            </a:graphic>
          </wp:inline>
        </w:drawing>
      </w:r>
    </w:p>
    <w:p w14:paraId="6E01CCBC" w14:textId="77777777" w:rsidR="007E1F9B" w:rsidRDefault="007E1F9B" w:rsidP="007E1F9B">
      <w:pPr>
        <w:spacing w:after="0" w:line="240" w:lineRule="auto"/>
        <w:rPr>
          <w:rFonts w:eastAsia="Times New Roman"/>
          <w:b/>
          <w:szCs w:val="24"/>
        </w:rPr>
      </w:pPr>
      <w:r w:rsidRPr="004C2A45">
        <w:rPr>
          <w:rFonts w:eastAsia="Times New Roman"/>
          <w:b/>
          <w:szCs w:val="24"/>
        </w:rPr>
        <w:t>Fig 1</w:t>
      </w:r>
      <w:r>
        <w:rPr>
          <w:rFonts w:eastAsia="Times New Roman"/>
          <w:b/>
          <w:szCs w:val="24"/>
        </w:rPr>
        <w:t>c</w:t>
      </w:r>
      <w:r w:rsidRPr="004C2A45">
        <w:rPr>
          <w:rFonts w:eastAsia="Times New Roman"/>
          <w:b/>
          <w:szCs w:val="24"/>
        </w:rPr>
        <w:t xml:space="preserve"> </w:t>
      </w:r>
      <w:r>
        <w:rPr>
          <w:rFonts w:eastAsia="Times New Roman"/>
          <w:b/>
          <w:szCs w:val="24"/>
        </w:rPr>
        <w:t>Model compartments for infectious (symptomatic, asymptomatic and sub-microscopic)</w:t>
      </w:r>
      <w:r w:rsidRPr="004C2A45">
        <w:rPr>
          <w:rFonts w:eastAsia="Times New Roman"/>
          <w:b/>
          <w:szCs w:val="24"/>
        </w:rPr>
        <w:t xml:space="preserve"> pop</w:t>
      </w:r>
      <w:r>
        <w:rPr>
          <w:rFonts w:eastAsia="Times New Roman"/>
          <w:b/>
          <w:szCs w:val="24"/>
        </w:rPr>
        <w:t>ulations</w:t>
      </w:r>
    </w:p>
    <w:p w14:paraId="56184859" w14:textId="77777777" w:rsidR="007E1F9B" w:rsidRDefault="007E1F9B" w:rsidP="007E1F9B">
      <w:pPr>
        <w:spacing w:after="0" w:line="240" w:lineRule="auto"/>
        <w:rPr>
          <w:rFonts w:eastAsia="Times New Roman"/>
          <w:b/>
          <w:szCs w:val="24"/>
        </w:rPr>
      </w:pPr>
    </w:p>
    <w:p w14:paraId="7C9C6881" w14:textId="77777777" w:rsidR="007E1F9B" w:rsidRPr="004C2A45" w:rsidRDefault="007E1F9B" w:rsidP="007E1F9B">
      <w:pPr>
        <w:spacing w:after="0" w:line="240" w:lineRule="auto"/>
        <w:rPr>
          <w:rFonts w:eastAsia="Times New Roman"/>
          <w:b/>
          <w:szCs w:val="24"/>
        </w:rPr>
      </w:pPr>
    </w:p>
    <w:p w14:paraId="17620577" w14:textId="77777777" w:rsidR="007E1F9B" w:rsidRPr="00636EFC" w:rsidRDefault="007E1F9B" w:rsidP="002B6379">
      <w:pPr>
        <w:spacing w:after="0" w:line="480" w:lineRule="auto"/>
        <w:jc w:val="both"/>
        <w:rPr>
          <w:rFonts w:eastAsia="Times New Roman"/>
          <w:szCs w:val="24"/>
        </w:rPr>
      </w:pPr>
      <w:r>
        <w:rPr>
          <w:rFonts w:eastAsia="Times New Roman"/>
          <w:szCs w:val="24"/>
        </w:rPr>
        <w:t xml:space="preserve">From the </w:t>
      </w:r>
      <w:r w:rsidRPr="001B5D61">
        <w:rPr>
          <w:rFonts w:eastAsia="Times New Roman"/>
          <w:b/>
          <w:szCs w:val="24"/>
        </w:rPr>
        <w:t>Ism</w:t>
      </w:r>
      <w:r>
        <w:rPr>
          <w:rFonts w:eastAsia="Times New Roman"/>
          <w:szCs w:val="24"/>
        </w:rPr>
        <w:t xml:space="preserve"> stage,</w:t>
      </w:r>
      <w:r w:rsidRPr="00C81EAF">
        <w:rPr>
          <w:rFonts w:eastAsia="Times New Roman"/>
          <w:szCs w:val="24"/>
        </w:rPr>
        <w:t xml:space="preserve"> </w:t>
      </w:r>
      <w:r>
        <w:rPr>
          <w:rFonts w:eastAsia="Times New Roman"/>
          <w:szCs w:val="24"/>
        </w:rPr>
        <w:t>they could</w:t>
      </w:r>
      <w:r w:rsidRPr="004841CD">
        <w:rPr>
          <w:rFonts w:eastAsia="Times New Roman"/>
          <w:szCs w:val="24"/>
        </w:rPr>
        <w:t xml:space="preserve"> recover from their infection naturally</w:t>
      </w:r>
      <w:r>
        <w:rPr>
          <w:rFonts w:eastAsia="Times New Roman"/>
          <w:szCs w:val="24"/>
        </w:rPr>
        <w:t xml:space="preserve"> at rate </w:t>
      </w:r>
      <w:r w:rsidRPr="00DB21A1">
        <w:rPr>
          <w:rFonts w:eastAsia="Times New Roman"/>
          <w:b/>
          <w:szCs w:val="24"/>
        </w:rPr>
        <w:t>nr</w:t>
      </w:r>
      <w:r w:rsidRPr="004841CD">
        <w:rPr>
          <w:rFonts w:eastAsia="Times New Roman"/>
          <w:szCs w:val="24"/>
        </w:rPr>
        <w:t xml:space="preserve"> to become susceptible </w:t>
      </w:r>
      <w:r w:rsidRPr="00636EFC">
        <w:rPr>
          <w:rFonts w:eastAsia="Times New Roman"/>
          <w:b/>
          <w:szCs w:val="24"/>
        </w:rPr>
        <w:t>Snn</w:t>
      </w:r>
      <w:r w:rsidRPr="00636EFC">
        <w:rPr>
          <w:rFonts w:eastAsia="Times New Roman"/>
          <w:szCs w:val="24"/>
        </w:rPr>
        <w:t xml:space="preserve"> with time.</w:t>
      </w:r>
    </w:p>
    <w:p w14:paraId="755DA0A9" w14:textId="696C3DDD" w:rsidR="007E1F9B" w:rsidRDefault="007E1F9B" w:rsidP="002B6379">
      <w:pPr>
        <w:spacing w:after="0" w:line="480" w:lineRule="auto"/>
        <w:jc w:val="both"/>
        <w:rPr>
          <w:rFonts w:eastAsia="Times New Roman"/>
          <w:szCs w:val="24"/>
        </w:rPr>
      </w:pPr>
      <w:r w:rsidRPr="00930900">
        <w:rPr>
          <w:rFonts w:eastAsia="Times New Roman"/>
          <w:szCs w:val="24"/>
        </w:rPr>
        <w:lastRenderedPageBreak/>
        <w:t xml:space="preserve">A proportion of the sub-microscopically infected population </w:t>
      </w:r>
      <w:r w:rsidRPr="00C81EAF">
        <w:rPr>
          <w:rFonts w:eastAsia="Times New Roman"/>
          <w:b/>
          <w:szCs w:val="24"/>
        </w:rPr>
        <w:t>Ism</w:t>
      </w:r>
      <w:r w:rsidRPr="00C81EAF">
        <w:rPr>
          <w:rFonts w:eastAsia="Times New Roman"/>
          <w:szCs w:val="24"/>
        </w:rPr>
        <w:t xml:space="preserve">, </w:t>
      </w:r>
      <w:r w:rsidRPr="006E0BE5">
        <w:rPr>
          <w:rFonts w:eastAsia="Times New Roman"/>
          <w:szCs w:val="24"/>
        </w:rPr>
        <w:t xml:space="preserve">could progress into the </w:t>
      </w:r>
      <w:r w:rsidRPr="008F4A6B">
        <w:rPr>
          <w:rFonts w:eastAsia="Times New Roman"/>
          <w:b/>
          <w:szCs w:val="24"/>
        </w:rPr>
        <w:t>Ia</w:t>
      </w:r>
      <w:r w:rsidRPr="008F4A6B">
        <w:rPr>
          <w:rFonts w:eastAsia="Times New Roman"/>
          <w:szCs w:val="24"/>
        </w:rPr>
        <w:t xml:space="preserve"> state or </w:t>
      </w:r>
      <w:r w:rsidRPr="008F4A6B">
        <w:rPr>
          <w:rFonts w:eastAsia="Times New Roman"/>
          <w:b/>
          <w:szCs w:val="24"/>
        </w:rPr>
        <w:t>Ic</w:t>
      </w:r>
      <w:r w:rsidRPr="008F4A6B">
        <w:rPr>
          <w:rFonts w:eastAsia="Times New Roman"/>
          <w:szCs w:val="24"/>
        </w:rPr>
        <w:t xml:space="preserve"> upon being infected </w:t>
      </w:r>
      <w:r w:rsidRPr="004841CD">
        <w:rPr>
          <w:rFonts w:eastAsia="Times New Roman"/>
          <w:szCs w:val="24"/>
        </w:rPr>
        <w:t>again subsequent to the pre-existing infection (superinfection) or having their immunity waning</w:t>
      </w:r>
      <w:r>
        <w:rPr>
          <w:rFonts w:eastAsia="Times New Roman"/>
          <w:szCs w:val="24"/>
        </w:rPr>
        <w:t xml:space="preserve"> and therefore giving way to an increase in  parasite load</w:t>
      </w:r>
      <w:r w:rsidRPr="004841CD">
        <w:rPr>
          <w:rFonts w:eastAsia="Times New Roman"/>
          <w:szCs w:val="24"/>
        </w:rPr>
        <w:t xml:space="preserve">. Likewise, </w:t>
      </w:r>
      <w:r w:rsidRPr="00636EFC">
        <w:rPr>
          <w:rFonts w:eastAsia="Times New Roman"/>
          <w:szCs w:val="24"/>
        </w:rPr>
        <w:t xml:space="preserve">a proportion of the population </w:t>
      </w:r>
      <w:r w:rsidRPr="005E0036">
        <w:rPr>
          <w:rFonts w:eastAsia="Times New Roman"/>
          <w:szCs w:val="24"/>
        </w:rPr>
        <w:t>with severe malaria infection</w:t>
      </w:r>
      <w:r w:rsidRPr="00B42608">
        <w:rPr>
          <w:rFonts w:eastAsia="Times New Roman"/>
          <w:szCs w:val="24"/>
        </w:rPr>
        <w:t xml:space="preserve"> (</w:t>
      </w:r>
      <w:r w:rsidRPr="00B42608">
        <w:rPr>
          <w:rFonts w:eastAsia="Times New Roman"/>
          <w:b/>
          <w:szCs w:val="24"/>
        </w:rPr>
        <w:t>Isd</w:t>
      </w:r>
      <w:r w:rsidRPr="00930900">
        <w:rPr>
          <w:rFonts w:eastAsia="Times New Roman"/>
          <w:szCs w:val="24"/>
        </w:rPr>
        <w:t>) may die without or delayed treatment however the compartment for malaria related mortality is not shown</w:t>
      </w:r>
      <w:r w:rsidRPr="00C81EAF">
        <w:rPr>
          <w:rFonts w:eastAsia="Times New Roman"/>
          <w:szCs w:val="24"/>
        </w:rPr>
        <w:t>.</w:t>
      </w:r>
      <w:r w:rsidRPr="006E0BE5">
        <w:rPr>
          <w:rFonts w:eastAsia="Times New Roman"/>
          <w:szCs w:val="24"/>
        </w:rPr>
        <w:t xml:space="preserve">   </w:t>
      </w:r>
    </w:p>
    <w:p w14:paraId="23E96510" w14:textId="77777777" w:rsidR="007E1F9B" w:rsidRPr="004841CD" w:rsidRDefault="007E1F9B" w:rsidP="002B6379">
      <w:pPr>
        <w:spacing w:after="0" w:line="480" w:lineRule="auto"/>
        <w:jc w:val="both"/>
        <w:rPr>
          <w:rFonts w:eastAsia="Times New Roman"/>
          <w:szCs w:val="24"/>
        </w:rPr>
      </w:pPr>
    </w:p>
    <w:p w14:paraId="4BD6DF6B" w14:textId="77777777" w:rsidR="007E1F9B" w:rsidRDefault="007E1F9B" w:rsidP="002B6379">
      <w:pPr>
        <w:spacing w:after="0" w:line="480" w:lineRule="auto"/>
        <w:jc w:val="both"/>
        <w:rPr>
          <w:rFonts w:eastAsia="Times New Roman"/>
          <w:szCs w:val="24"/>
        </w:rPr>
      </w:pPr>
      <w:r w:rsidRPr="00636EFC">
        <w:rPr>
          <w:rFonts w:eastAsia="Times New Roman"/>
          <w:szCs w:val="24"/>
        </w:rPr>
        <w:t>Given the reported</w:t>
      </w:r>
      <w:r w:rsidRPr="00D82707">
        <w:rPr>
          <w:rFonts w:eastAsia="Times New Roman"/>
          <w:szCs w:val="24"/>
        </w:rPr>
        <w:t xml:space="preserve"> health seeking behaviour</w:t>
      </w:r>
      <w:r>
        <w:rPr>
          <w:rFonts w:eastAsia="Times New Roman"/>
          <w:szCs w:val="24"/>
        </w:rPr>
        <w:t xml:space="preserve"> (</w:t>
      </w:r>
      <w:r w:rsidRPr="00DB21A1">
        <w:rPr>
          <w:rFonts w:eastAsia="Times New Roman"/>
          <w:b/>
          <w:szCs w:val="24"/>
        </w:rPr>
        <w:t>pst</w:t>
      </w:r>
      <w:r>
        <w:rPr>
          <w:rFonts w:eastAsia="Times New Roman"/>
          <w:szCs w:val="24"/>
        </w:rPr>
        <w:t>)</w:t>
      </w:r>
      <w:r w:rsidRPr="00D82707">
        <w:rPr>
          <w:rFonts w:eastAsia="Times New Roman"/>
          <w:szCs w:val="24"/>
        </w:rPr>
        <w:t xml:space="preserve"> of the infected population</w:t>
      </w:r>
      <w:r w:rsidRPr="005E0036">
        <w:rPr>
          <w:rFonts w:eastAsia="Times New Roman"/>
          <w:szCs w:val="24"/>
        </w:rPr>
        <w:t>, the likelihood of receivi</w:t>
      </w:r>
      <w:r w:rsidRPr="00930900">
        <w:rPr>
          <w:rFonts w:eastAsia="Times New Roman"/>
          <w:szCs w:val="24"/>
        </w:rPr>
        <w:t>ng a diagnostic test</w:t>
      </w:r>
      <w:r w:rsidRPr="00C81EAF">
        <w:rPr>
          <w:rFonts w:eastAsia="Times New Roman"/>
          <w:szCs w:val="24"/>
        </w:rPr>
        <w:t xml:space="preserve"> at the health facility</w:t>
      </w:r>
      <w:r>
        <w:rPr>
          <w:rFonts w:eastAsia="Times New Roman"/>
          <w:szCs w:val="24"/>
        </w:rPr>
        <w:t xml:space="preserve"> (</w:t>
      </w:r>
      <w:r w:rsidRPr="00DB21A1">
        <w:rPr>
          <w:rFonts w:eastAsia="Times New Roman"/>
          <w:b/>
          <w:szCs w:val="24"/>
        </w:rPr>
        <w:t>pt1</w:t>
      </w:r>
      <w:r>
        <w:rPr>
          <w:rFonts w:eastAsia="Times New Roman"/>
          <w:szCs w:val="24"/>
        </w:rPr>
        <w:t>)</w:t>
      </w:r>
      <w:r w:rsidRPr="00C81EAF">
        <w:rPr>
          <w:rFonts w:eastAsia="Times New Roman"/>
          <w:szCs w:val="24"/>
        </w:rPr>
        <w:t xml:space="preserve"> and the sensitivity of the various diagnostic tests kits</w:t>
      </w:r>
      <w:r>
        <w:rPr>
          <w:rFonts w:eastAsia="Times New Roman"/>
          <w:szCs w:val="24"/>
        </w:rPr>
        <w:t xml:space="preserve"> (</w:t>
      </w:r>
      <w:r w:rsidRPr="00DB21A1">
        <w:rPr>
          <w:rFonts w:eastAsia="Times New Roman"/>
          <w:b/>
          <w:szCs w:val="24"/>
        </w:rPr>
        <w:t>RDTMicSens</w:t>
      </w:r>
      <w:r>
        <w:rPr>
          <w:rFonts w:eastAsia="Times New Roman"/>
          <w:szCs w:val="24"/>
        </w:rPr>
        <w:t>)</w:t>
      </w:r>
      <w:r w:rsidRPr="008F4A6B">
        <w:rPr>
          <w:rFonts w:eastAsia="Times New Roman"/>
          <w:szCs w:val="24"/>
        </w:rPr>
        <w:t xml:space="preserve"> </w:t>
      </w:r>
      <w:r w:rsidRPr="00723B7A">
        <w:rPr>
          <w:rFonts w:eastAsia="Times New Roman"/>
          <w:szCs w:val="24"/>
        </w:rPr>
        <w:t>in various zones</w:t>
      </w:r>
      <w:r w:rsidRPr="004841CD">
        <w:rPr>
          <w:rFonts w:eastAsia="Times New Roman"/>
          <w:szCs w:val="24"/>
        </w:rPr>
        <w:t xml:space="preserve">, the symptomatically infected </w:t>
      </w:r>
      <w:r>
        <w:rPr>
          <w:rFonts w:eastAsia="Times New Roman"/>
          <w:szCs w:val="24"/>
        </w:rPr>
        <w:t>are likely to</w:t>
      </w:r>
      <w:r w:rsidRPr="004841CD">
        <w:rPr>
          <w:rFonts w:eastAsia="Times New Roman"/>
          <w:szCs w:val="24"/>
        </w:rPr>
        <w:t xml:space="preserve"> be </w:t>
      </w:r>
      <w:r>
        <w:rPr>
          <w:rFonts w:eastAsia="Times New Roman"/>
          <w:szCs w:val="24"/>
        </w:rPr>
        <w:t xml:space="preserve">diagnosed </w:t>
      </w:r>
      <w:r w:rsidRPr="004841CD">
        <w:rPr>
          <w:rFonts w:eastAsia="Times New Roman"/>
          <w:szCs w:val="24"/>
        </w:rPr>
        <w:t xml:space="preserve">correctly from the </w:t>
      </w:r>
      <w:r w:rsidRPr="004841CD">
        <w:rPr>
          <w:rFonts w:eastAsia="Times New Roman"/>
          <w:b/>
          <w:szCs w:val="24"/>
        </w:rPr>
        <w:t>Ic</w:t>
      </w:r>
      <w:r w:rsidRPr="004841CD">
        <w:rPr>
          <w:rFonts w:eastAsia="Times New Roman"/>
          <w:szCs w:val="24"/>
        </w:rPr>
        <w:t xml:space="preserve"> and </w:t>
      </w:r>
      <w:r w:rsidRPr="004841CD">
        <w:rPr>
          <w:rFonts w:eastAsia="Times New Roman"/>
          <w:b/>
          <w:szCs w:val="24"/>
        </w:rPr>
        <w:t>Isd</w:t>
      </w:r>
      <w:r w:rsidRPr="004841CD">
        <w:rPr>
          <w:rFonts w:eastAsia="Times New Roman"/>
          <w:szCs w:val="24"/>
        </w:rPr>
        <w:t xml:space="preserve"> states and treated </w:t>
      </w:r>
      <w:r>
        <w:rPr>
          <w:rFonts w:eastAsia="Times New Roman"/>
          <w:szCs w:val="24"/>
        </w:rPr>
        <w:t>appropriately</w:t>
      </w:r>
      <w:r w:rsidRPr="004841CD">
        <w:rPr>
          <w:rFonts w:eastAsia="Times New Roman"/>
          <w:szCs w:val="24"/>
        </w:rPr>
        <w:t xml:space="preserve"> in </w:t>
      </w:r>
      <w:r w:rsidRPr="00DB21A1">
        <w:rPr>
          <w:rFonts w:eastAsia="Times New Roman"/>
          <w:b/>
          <w:szCs w:val="24"/>
        </w:rPr>
        <w:t>Tr1</w:t>
      </w:r>
      <w:r w:rsidRPr="004841CD">
        <w:rPr>
          <w:rFonts w:eastAsia="Times New Roman"/>
          <w:szCs w:val="24"/>
        </w:rPr>
        <w:t xml:space="preserve"> and </w:t>
      </w:r>
      <w:r w:rsidRPr="00DB21A1">
        <w:rPr>
          <w:rFonts w:eastAsia="Times New Roman"/>
          <w:b/>
          <w:szCs w:val="24"/>
        </w:rPr>
        <w:t>Tr2</w:t>
      </w:r>
      <w:r w:rsidRPr="004841CD">
        <w:rPr>
          <w:rFonts w:eastAsia="Times New Roman"/>
          <w:szCs w:val="24"/>
        </w:rPr>
        <w:t xml:space="preserve"> respectively for an uncomplicated malaria or a severe malaria</w:t>
      </w:r>
      <w:r>
        <w:rPr>
          <w:rFonts w:eastAsia="Times New Roman"/>
          <w:szCs w:val="24"/>
        </w:rPr>
        <w:t xml:space="preserve"> according to national treatment guidelines</w:t>
      </w:r>
      <w:r w:rsidRPr="00636EFC">
        <w:rPr>
          <w:rFonts w:eastAsia="Times New Roman"/>
          <w:szCs w:val="24"/>
        </w:rPr>
        <w:t xml:space="preserve">. </w:t>
      </w:r>
    </w:p>
    <w:p w14:paraId="0D45E617" w14:textId="77777777" w:rsidR="007E1F9B" w:rsidRDefault="007E1F9B" w:rsidP="002B6379">
      <w:pPr>
        <w:spacing w:after="0" w:line="480" w:lineRule="auto"/>
        <w:jc w:val="both"/>
        <w:rPr>
          <w:rFonts w:eastAsia="Times New Roman"/>
          <w:szCs w:val="24"/>
        </w:rPr>
      </w:pPr>
    </w:p>
    <w:p w14:paraId="4D98A824" w14:textId="77777777" w:rsidR="007E1F9B" w:rsidRDefault="007E1F9B" w:rsidP="002B6379">
      <w:pPr>
        <w:spacing w:after="0" w:line="480" w:lineRule="auto"/>
        <w:jc w:val="both"/>
        <w:rPr>
          <w:b/>
        </w:rPr>
      </w:pPr>
      <w:r w:rsidRPr="004841CD">
        <w:rPr>
          <w:b/>
        </w:rPr>
        <w:t xml:space="preserve">Treatment adherence and Drug resistance </w:t>
      </w:r>
    </w:p>
    <w:p w14:paraId="74775839" w14:textId="77777777" w:rsidR="007E1F9B" w:rsidRDefault="007E1F9B" w:rsidP="002B6379">
      <w:pPr>
        <w:spacing w:after="0" w:line="480" w:lineRule="auto"/>
        <w:jc w:val="both"/>
      </w:pPr>
      <w:r w:rsidRPr="004841CD">
        <w:t xml:space="preserve">Ghana currently uses three Artesunate combination therapies (ACTs) (namely: Artesunate Amodiaquine (ASAQ), Artesunate Lumefantrine (AL), Dihydroartemisinin-piperaquine (DHP) as first line treatment medications for uncomplicated malaria. </w:t>
      </w:r>
    </w:p>
    <w:p w14:paraId="2180792C" w14:textId="77777777" w:rsidR="007E1F9B" w:rsidRDefault="007E1F9B" w:rsidP="008F1408">
      <w:pPr>
        <w:spacing w:after="0" w:line="480" w:lineRule="auto"/>
        <w:jc w:val="center"/>
      </w:pPr>
      <w:r w:rsidRPr="00C928E6">
        <w:rPr>
          <w:noProof/>
          <w:lang w:val="en-GB" w:eastAsia="en-GB"/>
        </w:rPr>
        <w:drawing>
          <wp:inline distT="0" distB="0" distL="0" distR="0" wp14:anchorId="18778A0D" wp14:editId="3CF7DB88">
            <wp:extent cx="4448175" cy="1971675"/>
            <wp:effectExtent l="0" t="0" r="9525" b="9525"/>
            <wp:docPr id="7" name="Picture 7" descr="C:\Users\AWNTIM001\Google Drive\Cape Town 2019\Term 2\Paper 5\treat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WNTIM001\Google Drive\Cape Town 2019\Term 2\Paper 5\treatment.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8175" cy="1971675"/>
                    </a:xfrm>
                    <a:prstGeom prst="rect">
                      <a:avLst/>
                    </a:prstGeom>
                    <a:noFill/>
                    <a:ln>
                      <a:noFill/>
                    </a:ln>
                  </pic:spPr>
                </pic:pic>
              </a:graphicData>
            </a:graphic>
          </wp:inline>
        </w:drawing>
      </w:r>
    </w:p>
    <w:p w14:paraId="58B54734" w14:textId="77777777" w:rsidR="007E1F9B" w:rsidRPr="004C2A45" w:rsidRDefault="007E1F9B" w:rsidP="008F1408">
      <w:pPr>
        <w:spacing w:after="0" w:line="240" w:lineRule="auto"/>
        <w:rPr>
          <w:rFonts w:eastAsia="Times New Roman"/>
          <w:b/>
          <w:szCs w:val="24"/>
        </w:rPr>
      </w:pPr>
      <w:r w:rsidRPr="004C2A45">
        <w:rPr>
          <w:rFonts w:eastAsia="Times New Roman"/>
          <w:b/>
          <w:szCs w:val="24"/>
        </w:rPr>
        <w:t>Fig 1</w:t>
      </w:r>
      <w:r>
        <w:rPr>
          <w:rFonts w:eastAsia="Times New Roman"/>
          <w:b/>
          <w:szCs w:val="24"/>
        </w:rPr>
        <w:t>d</w:t>
      </w:r>
      <w:r w:rsidRPr="004C2A45">
        <w:rPr>
          <w:rFonts w:eastAsia="Times New Roman"/>
          <w:b/>
          <w:szCs w:val="24"/>
        </w:rPr>
        <w:t xml:space="preserve"> </w:t>
      </w:r>
      <w:r>
        <w:rPr>
          <w:rFonts w:eastAsia="Times New Roman"/>
          <w:b/>
          <w:szCs w:val="24"/>
        </w:rPr>
        <w:t>Model compartments for treatment for uncomplicated and severe malaria cases</w:t>
      </w:r>
    </w:p>
    <w:p w14:paraId="3D7974E6" w14:textId="77777777" w:rsidR="007E1F9B" w:rsidRDefault="007E1F9B" w:rsidP="002B6379">
      <w:pPr>
        <w:spacing w:after="0" w:line="480" w:lineRule="auto"/>
        <w:jc w:val="both"/>
      </w:pPr>
    </w:p>
    <w:p w14:paraId="778681AE" w14:textId="2FF94E22" w:rsidR="007E1F9B" w:rsidRPr="005E0036" w:rsidRDefault="007E1F9B" w:rsidP="002B6379">
      <w:pPr>
        <w:spacing w:after="0" w:line="480" w:lineRule="auto"/>
        <w:jc w:val="both"/>
      </w:pPr>
      <w:r w:rsidRPr="004841CD">
        <w:t xml:space="preserve">Quinine </w:t>
      </w:r>
      <w:r>
        <w:t xml:space="preserve">and </w:t>
      </w:r>
      <w:r w:rsidRPr="004841CD">
        <w:t xml:space="preserve">other alternatives </w:t>
      </w:r>
      <w:r>
        <w:t>(intramuscular Artesunate and Artemeter), are</w:t>
      </w:r>
      <w:r w:rsidRPr="004841CD">
        <w:t xml:space="preserve"> administered for severe malaria and cases of treatment failure with first line medicines for uncomplicated malaria</w:t>
      </w:r>
      <w:r>
        <w:t>.</w:t>
      </w:r>
      <w:r w:rsidRPr="004841CD">
        <w:t xml:space="preserve">SP </w:t>
      </w:r>
      <w:r>
        <w:t xml:space="preserve">on the </w:t>
      </w:r>
      <w:r>
        <w:lastRenderedPageBreak/>
        <w:t xml:space="preserve">other hand is given to </w:t>
      </w:r>
      <w:r w:rsidRPr="004841CD">
        <w:t>pregnant women</w:t>
      </w:r>
      <w:r>
        <w:t>, for prevention of malaria infection,</w:t>
      </w:r>
      <w:r w:rsidRPr="004841CD">
        <w:t xml:space="preserve"> of more than 13 weeks gestation, who attend and are registered at the ANC </w:t>
      </w:r>
      <w:r w:rsidRPr="004841CD">
        <w:fldChar w:fldCharType="begin"/>
      </w:r>
      <w:r w:rsidR="006F1B7D">
        <w:instrText xml:space="preserve"> ADDIN ZOTERO_ITEM CSL_CITATION {"citationID":"SNjKdMbw","properties":{"formattedCitation":"[8]","plainCitation":"[8]","noteIndex":0},"citationItems":[{"id":1524,"uris":["http://zotero.org/users/584652/items/RK4KDBTN"],"uri":["http://zotero.org/users/584652/items/RK4KDBTN"],"itemData":{"id":1524,"type":"article","title":"Guideline for case managemnet of malaria in Ghana","URL":"https://www.ghanahealthservice.org/downloads/GUIDELINE%20FOR%20CASE%20MANAGEMENT%20.pdf","author":[{"family":"Ministry of Health,Ghana","given":""}],"accessed":{"date-parts":[["2019",7,2]]},"issued":{"date-parts":[["2014"]]}}}],"schema":"https://github.com/citation-style-language/schema/raw/master/csl-citation.json"} </w:instrText>
      </w:r>
      <w:r w:rsidRPr="004841CD">
        <w:fldChar w:fldCharType="separate"/>
      </w:r>
      <w:r w:rsidRPr="00EE2102">
        <w:t>[8]</w:t>
      </w:r>
      <w:r w:rsidRPr="004841CD">
        <w:fldChar w:fldCharType="end"/>
      </w:r>
      <w:r w:rsidRPr="004841CD">
        <w:t>. Therefore, to account for a potential impact of adherence to drug administration and resistance</w:t>
      </w:r>
      <w:r w:rsidRPr="00636EFC">
        <w:t xml:space="preserve"> for all three types of medications</w:t>
      </w:r>
      <w:r w:rsidRPr="00D82707">
        <w:t>,</w:t>
      </w:r>
      <w:r w:rsidRPr="005E0036">
        <w:t xml:space="preserve"> the following transitions have been incorporated into the model:</w:t>
      </w:r>
    </w:p>
    <w:p w14:paraId="7E29E026" w14:textId="77777777" w:rsidR="007E1F9B" w:rsidRPr="006E0BE5" w:rsidRDefault="007E1F9B" w:rsidP="002B6379">
      <w:pPr>
        <w:pStyle w:val="ListParagraph"/>
        <w:numPr>
          <w:ilvl w:val="0"/>
          <w:numId w:val="5"/>
        </w:numPr>
        <w:spacing w:after="0" w:line="480" w:lineRule="auto"/>
        <w:jc w:val="both"/>
        <w:rPr>
          <w:rFonts w:eastAsia="Times New Roman"/>
        </w:rPr>
      </w:pPr>
      <w:r w:rsidRPr="00930900">
        <w:t>proportions of  treatment failure (</w:t>
      </w:r>
      <w:r w:rsidRPr="00930900">
        <w:rPr>
          <w:b/>
        </w:rPr>
        <w:t>Trf1</w:t>
      </w:r>
      <w:r w:rsidRPr="00C81EAF">
        <w:t>) and non-adherence (</w:t>
      </w:r>
      <w:r w:rsidRPr="00C81EAF">
        <w:rPr>
          <w:b/>
        </w:rPr>
        <w:t>adh1</w:t>
      </w:r>
      <w:r w:rsidRPr="006E0BE5">
        <w:t xml:space="preserve">) to ACT </w:t>
      </w:r>
      <w:r>
        <w:t>,Fig 1d</w:t>
      </w:r>
    </w:p>
    <w:p w14:paraId="27892065" w14:textId="77777777" w:rsidR="007E1F9B" w:rsidRPr="004841CD" w:rsidRDefault="007E1F9B" w:rsidP="002B6379">
      <w:pPr>
        <w:pStyle w:val="ListParagraph"/>
        <w:numPr>
          <w:ilvl w:val="0"/>
          <w:numId w:val="5"/>
        </w:numPr>
        <w:spacing w:after="0" w:line="480" w:lineRule="auto"/>
        <w:jc w:val="both"/>
        <w:rPr>
          <w:rFonts w:eastAsia="Times New Roman"/>
        </w:rPr>
      </w:pPr>
      <w:r w:rsidRPr="008F4A6B">
        <w:t>proportions of  treatment failure (</w:t>
      </w:r>
      <w:r w:rsidRPr="008F4A6B">
        <w:rPr>
          <w:b/>
        </w:rPr>
        <w:t>Trf2</w:t>
      </w:r>
      <w:r w:rsidRPr="008F4A6B">
        <w:t>)  and non-adherence (</w:t>
      </w:r>
      <w:r w:rsidRPr="00723B7A">
        <w:rPr>
          <w:b/>
        </w:rPr>
        <w:t>adh2</w:t>
      </w:r>
      <w:r w:rsidRPr="004841CD">
        <w:t xml:space="preserve">)  to </w:t>
      </w:r>
      <w:r>
        <w:t>Intramuscular quinine</w:t>
      </w:r>
      <w:r w:rsidRPr="004841CD">
        <w:t xml:space="preserve"> </w:t>
      </w:r>
      <w:r>
        <w:t>,Artesunate or Artemeter,</w:t>
      </w:r>
      <w:r w:rsidR="008D7C5E">
        <w:t xml:space="preserve"> </w:t>
      </w:r>
      <w:r>
        <w:t>Fig 1d</w:t>
      </w:r>
    </w:p>
    <w:p w14:paraId="52AC8FA4" w14:textId="77777777" w:rsidR="007E1F9B" w:rsidRPr="00565BE6" w:rsidRDefault="007E1F9B" w:rsidP="002B6379">
      <w:pPr>
        <w:pStyle w:val="ListParagraph"/>
        <w:numPr>
          <w:ilvl w:val="0"/>
          <w:numId w:val="5"/>
        </w:numPr>
        <w:spacing w:after="0" w:line="480" w:lineRule="auto"/>
        <w:jc w:val="both"/>
      </w:pPr>
      <w:r w:rsidRPr="00565BE6">
        <w:t>proportions of  treatment failure (</w:t>
      </w:r>
      <w:r w:rsidRPr="002A1820">
        <w:rPr>
          <w:b/>
        </w:rPr>
        <w:t>Trf3</w:t>
      </w:r>
      <w:r w:rsidRPr="00565BE6">
        <w:t>) and non-adherence (</w:t>
      </w:r>
      <w:r w:rsidRPr="002A1820">
        <w:rPr>
          <w:b/>
        </w:rPr>
        <w:t>adh3</w:t>
      </w:r>
      <w:r w:rsidRPr="00565BE6">
        <w:t>)  to SP</w:t>
      </w:r>
      <w:r>
        <w:t>, Fig 1</w:t>
      </w:r>
    </w:p>
    <w:p w14:paraId="410F7553" w14:textId="77777777" w:rsidR="007E1F9B" w:rsidRPr="004841CD" w:rsidRDefault="007E1F9B" w:rsidP="002B6379">
      <w:pPr>
        <w:spacing w:after="0" w:line="480" w:lineRule="auto"/>
        <w:jc w:val="both"/>
        <w:rPr>
          <w:rFonts w:eastAsia="Times New Roman"/>
          <w:szCs w:val="24"/>
        </w:rPr>
      </w:pPr>
      <w:r w:rsidRPr="00636EFC">
        <w:rPr>
          <w:rFonts w:eastAsia="Times New Roman"/>
          <w:szCs w:val="24"/>
        </w:rPr>
        <w:t>Depending on adherence to treatment</w:t>
      </w:r>
      <w:r>
        <w:rPr>
          <w:rFonts w:eastAsia="Times New Roman"/>
          <w:szCs w:val="24"/>
        </w:rPr>
        <w:t xml:space="preserve"> (</w:t>
      </w:r>
      <w:r w:rsidRPr="001B5D61">
        <w:rPr>
          <w:rFonts w:eastAsia="Times New Roman"/>
          <w:b/>
          <w:szCs w:val="24"/>
        </w:rPr>
        <w:t>ah1</w:t>
      </w:r>
      <w:r>
        <w:rPr>
          <w:rFonts w:eastAsia="Times New Roman"/>
          <w:szCs w:val="24"/>
        </w:rPr>
        <w:t xml:space="preserve"> and </w:t>
      </w:r>
      <w:r w:rsidRPr="001B5D61">
        <w:rPr>
          <w:rFonts w:eastAsia="Times New Roman"/>
          <w:b/>
          <w:szCs w:val="24"/>
        </w:rPr>
        <w:t>ah2</w:t>
      </w:r>
      <w:r>
        <w:rPr>
          <w:rFonts w:eastAsia="Times New Roman"/>
          <w:szCs w:val="24"/>
        </w:rPr>
        <w:t>)</w:t>
      </w:r>
      <w:r w:rsidRPr="00636EFC">
        <w:rPr>
          <w:rFonts w:eastAsia="Times New Roman"/>
          <w:szCs w:val="24"/>
        </w:rPr>
        <w:t xml:space="preserve"> and the level of drug resistance</w:t>
      </w:r>
      <w:r>
        <w:rPr>
          <w:rFonts w:eastAsia="Times New Roman"/>
          <w:szCs w:val="24"/>
        </w:rPr>
        <w:t xml:space="preserve"> (</w:t>
      </w:r>
      <w:r w:rsidRPr="001B5D61">
        <w:rPr>
          <w:rFonts w:eastAsia="Times New Roman"/>
          <w:b/>
          <w:szCs w:val="24"/>
        </w:rPr>
        <w:t>rs1</w:t>
      </w:r>
      <w:r>
        <w:rPr>
          <w:rFonts w:eastAsia="Times New Roman"/>
          <w:szCs w:val="24"/>
        </w:rPr>
        <w:t xml:space="preserve"> and </w:t>
      </w:r>
      <w:r w:rsidRPr="001B5D61">
        <w:rPr>
          <w:rFonts w:eastAsia="Times New Roman"/>
          <w:b/>
          <w:szCs w:val="24"/>
        </w:rPr>
        <w:t>rs2</w:t>
      </w:r>
      <w:r>
        <w:rPr>
          <w:rFonts w:eastAsia="Times New Roman"/>
          <w:szCs w:val="24"/>
        </w:rPr>
        <w:t>) Fig 1e below</w:t>
      </w:r>
      <w:r w:rsidRPr="00636EFC">
        <w:rPr>
          <w:rFonts w:eastAsia="Times New Roman"/>
          <w:szCs w:val="24"/>
        </w:rPr>
        <w:t xml:space="preserve">, a proportion </w:t>
      </w:r>
      <w:r w:rsidRPr="005E0036">
        <w:rPr>
          <w:rFonts w:eastAsia="Times New Roman"/>
          <w:szCs w:val="24"/>
        </w:rPr>
        <w:t xml:space="preserve">of those seeking treatment may fail to clear their infection </w:t>
      </w:r>
      <w:r w:rsidRPr="00930900">
        <w:rPr>
          <w:rFonts w:eastAsia="Times New Roman"/>
          <w:szCs w:val="24"/>
        </w:rPr>
        <w:t xml:space="preserve">after 28 days of treatment and be classified as being infected </w:t>
      </w:r>
      <w:r w:rsidRPr="00C81EAF">
        <w:rPr>
          <w:rFonts w:eastAsia="Times New Roman"/>
          <w:szCs w:val="24"/>
        </w:rPr>
        <w:t xml:space="preserve">but probably without symptoms whiles those who successfully </w:t>
      </w:r>
      <w:r w:rsidRPr="008F4A6B">
        <w:rPr>
          <w:rFonts w:eastAsia="Times New Roman"/>
          <w:szCs w:val="24"/>
        </w:rPr>
        <w:t>recovered of all symptoms and parasitaemia</w:t>
      </w:r>
      <w:r w:rsidRPr="004841CD">
        <w:rPr>
          <w:rFonts w:eastAsia="Times New Roman"/>
          <w:szCs w:val="24"/>
        </w:rPr>
        <w:t xml:space="preserve"> return to being susceptible almost immediately into </w:t>
      </w:r>
      <w:r w:rsidRPr="004841CD">
        <w:rPr>
          <w:rFonts w:eastAsia="Times New Roman"/>
          <w:b/>
          <w:szCs w:val="24"/>
        </w:rPr>
        <w:t>Snn</w:t>
      </w:r>
      <w:r w:rsidRPr="004841CD">
        <w:rPr>
          <w:rFonts w:eastAsia="Times New Roman"/>
          <w:szCs w:val="24"/>
        </w:rPr>
        <w:t>.</w:t>
      </w:r>
    </w:p>
    <w:p w14:paraId="0914B677" w14:textId="77777777" w:rsidR="007E1F9B" w:rsidRDefault="007E1F9B" w:rsidP="002B6379">
      <w:pPr>
        <w:spacing w:after="0" w:line="480" w:lineRule="auto"/>
        <w:jc w:val="both"/>
        <w:rPr>
          <w:rFonts w:eastAsia="Times New Roman"/>
          <w:szCs w:val="24"/>
        </w:rPr>
      </w:pPr>
    </w:p>
    <w:p w14:paraId="7AA8A761" w14:textId="77777777" w:rsidR="007E1F9B" w:rsidRPr="00DB21A1" w:rsidRDefault="007E1F9B" w:rsidP="002B6379">
      <w:pPr>
        <w:spacing w:after="0" w:line="480" w:lineRule="auto"/>
        <w:jc w:val="both"/>
        <w:rPr>
          <w:rFonts w:eastAsia="Times New Roman"/>
          <w:b/>
          <w:szCs w:val="24"/>
        </w:rPr>
      </w:pPr>
      <w:r w:rsidRPr="00DB21A1">
        <w:rPr>
          <w:rFonts w:eastAsia="Times New Roman"/>
          <w:b/>
          <w:szCs w:val="24"/>
        </w:rPr>
        <w:t xml:space="preserve">Pregnant women </w:t>
      </w:r>
      <w:r>
        <w:rPr>
          <w:rFonts w:eastAsia="Times New Roman"/>
          <w:b/>
          <w:szCs w:val="24"/>
        </w:rPr>
        <w:t>receiving care at</w:t>
      </w:r>
      <w:r w:rsidRPr="00DB21A1">
        <w:rPr>
          <w:rFonts w:eastAsia="Times New Roman"/>
          <w:b/>
          <w:szCs w:val="24"/>
        </w:rPr>
        <w:t xml:space="preserve"> A</w:t>
      </w:r>
      <w:r>
        <w:rPr>
          <w:rFonts w:eastAsia="Times New Roman"/>
          <w:b/>
          <w:szCs w:val="24"/>
        </w:rPr>
        <w:t xml:space="preserve">ntenatal </w:t>
      </w:r>
      <w:r w:rsidRPr="00DB21A1">
        <w:rPr>
          <w:rFonts w:eastAsia="Times New Roman"/>
          <w:b/>
          <w:szCs w:val="24"/>
        </w:rPr>
        <w:t>C</w:t>
      </w:r>
      <w:r>
        <w:rPr>
          <w:rFonts w:eastAsia="Times New Roman"/>
          <w:b/>
          <w:szCs w:val="24"/>
        </w:rPr>
        <w:t xml:space="preserve">linic (ANC) </w:t>
      </w:r>
    </w:p>
    <w:p w14:paraId="332A1E43" w14:textId="77777777" w:rsidR="007E1F9B" w:rsidRDefault="007E1F9B" w:rsidP="002B6379">
      <w:pPr>
        <w:spacing w:after="0" w:line="480" w:lineRule="auto"/>
        <w:jc w:val="both"/>
        <w:rPr>
          <w:rFonts w:eastAsia="Times New Roman"/>
          <w:szCs w:val="24"/>
        </w:rPr>
      </w:pPr>
      <w:r w:rsidRPr="004841CD">
        <w:rPr>
          <w:rFonts w:eastAsia="Times New Roman"/>
          <w:szCs w:val="24"/>
        </w:rPr>
        <w:t xml:space="preserve">The </w:t>
      </w:r>
      <w:r w:rsidRPr="004841CD">
        <w:rPr>
          <w:rFonts w:eastAsia="Times New Roman"/>
          <w:b/>
          <w:szCs w:val="24"/>
        </w:rPr>
        <w:t>Snnp</w:t>
      </w:r>
      <w:r w:rsidRPr="004841CD">
        <w:rPr>
          <w:rFonts w:eastAsia="Times New Roman"/>
          <w:szCs w:val="24"/>
        </w:rPr>
        <w:t xml:space="preserve"> compartment represents the susceptible pregnant women drawn from the </w:t>
      </w:r>
      <w:r w:rsidRPr="004841CD">
        <w:rPr>
          <w:rFonts w:eastAsia="Times New Roman"/>
          <w:b/>
          <w:szCs w:val="24"/>
        </w:rPr>
        <w:t>Snn</w:t>
      </w:r>
      <w:r w:rsidRPr="004841CD">
        <w:rPr>
          <w:rFonts w:eastAsia="Times New Roman"/>
          <w:szCs w:val="24"/>
        </w:rPr>
        <w:t xml:space="preserve"> compartment</w:t>
      </w:r>
      <w:r>
        <w:rPr>
          <w:rFonts w:eastAsia="Times New Roman"/>
          <w:szCs w:val="24"/>
        </w:rPr>
        <w:t xml:space="preserve"> as described earlier</w:t>
      </w:r>
      <w:r w:rsidRPr="004841CD">
        <w:rPr>
          <w:rFonts w:eastAsia="Times New Roman"/>
          <w:szCs w:val="24"/>
        </w:rPr>
        <w:t xml:space="preserve">. From </w:t>
      </w:r>
      <w:r w:rsidRPr="005933DA">
        <w:rPr>
          <w:rFonts w:eastAsia="Times New Roman"/>
          <w:b/>
          <w:szCs w:val="24"/>
        </w:rPr>
        <w:t>Snnp</w:t>
      </w:r>
      <w:r w:rsidRPr="00950DEE">
        <w:rPr>
          <w:rFonts w:eastAsia="Times New Roman"/>
          <w:szCs w:val="24"/>
        </w:rPr>
        <w:t xml:space="preserve">, </w:t>
      </w:r>
      <w:r>
        <w:rPr>
          <w:rFonts w:eastAsia="Times New Roman"/>
          <w:szCs w:val="24"/>
        </w:rPr>
        <w:t>pregnant women</w:t>
      </w:r>
      <w:r w:rsidRPr="00950DEE">
        <w:rPr>
          <w:rFonts w:eastAsia="Times New Roman"/>
          <w:szCs w:val="24"/>
        </w:rPr>
        <w:t xml:space="preserve"> are exposed by the same force </w:t>
      </w:r>
      <w:r w:rsidRPr="00E57242">
        <w:rPr>
          <w:rFonts w:eastAsia="Times New Roman"/>
          <w:szCs w:val="24"/>
        </w:rPr>
        <w:t xml:space="preserve">of infection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λ</m:t>
            </m:r>
          </m:e>
          <m:sub>
            <m:r>
              <m:rPr>
                <m:sty m:val="bi"/>
              </m:rPr>
              <w:rPr>
                <w:rFonts w:ascii="Cambria Math" w:eastAsia="Times New Roman" w:hAnsi="Cambria Math"/>
                <w:sz w:val="28"/>
                <w:szCs w:val="28"/>
              </w:rPr>
              <m:t>m</m:t>
            </m:r>
          </m:sub>
        </m:sSub>
      </m:oMath>
      <w:r>
        <w:rPr>
          <w:rFonts w:eastAsia="Times New Roman"/>
          <w:szCs w:val="24"/>
        </w:rPr>
        <w:t xml:space="preserve"> </w:t>
      </w:r>
      <w:r w:rsidRPr="004841CD">
        <w:rPr>
          <w:rFonts w:eastAsia="Times New Roman"/>
          <w:szCs w:val="24"/>
        </w:rPr>
        <w:t xml:space="preserve">  into the latent stage,</w:t>
      </w:r>
      <w:r w:rsidRPr="00636EFC">
        <w:rPr>
          <w:rFonts w:eastAsia="Times New Roman"/>
          <w:szCs w:val="24"/>
        </w:rPr>
        <w:t xml:space="preserve"> </w:t>
      </w:r>
      <w:r w:rsidRPr="00636EFC">
        <w:rPr>
          <w:rFonts w:eastAsia="Times New Roman"/>
          <w:b/>
          <w:szCs w:val="24"/>
        </w:rPr>
        <w:t>L3</w:t>
      </w:r>
      <w:r w:rsidRPr="00D82707">
        <w:rPr>
          <w:rFonts w:eastAsia="Times New Roman"/>
          <w:szCs w:val="24"/>
        </w:rPr>
        <w:t xml:space="preserve"> from where they make a transition </w:t>
      </w:r>
      <w:r w:rsidRPr="005E0036">
        <w:rPr>
          <w:rFonts w:eastAsia="Times New Roman"/>
          <w:szCs w:val="24"/>
        </w:rPr>
        <w:t xml:space="preserve">either into </w:t>
      </w:r>
      <w:r w:rsidRPr="005E0036">
        <w:rPr>
          <w:rFonts w:eastAsia="Times New Roman"/>
          <w:b/>
          <w:szCs w:val="24"/>
        </w:rPr>
        <w:t>Ic,</w:t>
      </w:r>
      <w:r w:rsidRPr="005E0036">
        <w:rPr>
          <w:rFonts w:eastAsia="Times New Roman"/>
          <w:szCs w:val="24"/>
        </w:rPr>
        <w:t xml:space="preserve"> if the infection becomes symptomatic, or </w:t>
      </w:r>
      <w:r w:rsidRPr="005E0036">
        <w:rPr>
          <w:rFonts w:eastAsia="Times New Roman"/>
          <w:b/>
          <w:szCs w:val="24"/>
        </w:rPr>
        <w:t>Ia</w:t>
      </w:r>
      <w:r w:rsidRPr="005E0036">
        <w:rPr>
          <w:rFonts w:eastAsia="Times New Roman"/>
          <w:szCs w:val="24"/>
        </w:rPr>
        <w:t xml:space="preserve"> or </w:t>
      </w:r>
      <w:r w:rsidRPr="005E0036">
        <w:rPr>
          <w:rFonts w:eastAsia="Times New Roman"/>
          <w:b/>
          <w:szCs w:val="24"/>
        </w:rPr>
        <w:t>Ism</w:t>
      </w:r>
      <w:r w:rsidR="002A1820">
        <w:rPr>
          <w:rFonts w:eastAsia="Times New Roman"/>
          <w:b/>
          <w:szCs w:val="24"/>
        </w:rPr>
        <w:t>,</w:t>
      </w:r>
      <w:r>
        <w:rPr>
          <w:rFonts w:eastAsia="Times New Roman"/>
          <w:b/>
          <w:szCs w:val="24"/>
        </w:rPr>
        <w:t xml:space="preserve"> </w:t>
      </w:r>
      <w:r w:rsidRPr="002A1820">
        <w:rPr>
          <w:rFonts w:eastAsia="Times New Roman"/>
          <w:szCs w:val="24"/>
        </w:rPr>
        <w:t xml:space="preserve">if the infection is asymptomatic and detectable or undetectable respectively. </w:t>
      </w:r>
    </w:p>
    <w:p w14:paraId="1A03AB64" w14:textId="77777777" w:rsidR="002B6379" w:rsidRPr="002A1820" w:rsidRDefault="002B6379" w:rsidP="002B6379">
      <w:pPr>
        <w:spacing w:after="0" w:line="480" w:lineRule="auto"/>
        <w:jc w:val="both"/>
        <w:rPr>
          <w:rFonts w:eastAsia="Times New Roman"/>
          <w:szCs w:val="24"/>
        </w:rPr>
      </w:pPr>
    </w:p>
    <w:p w14:paraId="71D7CB13" w14:textId="77777777" w:rsidR="007E1F9B" w:rsidRDefault="007E1F9B" w:rsidP="008F1408">
      <w:pPr>
        <w:spacing w:after="0" w:line="480" w:lineRule="auto"/>
        <w:jc w:val="center"/>
        <w:rPr>
          <w:rFonts w:eastAsia="Times New Roman"/>
          <w:szCs w:val="24"/>
        </w:rPr>
      </w:pPr>
      <w:r w:rsidRPr="00143AFF">
        <w:rPr>
          <w:rFonts w:eastAsia="Times New Roman"/>
          <w:noProof/>
          <w:szCs w:val="24"/>
          <w:lang w:val="en-GB" w:eastAsia="en-GB"/>
        </w:rPr>
        <w:lastRenderedPageBreak/>
        <w:drawing>
          <wp:inline distT="0" distB="0" distL="0" distR="0" wp14:anchorId="0BADBCD6" wp14:editId="23321BB6">
            <wp:extent cx="4597060" cy="1710046"/>
            <wp:effectExtent l="0" t="0" r="0" b="5080"/>
            <wp:docPr id="5" name="Picture 5" descr="C:\Users\AWNTIM001\Google Drive\Cape Town 2019\Term 2\Paper 5\a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AWNTIM001\Google Drive\Cape Town 2019\Term 2\Paper 5\anc.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79012" cy="1740531"/>
                    </a:xfrm>
                    <a:prstGeom prst="rect">
                      <a:avLst/>
                    </a:prstGeom>
                    <a:noFill/>
                    <a:ln>
                      <a:noFill/>
                    </a:ln>
                  </pic:spPr>
                </pic:pic>
              </a:graphicData>
            </a:graphic>
          </wp:inline>
        </w:drawing>
      </w:r>
    </w:p>
    <w:p w14:paraId="7E9696D4" w14:textId="77777777" w:rsidR="007E1F9B" w:rsidRPr="004C2A45" w:rsidRDefault="007E1F9B" w:rsidP="008F1408">
      <w:pPr>
        <w:spacing w:after="0" w:line="240" w:lineRule="auto"/>
        <w:rPr>
          <w:rFonts w:eastAsia="Times New Roman"/>
          <w:b/>
          <w:szCs w:val="24"/>
        </w:rPr>
      </w:pPr>
      <w:r w:rsidRPr="004C2A45">
        <w:rPr>
          <w:rFonts w:eastAsia="Times New Roman"/>
          <w:b/>
          <w:szCs w:val="24"/>
        </w:rPr>
        <w:t>Fig 1</w:t>
      </w:r>
      <w:r>
        <w:rPr>
          <w:rFonts w:eastAsia="Times New Roman"/>
          <w:b/>
          <w:szCs w:val="24"/>
        </w:rPr>
        <w:t>e</w:t>
      </w:r>
      <w:r w:rsidRPr="004C2A45">
        <w:rPr>
          <w:rFonts w:eastAsia="Times New Roman"/>
          <w:b/>
          <w:szCs w:val="24"/>
        </w:rPr>
        <w:t xml:space="preserve"> </w:t>
      </w:r>
      <w:r>
        <w:rPr>
          <w:rFonts w:eastAsia="Times New Roman"/>
          <w:b/>
          <w:szCs w:val="24"/>
        </w:rPr>
        <w:t>Model compartments for infectious ANC attendees</w:t>
      </w:r>
    </w:p>
    <w:p w14:paraId="722537D3" w14:textId="77777777" w:rsidR="007E1F9B" w:rsidRPr="00930900" w:rsidRDefault="007E1F9B" w:rsidP="002B6379">
      <w:pPr>
        <w:spacing w:after="0" w:line="480" w:lineRule="auto"/>
        <w:jc w:val="both"/>
        <w:rPr>
          <w:rFonts w:eastAsia="Times New Roman"/>
          <w:szCs w:val="24"/>
        </w:rPr>
      </w:pPr>
    </w:p>
    <w:p w14:paraId="18DBA0C0" w14:textId="167096C6" w:rsidR="007E1F9B" w:rsidRPr="00DB21A1" w:rsidRDefault="007E1F9B" w:rsidP="002B6379">
      <w:pPr>
        <w:spacing w:after="0" w:line="480" w:lineRule="auto"/>
        <w:jc w:val="both"/>
        <w:rPr>
          <w:rFonts w:eastAsia="Times New Roman"/>
          <w:color w:val="FF0000"/>
          <w:szCs w:val="24"/>
        </w:rPr>
      </w:pPr>
      <w:r w:rsidRPr="00930900">
        <w:rPr>
          <w:rFonts w:eastAsia="Times New Roman"/>
          <w:szCs w:val="24"/>
        </w:rPr>
        <w:t xml:space="preserve">Pregnant women are encouraged </w:t>
      </w:r>
      <w:r w:rsidRPr="004841CD">
        <w:rPr>
          <w:rFonts w:eastAsia="Times New Roman"/>
          <w:szCs w:val="24"/>
        </w:rPr>
        <w:t xml:space="preserve">to attend Antenatal Clinic (ANC) once monthly after registration from  weeks 12-13 gestation </w:t>
      </w:r>
      <w:r w:rsidRPr="004841CD">
        <w:rPr>
          <w:rFonts w:eastAsia="Times New Roman"/>
          <w:szCs w:val="24"/>
        </w:rPr>
        <w:fldChar w:fldCharType="begin"/>
      </w:r>
      <w:r w:rsidR="006F1B7D">
        <w:rPr>
          <w:rFonts w:eastAsia="Times New Roman"/>
          <w:szCs w:val="24"/>
        </w:rPr>
        <w:instrText xml:space="preserve"> ADDIN ZOTERO_ITEM CSL_CITATION {"citationID":"8EyxFsDF","properties":{"formattedCitation":"[9]","plainCitation":"[9]","noteIndex":0},"citationItems":[{"id":1395,"uris":["http://zotero.org/users/584652/items/P7MHVKSY"],"uri":["http://zotero.org/users/584652/items/P7MHVKSY"],"itemData":{"id":1395,"type":"article-journal","container-title":"The Lancet","DOI":"10.1016/S0140-6736(15)00837-5","ISSN":"01406736","issue":"10018","language":"en","page":"587-603","source":"Crossref","title":"Stillbirths: rates, risk factors, and acceleration towards 2030","title-short":"Stillbirths","volume":"387","author":[{"family":"Lawn","given":"Joy E"},{"family":"Blencowe","given":"Hannah"},{"family":"Waiswa","given":"Peter"},{"family":"Amouzou","given":"Agbessi"},{"family":"Mathers","given":"Colin"},{"family":"Hogan","given":"Dan"},{"family":"Flenady","given":"Vicki"},{"family":"Frøen","given":"J Frederik"},{"family":"Qureshi","given":"Zeshan U"},{"family":"Calderwood","given":"Claire"},{"family":"Shiekh","given":"Suhail"},{"family":"Jassir","given":"Fiorella Bianchi"},{"family":"You","given":"Danzhen"},{"family":"McClure","given":"Elizabeth M"},{"family":"Mathai","given":"Matthews"},{"family":"Cousens","given":"Simon"}],"issued":{"date-parts":[["2016",2]]}}}],"schema":"https://github.com/citation-style-language/schema/raw/master/csl-citation.json"} </w:instrText>
      </w:r>
      <w:r w:rsidRPr="004841CD">
        <w:rPr>
          <w:rFonts w:eastAsia="Times New Roman"/>
          <w:szCs w:val="24"/>
        </w:rPr>
        <w:fldChar w:fldCharType="separate"/>
      </w:r>
      <w:r w:rsidRPr="00EE2102">
        <w:t>[9]</w:t>
      </w:r>
      <w:r w:rsidRPr="004841CD">
        <w:rPr>
          <w:rFonts w:eastAsia="Times New Roman"/>
          <w:szCs w:val="24"/>
        </w:rPr>
        <w:fldChar w:fldCharType="end"/>
      </w:r>
      <w:r w:rsidRPr="004841CD">
        <w:rPr>
          <w:rFonts w:eastAsia="Times New Roman"/>
          <w:szCs w:val="24"/>
        </w:rPr>
        <w:t xml:space="preserve">. This routine is captured in compartments </w:t>
      </w:r>
      <w:r w:rsidRPr="004841CD">
        <w:rPr>
          <w:rFonts w:eastAsia="Times New Roman"/>
          <w:b/>
          <w:szCs w:val="24"/>
        </w:rPr>
        <w:t>IancN</w:t>
      </w:r>
      <w:r w:rsidRPr="00636EFC">
        <w:rPr>
          <w:rFonts w:eastAsia="Times New Roman"/>
          <w:szCs w:val="24"/>
        </w:rPr>
        <w:t xml:space="preserve"> and </w:t>
      </w:r>
      <w:r w:rsidRPr="00636EFC">
        <w:rPr>
          <w:rFonts w:eastAsia="Times New Roman"/>
          <w:b/>
          <w:szCs w:val="24"/>
        </w:rPr>
        <w:t>IancP</w:t>
      </w:r>
      <w:r w:rsidRPr="00D82707">
        <w:rPr>
          <w:rFonts w:eastAsia="Times New Roman"/>
          <w:szCs w:val="24"/>
        </w:rPr>
        <w:t xml:space="preserve"> for those attending the ANC without an infection</w:t>
      </w:r>
      <w:r>
        <w:rPr>
          <w:rFonts w:eastAsia="Times New Roman"/>
          <w:szCs w:val="24"/>
        </w:rPr>
        <w:t xml:space="preserve"> (from </w:t>
      </w:r>
      <w:r w:rsidRPr="00DB21A1">
        <w:rPr>
          <w:rFonts w:eastAsia="Times New Roman"/>
          <w:b/>
          <w:szCs w:val="24"/>
        </w:rPr>
        <w:t>Snnp</w:t>
      </w:r>
      <w:r>
        <w:rPr>
          <w:rFonts w:eastAsia="Times New Roman"/>
          <w:szCs w:val="24"/>
        </w:rPr>
        <w:t>)</w:t>
      </w:r>
      <w:r w:rsidRPr="00D82707">
        <w:rPr>
          <w:rFonts w:eastAsia="Times New Roman"/>
          <w:szCs w:val="24"/>
        </w:rPr>
        <w:t xml:space="preserve"> and with an infection</w:t>
      </w:r>
      <w:r>
        <w:rPr>
          <w:rFonts w:eastAsia="Times New Roman"/>
          <w:szCs w:val="24"/>
        </w:rPr>
        <w:t xml:space="preserve"> (from </w:t>
      </w:r>
      <w:r w:rsidRPr="00DB21A1">
        <w:rPr>
          <w:rFonts w:eastAsia="Times New Roman"/>
          <w:b/>
          <w:szCs w:val="24"/>
        </w:rPr>
        <w:t>Ic</w:t>
      </w:r>
      <w:r>
        <w:rPr>
          <w:rFonts w:eastAsia="Times New Roman"/>
          <w:szCs w:val="24"/>
        </w:rPr>
        <w:t xml:space="preserve">, </w:t>
      </w:r>
      <w:r w:rsidRPr="00DB21A1">
        <w:rPr>
          <w:rFonts w:eastAsia="Times New Roman"/>
          <w:b/>
          <w:szCs w:val="24"/>
        </w:rPr>
        <w:t>Ia</w:t>
      </w:r>
      <w:r>
        <w:rPr>
          <w:rFonts w:eastAsia="Times New Roman"/>
          <w:szCs w:val="24"/>
        </w:rPr>
        <w:t xml:space="preserve"> and </w:t>
      </w:r>
      <w:r w:rsidRPr="00DB21A1">
        <w:rPr>
          <w:rFonts w:eastAsia="Times New Roman"/>
          <w:b/>
          <w:szCs w:val="24"/>
        </w:rPr>
        <w:t>Ism</w:t>
      </w:r>
      <w:r>
        <w:rPr>
          <w:rFonts w:eastAsia="Times New Roman"/>
          <w:szCs w:val="24"/>
        </w:rPr>
        <w:t>)</w:t>
      </w:r>
      <w:r w:rsidRPr="00D82707">
        <w:rPr>
          <w:rFonts w:eastAsia="Times New Roman"/>
          <w:szCs w:val="24"/>
        </w:rPr>
        <w:t xml:space="preserve"> respectively</w:t>
      </w:r>
      <w:r>
        <w:rPr>
          <w:rFonts w:eastAsia="Times New Roman"/>
          <w:szCs w:val="24"/>
        </w:rPr>
        <w:t>. Attendees are all screened and tested with an RDT or Microscopy to confirm malaria infection (symptomatic or asymptomatic)</w:t>
      </w:r>
      <w:r w:rsidRPr="00D82707">
        <w:rPr>
          <w:rFonts w:eastAsia="Times New Roman"/>
          <w:szCs w:val="24"/>
        </w:rPr>
        <w:t>. From these compartments, a</w:t>
      </w:r>
      <w:r w:rsidRPr="005E0036">
        <w:rPr>
          <w:rFonts w:eastAsia="Times New Roman"/>
          <w:szCs w:val="24"/>
        </w:rPr>
        <w:t xml:space="preserve"> monthly single dose course of </w:t>
      </w:r>
      <w:r w:rsidRPr="00930900">
        <w:rPr>
          <w:rStyle w:val="e24kjd"/>
          <w:bCs/>
        </w:rPr>
        <w:t xml:space="preserve">Sulfadoxine </w:t>
      </w:r>
      <w:r w:rsidRPr="00930900">
        <w:rPr>
          <w:rStyle w:val="e24kjd"/>
        </w:rPr>
        <w:t>-</w:t>
      </w:r>
      <w:r w:rsidRPr="00930900">
        <w:rPr>
          <w:rStyle w:val="e24kjd"/>
          <w:bCs/>
        </w:rPr>
        <w:t>pyrimethamine</w:t>
      </w:r>
      <w:r w:rsidRPr="00930900">
        <w:rPr>
          <w:rFonts w:eastAsia="Times New Roman"/>
          <w:szCs w:val="24"/>
        </w:rPr>
        <w:t xml:space="preserve"> (SP) is administered </w:t>
      </w:r>
      <w:r>
        <w:rPr>
          <w:rFonts w:eastAsia="Times New Roman"/>
          <w:szCs w:val="24"/>
        </w:rPr>
        <w:t>as a preventative</w:t>
      </w:r>
      <w:r w:rsidRPr="00930900">
        <w:rPr>
          <w:rFonts w:eastAsia="Times New Roman"/>
          <w:szCs w:val="24"/>
        </w:rPr>
        <w:t xml:space="preserve"> treatment </w:t>
      </w:r>
      <w:r>
        <w:rPr>
          <w:rFonts w:eastAsia="Times New Roman"/>
          <w:szCs w:val="24"/>
        </w:rPr>
        <w:t>for</w:t>
      </w:r>
      <w:r w:rsidRPr="00930900">
        <w:rPr>
          <w:rFonts w:eastAsia="Times New Roman"/>
          <w:szCs w:val="24"/>
        </w:rPr>
        <w:t xml:space="preserve"> malaria infection</w:t>
      </w:r>
      <w:r>
        <w:rPr>
          <w:rFonts w:eastAsia="Times New Roman"/>
          <w:szCs w:val="24"/>
        </w:rPr>
        <w:t xml:space="preserve"> for all pregnant women seen except  for those confirmed to be symptomatically infected who are consequently administered an appropriate treatment according to national treatment guidelines for pregnant women</w:t>
      </w:r>
      <w:r w:rsidRPr="00930900">
        <w:rPr>
          <w:rFonts w:eastAsia="Times New Roman"/>
          <w:szCs w:val="24"/>
        </w:rPr>
        <w:t xml:space="preserve"> </w:t>
      </w:r>
      <w:r w:rsidRPr="004841CD">
        <w:rPr>
          <w:rFonts w:eastAsia="Times New Roman"/>
          <w:szCs w:val="24"/>
        </w:rPr>
        <w:fldChar w:fldCharType="begin"/>
      </w:r>
      <w:r w:rsidR="006F1B7D">
        <w:rPr>
          <w:rFonts w:eastAsia="Times New Roman"/>
          <w:szCs w:val="24"/>
        </w:rPr>
        <w:instrText xml:space="preserve"> ADDIN ZOTERO_ITEM CSL_CITATION {"citationID":"04zEXSrx","properties":{"formattedCitation":"[10]","plainCitation":"[10]","noteIndex":0},"citationItems":[{"id":1517,"uris":["http://zotero.org/users/584652/items/UF3XJHTM"],"uri":["http://zotero.org/users/584652/items/UF3XJHTM"],"itemData":{"id":1517,"type":"article-journal","abstract":"Background:  Malaria in pregnancy poses a great risk to both mother and fetus. In Ghana, malaria accounts for 3.4% of deaths and 16.8% of all hospital admissions in pregnant women. In 2014, Ghana updated her policy on intermittent preventive treatment of malaria in pregnancy with sulfadoxine–pyrimethamine (IPTp-SP) to reflect the updated policy of the WHO. This study determined the level of uptake of sulfadoxine pyrimethamine (SP) to serve as baseline for monitoring progress and also reviewed stock levels of SP, a key factor in the programme implementation.\nMethods:  A cross-sectional hospital-based study was carried out among nursing mothers who had delivered within 12 weeks and were seeking postnatal care at Osu Government Maternity Home in Accra. Antenatal record books of the mothers were reviewed and data collected on number of visits and receipt of IPTp-SP. Mothers were interviewed and data collected on their background characteristics and obstetric history. Data on SP stock levels for the past 6 months were also reviewed. Logistic regression analysis was carried out to determine antenatal indicators on uptake of IPTp-SP using Stata version 12.\nResults:  The proportion of uptake of three-five doses of SP were: IPT3 (87.5%), IPT4 (55.7%) and IPT5 (14.5%). The pro‑portion of women who received the first dose of SP at 16 weeks of gestation was 21.3%. Women who made ≥4 visits were more likely to receive ≥3 doses of SP than those who made &lt;4 visits (AOR = 4.57, 95% CI 1.15–18.16, p &lt; 0.05). Women receiving the first dose of SP in the third trimester were less likely to receive ≥3 doses of SP than those who received the drug in the second trimester (AOR = 0.04, 95% CI 0.01–0.16, p &lt; 0.05). Stock levels of SP were adequate to meet the demands by the pregnant women at the Maternity Home for the period under review.\nConclusions:  The uptake of ≥3 doses of SP was high in the study area. Frequent visits to the antenatal clinic and early uptake of the first dose of SP by pregnant women are necessary to achieve the new target of five or more doses of SP.","container-title":"Malaria Journal","DOI":"10.1186/s12936-017-1969-7","ISSN":"1475-2875","issue":"1","journalAbbreviation":"Malar J","language":"en","page":"323","source":"DOI.org (Crossref)","title":"Intermittent preventive treatment of malaria in pregnancy: a cross-sectional survey to assess uptake of the new sulfadoxine–pyrimethamine five dose policy in Ghana","title-short":"Intermittent preventive treatment of malaria in pregnancy","volume":"16","author":[{"family":"Owusu-Boateng","given":"Ivy"},{"family":"Anto","given":"Francis"}],"issued":{"date-parts":[["2017",12]]}}}],"schema":"https://github.com/citation-style-language/schema/raw/master/csl-citation.json"} </w:instrText>
      </w:r>
      <w:r w:rsidRPr="004841CD">
        <w:rPr>
          <w:rFonts w:eastAsia="Times New Roman"/>
          <w:szCs w:val="24"/>
        </w:rPr>
        <w:fldChar w:fldCharType="separate"/>
      </w:r>
      <w:r w:rsidRPr="00EE2102">
        <w:t>[10]</w:t>
      </w:r>
      <w:r w:rsidRPr="004841CD">
        <w:rPr>
          <w:rFonts w:eastAsia="Times New Roman"/>
          <w:szCs w:val="24"/>
        </w:rPr>
        <w:fldChar w:fldCharType="end"/>
      </w:r>
      <w:r w:rsidRPr="004841CD">
        <w:rPr>
          <w:rFonts w:eastAsia="Times New Roman"/>
          <w:szCs w:val="24"/>
        </w:rPr>
        <w:t xml:space="preserve">. </w:t>
      </w:r>
      <w:r>
        <w:rPr>
          <w:rFonts w:eastAsia="Times New Roman"/>
          <w:szCs w:val="24"/>
        </w:rPr>
        <w:t xml:space="preserve">Confirmed clinical cases among pregnant women who get treated are represented by </w:t>
      </w:r>
      <w:r w:rsidRPr="00DB21A1">
        <w:rPr>
          <w:rFonts w:eastAsia="Times New Roman"/>
          <w:b/>
          <w:szCs w:val="24"/>
        </w:rPr>
        <w:t>RDTMicSens*(1 –pt3)*AC</w:t>
      </w:r>
      <w:r>
        <w:rPr>
          <w:rFonts w:eastAsia="Times New Roman"/>
          <w:b/>
          <w:szCs w:val="24"/>
        </w:rPr>
        <w:t xml:space="preserve"> </w:t>
      </w:r>
      <w:r w:rsidRPr="00143AFF">
        <w:rPr>
          <w:rFonts w:eastAsia="Times New Roman"/>
          <w:szCs w:val="24"/>
        </w:rPr>
        <w:t>(added to those treated at the Outpatients, as shown in Fig 1d)</w:t>
      </w:r>
      <w:r>
        <w:rPr>
          <w:rFonts w:eastAsia="Times New Roman"/>
          <w:szCs w:val="24"/>
        </w:rPr>
        <w:t xml:space="preserve">, where </w:t>
      </w:r>
      <w:r w:rsidRPr="00DB21A1">
        <w:rPr>
          <w:rFonts w:eastAsia="Times New Roman"/>
          <w:b/>
          <w:szCs w:val="24"/>
        </w:rPr>
        <w:t>pt3</w:t>
      </w:r>
      <w:r>
        <w:rPr>
          <w:rFonts w:eastAsia="Times New Roman"/>
          <w:szCs w:val="24"/>
        </w:rPr>
        <w:t xml:space="preserve"> is the proportion of ANC attendees who receive SP with or without an asymptomatic infection and </w:t>
      </w:r>
      <w:r w:rsidRPr="00DB21A1">
        <w:rPr>
          <w:rFonts w:eastAsia="Times New Roman"/>
          <w:b/>
          <w:szCs w:val="24"/>
        </w:rPr>
        <w:t>AC</w:t>
      </w:r>
      <w:r>
        <w:rPr>
          <w:rFonts w:eastAsia="Times New Roman"/>
          <w:szCs w:val="24"/>
        </w:rPr>
        <w:t xml:space="preserve"> is rate of ANC attendance and </w:t>
      </w:r>
      <w:r w:rsidRPr="00565BE6">
        <w:rPr>
          <w:rFonts w:eastAsia="Times New Roman"/>
          <w:b/>
          <w:szCs w:val="24"/>
        </w:rPr>
        <w:t>RDTMicSens</w:t>
      </w:r>
      <w:r>
        <w:rPr>
          <w:rFonts w:eastAsia="Times New Roman"/>
          <w:szCs w:val="24"/>
        </w:rPr>
        <w:t xml:space="preserve"> is the average sensitivity of RDT and Microscopy </w:t>
      </w:r>
      <w:r>
        <w:rPr>
          <w:rFonts w:eastAsia="Times New Roman"/>
          <w:szCs w:val="24"/>
        </w:rPr>
        <w:fldChar w:fldCharType="begin"/>
      </w:r>
      <w:r w:rsidR="006F1B7D">
        <w:rPr>
          <w:rFonts w:eastAsia="Times New Roman"/>
          <w:szCs w:val="24"/>
        </w:rPr>
        <w:instrText xml:space="preserve"> ADDIN ZOTERO_ITEM CSL_CITATION {"citationID":"uFwYZLhQ","properties":{"formattedCitation":"[11]","plainCitation":"[11]","noteIndex":0},"citationItems":[{"id":1520,"uris":["http://zotero.org/users/584652/items/AMKL28SK"],"uri":["http://zotero.org/users/584652/items/AMKL28SK"],"itemData":{"id":1520,"type":"article-journal","abstract":"Background. Rapid diagnostic tests (RDTs) and micr oscopy ar e r outinely used for the diagnosis of malar ia in Ghana. DNA-based polymerase chain reaction (PCR) is not yet used routinely. We compared diagnostic methods and tested the sensitivities of different malaria diagnostic methods against PCR. Materials and methods. Study par ticipants fr om four hospitals with a suspicion of malar ia donated finger -prick blood for RDT and blood film examination. In addition, a blood spot was collected for PCR analysis, prior to treatment. Retrospective species-specific PCR was performed on all samples collected.\nResults. Using PCR we found an over all malar ia pr evalence of 39% among the 211 evaluable blood spots (83/211) and this ranged between 6-61% across the four hospitals. Of the 164 participants with RDT data, malaria prevalence was 57% (94/164), ranging from 3-100% from the four hospitals. Microscopy was the least sensitive with a parasite prevalence of 21% (25/119) of the evaluable 119 participants, varying from 9 to 35% across three health facilities. By comparison, we found the sensitivities and specificities of RDT results when compared to PCR to be slightly higher than microscopy compared to PCR. These were 56.4% versus 41.7% and 90% versus 81.9%, respectively, but generally lower than expected. Ninety-five percent of the PCR-detected infections were P. falciparum, while 4% were mixed species infections of P. falciparum and P. malariae, with the remaining being a mono-infection of P. malariae.\nConclusions. While using PCR as a gold standar d, we found RDT to be mor e r eliable in diagnosing malar ia than microscopy. In addition, a majority of malaria-treated cases were not supported by PCR diagnosis, leading to possible overtreatment. Pragmatic strategies are needed to ensure suspected malaria cases are accurately diagnosed before treatment.","issue":"5","language":"en","page":"7","source":"Zotero","title":"Comparison of malaria diagnostic methods in four hospitals in the Volta region of Ghana","volume":"7","author":[{"family":"Dinko","given":"Bismarck"},{"family":"Ayivor","given":"Reuben"},{"family":"Abugri","given":"James"},{"family":"Agboli","given":"Eric"},{"family":"Kye","given":"Gideon"},{"family":"Tagboto","given":"Senyo"},{"family":"Tampuori","given":"John"},{"family":"Adzaku","given":"Festus"},{"family":"Binka","given":"Fred N"},{"family":"Awandare","given":"Gordon A"}],"issued":{"date-parts":[["2016"]]}}}],"schema":"https://github.com/citation-style-language/schema/raw/master/csl-citation.json"} </w:instrText>
      </w:r>
      <w:r>
        <w:rPr>
          <w:rFonts w:eastAsia="Times New Roman"/>
          <w:szCs w:val="24"/>
        </w:rPr>
        <w:fldChar w:fldCharType="separate"/>
      </w:r>
      <w:r w:rsidRPr="00EE2102">
        <w:t>[11]</w:t>
      </w:r>
      <w:r>
        <w:rPr>
          <w:rFonts w:eastAsia="Times New Roman"/>
          <w:szCs w:val="24"/>
        </w:rPr>
        <w:fldChar w:fldCharType="end"/>
      </w:r>
      <w:r>
        <w:rPr>
          <w:rFonts w:eastAsia="Times New Roman"/>
          <w:szCs w:val="24"/>
        </w:rPr>
        <w:t>.</w:t>
      </w:r>
    </w:p>
    <w:p w14:paraId="3CB2AC68" w14:textId="77777777" w:rsidR="007E1F9B" w:rsidRPr="004841CD" w:rsidRDefault="007E1F9B" w:rsidP="002B6379">
      <w:pPr>
        <w:spacing w:after="0" w:line="480" w:lineRule="auto"/>
        <w:jc w:val="both"/>
        <w:rPr>
          <w:rFonts w:eastAsia="Times New Roman"/>
          <w:szCs w:val="24"/>
        </w:rPr>
      </w:pPr>
    </w:p>
    <w:p w14:paraId="2D8CF6A3" w14:textId="77777777" w:rsidR="007E1F9B" w:rsidRDefault="007E1F9B" w:rsidP="002B6379">
      <w:pPr>
        <w:spacing w:after="0" w:line="480" w:lineRule="auto"/>
        <w:jc w:val="both"/>
        <w:rPr>
          <w:rFonts w:eastAsia="Times New Roman"/>
          <w:szCs w:val="24"/>
        </w:rPr>
      </w:pPr>
      <w:r w:rsidRPr="00636EFC">
        <w:rPr>
          <w:rFonts w:eastAsia="Times New Roman"/>
          <w:szCs w:val="24"/>
        </w:rPr>
        <w:t>Similarly, depending on the level of SP resistance</w:t>
      </w:r>
      <w:r>
        <w:rPr>
          <w:rFonts w:eastAsia="Times New Roman"/>
          <w:szCs w:val="24"/>
        </w:rPr>
        <w:t xml:space="preserve"> (</w:t>
      </w:r>
      <w:r w:rsidRPr="00DB21A1">
        <w:rPr>
          <w:rFonts w:eastAsia="Times New Roman"/>
          <w:b/>
          <w:szCs w:val="24"/>
        </w:rPr>
        <w:t>rs3</w:t>
      </w:r>
      <w:r>
        <w:rPr>
          <w:rFonts w:eastAsia="Times New Roman"/>
          <w:szCs w:val="24"/>
        </w:rPr>
        <w:t>)</w:t>
      </w:r>
      <w:r w:rsidRPr="00636EFC">
        <w:rPr>
          <w:rFonts w:eastAsia="Times New Roman"/>
          <w:szCs w:val="24"/>
        </w:rPr>
        <w:t xml:space="preserve">, a proportion of the pregnant women treated in the </w:t>
      </w:r>
      <w:r w:rsidRPr="00636EFC">
        <w:rPr>
          <w:rFonts w:eastAsia="Times New Roman"/>
          <w:b/>
          <w:szCs w:val="24"/>
        </w:rPr>
        <w:t>Tr3</w:t>
      </w:r>
      <w:r w:rsidRPr="00D82707">
        <w:rPr>
          <w:rFonts w:eastAsia="Times New Roman"/>
          <w:szCs w:val="24"/>
        </w:rPr>
        <w:t xml:space="preserve"> compartment</w:t>
      </w:r>
      <w:r>
        <w:rPr>
          <w:rFonts w:eastAsia="Times New Roman"/>
          <w:szCs w:val="24"/>
        </w:rPr>
        <w:t xml:space="preserve"> with SP</w:t>
      </w:r>
      <w:r w:rsidRPr="00D82707">
        <w:rPr>
          <w:rFonts w:eastAsia="Times New Roman"/>
          <w:szCs w:val="24"/>
        </w:rPr>
        <w:t xml:space="preserve"> may f</w:t>
      </w:r>
      <w:r w:rsidRPr="005E0036">
        <w:rPr>
          <w:rFonts w:eastAsia="Times New Roman"/>
          <w:szCs w:val="24"/>
        </w:rPr>
        <w:t xml:space="preserve">ail </w:t>
      </w:r>
      <w:r>
        <w:rPr>
          <w:rFonts w:eastAsia="Times New Roman"/>
          <w:szCs w:val="24"/>
        </w:rPr>
        <w:t>to prevent an infection</w:t>
      </w:r>
      <w:r w:rsidRPr="005E0036">
        <w:rPr>
          <w:rFonts w:eastAsia="Times New Roman"/>
          <w:szCs w:val="24"/>
        </w:rPr>
        <w:t xml:space="preserve"> and progress into the </w:t>
      </w:r>
      <w:r w:rsidRPr="005E0036">
        <w:rPr>
          <w:rFonts w:eastAsia="Times New Roman"/>
          <w:b/>
          <w:szCs w:val="24"/>
        </w:rPr>
        <w:t>Trf3</w:t>
      </w:r>
      <w:r w:rsidRPr="005E0036">
        <w:rPr>
          <w:rFonts w:eastAsia="Times New Roman"/>
          <w:szCs w:val="24"/>
        </w:rPr>
        <w:t xml:space="preserve"> compartment from where they could subsequently return into </w:t>
      </w:r>
      <w:r w:rsidRPr="005E0036">
        <w:rPr>
          <w:rFonts w:eastAsia="Times New Roman"/>
          <w:b/>
          <w:szCs w:val="24"/>
        </w:rPr>
        <w:t>Tr3</w:t>
      </w:r>
      <w:r w:rsidRPr="005E0036">
        <w:rPr>
          <w:rFonts w:eastAsia="Times New Roman"/>
          <w:szCs w:val="24"/>
        </w:rPr>
        <w:t xml:space="preserve"> compartments </w:t>
      </w:r>
      <w:r>
        <w:rPr>
          <w:rFonts w:eastAsia="Times New Roman"/>
          <w:szCs w:val="24"/>
        </w:rPr>
        <w:t xml:space="preserve">for </w:t>
      </w:r>
      <w:r w:rsidRPr="005E0036">
        <w:rPr>
          <w:rFonts w:eastAsia="Times New Roman"/>
          <w:szCs w:val="24"/>
        </w:rPr>
        <w:t>another treatment</w:t>
      </w:r>
      <w:r>
        <w:rPr>
          <w:rFonts w:eastAsia="Times New Roman"/>
          <w:szCs w:val="24"/>
        </w:rPr>
        <w:t xml:space="preserve"> dose during their next visit if their infection did not develop into clinical malaria.</w:t>
      </w:r>
    </w:p>
    <w:p w14:paraId="5C7DBDA4" w14:textId="0BCB2667" w:rsidR="007E1F9B" w:rsidRDefault="007E1F9B" w:rsidP="002B6379">
      <w:pPr>
        <w:spacing w:after="0" w:line="480" w:lineRule="auto"/>
        <w:jc w:val="both"/>
        <w:rPr>
          <w:rFonts w:eastAsia="Times New Roman"/>
          <w:szCs w:val="24"/>
        </w:rPr>
      </w:pPr>
      <w:r w:rsidRPr="004841CD">
        <w:rPr>
          <w:rFonts w:eastAsia="Times New Roman"/>
          <w:szCs w:val="24"/>
        </w:rPr>
        <w:lastRenderedPageBreak/>
        <w:t xml:space="preserve">It is to be noted that, </w:t>
      </w:r>
      <w:r>
        <w:rPr>
          <w:rFonts w:eastAsia="Times New Roman"/>
          <w:szCs w:val="24"/>
        </w:rPr>
        <w:t>Intermittent Preventive Treatment in pregnancy (</w:t>
      </w:r>
      <w:r w:rsidRPr="004841CD">
        <w:rPr>
          <w:rFonts w:eastAsia="Times New Roman"/>
          <w:szCs w:val="24"/>
        </w:rPr>
        <w:t>IPTp</w:t>
      </w:r>
      <w:r>
        <w:rPr>
          <w:rFonts w:eastAsia="Times New Roman"/>
          <w:szCs w:val="24"/>
        </w:rPr>
        <w:t>)</w:t>
      </w:r>
      <w:r w:rsidRPr="004841CD">
        <w:rPr>
          <w:rFonts w:eastAsia="Times New Roman"/>
          <w:szCs w:val="24"/>
        </w:rPr>
        <w:t xml:space="preserve"> is primarily to improve birth comes by preventing malaria infections</w:t>
      </w:r>
      <w:r>
        <w:rPr>
          <w:rFonts w:eastAsia="Times New Roman"/>
          <w:szCs w:val="24"/>
        </w:rPr>
        <w:t xml:space="preserve"> during pregnancy</w:t>
      </w:r>
      <w:r w:rsidRPr="004841CD">
        <w:rPr>
          <w:rFonts w:eastAsia="Times New Roman"/>
          <w:szCs w:val="24"/>
        </w:rPr>
        <w:t xml:space="preserve">, </w:t>
      </w:r>
      <w:r>
        <w:rPr>
          <w:rFonts w:eastAsia="Times New Roman"/>
          <w:szCs w:val="24"/>
        </w:rPr>
        <w:t xml:space="preserve">but since </w:t>
      </w:r>
      <w:r w:rsidRPr="004841CD">
        <w:rPr>
          <w:rFonts w:eastAsia="Times New Roman"/>
          <w:szCs w:val="24"/>
        </w:rPr>
        <w:t>pregnant wom</w:t>
      </w:r>
      <w:r w:rsidRPr="00636EFC">
        <w:rPr>
          <w:rFonts w:eastAsia="Times New Roman"/>
          <w:szCs w:val="24"/>
        </w:rPr>
        <w:t>en presenting at the ANC are</w:t>
      </w:r>
      <w:r>
        <w:rPr>
          <w:rFonts w:eastAsia="Times New Roman"/>
          <w:szCs w:val="24"/>
        </w:rPr>
        <w:t xml:space="preserve"> </w:t>
      </w:r>
      <w:r w:rsidRPr="004841CD">
        <w:rPr>
          <w:rFonts w:eastAsia="Times New Roman"/>
          <w:szCs w:val="24"/>
        </w:rPr>
        <w:t xml:space="preserve">screened for </w:t>
      </w:r>
      <w:r>
        <w:rPr>
          <w:rFonts w:eastAsia="Times New Roman"/>
          <w:szCs w:val="24"/>
        </w:rPr>
        <w:t xml:space="preserve">clinical </w:t>
      </w:r>
      <w:r w:rsidRPr="004841CD">
        <w:rPr>
          <w:rFonts w:eastAsia="Times New Roman"/>
          <w:szCs w:val="24"/>
        </w:rPr>
        <w:t>malaria infection</w:t>
      </w:r>
      <w:r>
        <w:rPr>
          <w:rFonts w:eastAsia="Times New Roman"/>
          <w:szCs w:val="24"/>
        </w:rPr>
        <w:t>,</w:t>
      </w:r>
      <w:r w:rsidRPr="004841CD">
        <w:rPr>
          <w:rFonts w:eastAsia="Times New Roman"/>
          <w:szCs w:val="24"/>
        </w:rPr>
        <w:t xml:space="preserve"> among others</w:t>
      </w:r>
      <w:r>
        <w:rPr>
          <w:rFonts w:eastAsia="Times New Roman"/>
          <w:szCs w:val="24"/>
        </w:rPr>
        <w:t>, and</w:t>
      </w:r>
      <w:r w:rsidRPr="004841CD">
        <w:rPr>
          <w:rFonts w:eastAsia="Times New Roman"/>
          <w:szCs w:val="24"/>
        </w:rPr>
        <w:t xml:space="preserve"> treated appropriately </w:t>
      </w:r>
      <w:r>
        <w:rPr>
          <w:rFonts w:eastAsia="Times New Roman"/>
          <w:szCs w:val="24"/>
        </w:rPr>
        <w:t>and captured into the ANC register</w:t>
      </w:r>
      <w:r w:rsidRPr="00636EFC">
        <w:rPr>
          <w:rFonts w:eastAsia="Times New Roman"/>
          <w:szCs w:val="24"/>
        </w:rPr>
        <w:t xml:space="preserve"> as part of the morbidity cases</w:t>
      </w:r>
      <w:r>
        <w:rPr>
          <w:rFonts w:eastAsia="Times New Roman"/>
          <w:szCs w:val="24"/>
        </w:rPr>
        <w:t xml:space="preserve"> </w:t>
      </w:r>
      <w:r w:rsidRPr="00636EFC">
        <w:rPr>
          <w:rFonts w:eastAsia="Times New Roman"/>
          <w:szCs w:val="24"/>
        </w:rPr>
        <w:t xml:space="preserve">in the routine data </w:t>
      </w:r>
      <w:r w:rsidRPr="005E0036">
        <w:rPr>
          <w:rFonts w:eastAsia="Times New Roman"/>
          <w:szCs w:val="24"/>
        </w:rPr>
        <w:t xml:space="preserve">collection </w:t>
      </w:r>
      <w:r>
        <w:rPr>
          <w:rFonts w:eastAsia="Times New Roman"/>
          <w:szCs w:val="24"/>
        </w:rPr>
        <w:t>on</w:t>
      </w:r>
      <w:r w:rsidRPr="005E0036">
        <w:rPr>
          <w:rFonts w:eastAsia="Times New Roman"/>
          <w:szCs w:val="24"/>
        </w:rPr>
        <w:t xml:space="preserve"> the DHIMS</w:t>
      </w:r>
      <w:r>
        <w:rPr>
          <w:rFonts w:eastAsia="Times New Roman"/>
          <w:szCs w:val="24"/>
        </w:rPr>
        <w:t xml:space="preserve">, this process is deemed important and therefore could not to be ignored in the model setup </w:t>
      </w:r>
      <w:r>
        <w:rPr>
          <w:rFonts w:eastAsia="Times New Roman"/>
          <w:szCs w:val="24"/>
        </w:rPr>
        <w:fldChar w:fldCharType="begin"/>
      </w:r>
      <w:r w:rsidR="006F1B7D">
        <w:rPr>
          <w:rFonts w:eastAsia="Times New Roman"/>
          <w:szCs w:val="24"/>
        </w:rPr>
        <w:instrText xml:space="preserve"> ADDIN ZOTERO_ITEM CSL_CITATION {"citationID":"uJRsadf8","properties":{"formattedCitation":"[12]","plainCitation":"[12]","noteIndex":0},"citationItems":[{"id":1593,"uris":["http://zotero.org/users/584652/items/3ZG9J536"],"uri":["http://zotero.org/users/584652/items/3ZG9J536"],"itemData":{"id":1593,"type":"article","title":"Implementing Malaria in Pregnancy Programs in the Context of World Health Organization Recommendations on Antenatal Care for a Positive Pregnancy Experience.Geneva, Switzerland: WHO; 2017. Licence: CC BY-NC-SA 3.0 IGO. WHO/RHR/18.05.","URL":"https://apps.who.int/iris/bitstream/handle/10665/259954/WHO-RHR-18.05-eng.pdf?sequence=1","author":[{"family":". World Health Organization (WHO)","given":""}],"issued":{"date-parts":[["2018"]]}}}],"schema":"https://github.com/citation-style-language/schema/raw/master/csl-citation.json"} </w:instrText>
      </w:r>
      <w:r>
        <w:rPr>
          <w:rFonts w:eastAsia="Times New Roman"/>
          <w:szCs w:val="24"/>
        </w:rPr>
        <w:fldChar w:fldCharType="separate"/>
      </w:r>
      <w:r w:rsidRPr="00EE2102">
        <w:t>[12]</w:t>
      </w:r>
      <w:r>
        <w:rPr>
          <w:rFonts w:eastAsia="Times New Roman"/>
          <w:szCs w:val="24"/>
        </w:rPr>
        <w:fldChar w:fldCharType="end"/>
      </w:r>
      <w:r w:rsidRPr="005E0036">
        <w:rPr>
          <w:rFonts w:eastAsia="Times New Roman"/>
          <w:szCs w:val="24"/>
        </w:rPr>
        <w:t>.</w:t>
      </w:r>
    </w:p>
    <w:p w14:paraId="5EE11B83" w14:textId="77777777" w:rsidR="007E1F9B" w:rsidRPr="005E0036" w:rsidRDefault="007E1F9B" w:rsidP="002B6379">
      <w:pPr>
        <w:spacing w:after="0" w:line="480" w:lineRule="auto"/>
        <w:jc w:val="both"/>
        <w:rPr>
          <w:rFonts w:eastAsia="Times New Roman"/>
          <w:szCs w:val="24"/>
        </w:rPr>
      </w:pPr>
    </w:p>
    <w:p w14:paraId="7CE94FBF" w14:textId="77777777" w:rsidR="007E1F9B" w:rsidRDefault="007E1F9B" w:rsidP="002B6379">
      <w:pPr>
        <w:spacing w:after="0" w:line="480" w:lineRule="auto"/>
        <w:jc w:val="both"/>
        <w:rPr>
          <w:rFonts w:eastAsia="Times New Roman"/>
          <w:b/>
          <w:szCs w:val="24"/>
        </w:rPr>
      </w:pPr>
      <w:r w:rsidRPr="00DB21A1">
        <w:rPr>
          <w:rFonts w:eastAsia="Times New Roman"/>
          <w:b/>
          <w:szCs w:val="24"/>
        </w:rPr>
        <w:t>Malaria attributable deaths</w:t>
      </w:r>
    </w:p>
    <w:p w14:paraId="1DA54674" w14:textId="411A616B" w:rsidR="007E1F9B" w:rsidRPr="00143AFF" w:rsidRDefault="007E1F9B" w:rsidP="002B6379">
      <w:pPr>
        <w:spacing w:after="0" w:line="480" w:lineRule="auto"/>
        <w:jc w:val="both"/>
        <w:rPr>
          <w:rFonts w:eastAsia="Times New Roman"/>
          <w:szCs w:val="24"/>
        </w:rPr>
      </w:pPr>
      <w:r w:rsidRPr="00143AFF">
        <w:rPr>
          <w:rFonts w:eastAsia="Times New Roman"/>
          <w:szCs w:val="24"/>
        </w:rPr>
        <w:t xml:space="preserve">Malaria attributable deaths are drawn from the </w:t>
      </w:r>
      <w:r w:rsidRPr="007C7C48">
        <w:rPr>
          <w:rFonts w:eastAsia="Times New Roman"/>
          <w:b/>
          <w:szCs w:val="24"/>
        </w:rPr>
        <w:t>Isd</w:t>
      </w:r>
      <w:r w:rsidRPr="00143AFF">
        <w:rPr>
          <w:rFonts w:eastAsia="Times New Roman"/>
          <w:szCs w:val="24"/>
        </w:rPr>
        <w:t xml:space="preserve"> compartments only as the deaths due to uncomplicated malaria when treated promptly is insignificant (0.1%). Proportion of under 5 years old and adults were adjusted for and calibrated with estimates from the Global Burden of disease (GBD) </w:t>
      </w:r>
      <w:r w:rsidRPr="00143AFF">
        <w:rPr>
          <w:rFonts w:eastAsia="Times New Roman"/>
          <w:szCs w:val="24"/>
        </w:rPr>
        <w:fldChar w:fldCharType="begin"/>
      </w:r>
      <w:r w:rsidR="006F1B7D">
        <w:rPr>
          <w:rFonts w:eastAsia="Times New Roman"/>
          <w:szCs w:val="24"/>
        </w:rPr>
        <w:instrText xml:space="preserve"> ADDIN ZOTERO_ITEM CSL_CITATION {"citationID":"joxSYHKn","properties":{"formattedCitation":"[13,14]","plainCitation":"[13,14]","noteIndex":0},"citationItems":[{"id":1588,"uris":["http://zotero.org/users/584652/items/3YH96HIZ"],"uri":["http://zotero.org/users/584652/items/3YH96HIZ"],"itemData":{"id":1588,"type":"article-journal","abstract":"Although global morbidity and mortality have decreased substantially, malaria, a parasite infection of red blood cells, still kills roughly 2000 people per day, most of whom are children in Africa. Two factors largely account for these decreases; increased deployment of insecticide-treated bednets and increased availability of highly effective artemisinin combination treatments. In large trials, parenteral artesunate (an artemisinin derivative) reduced severe malaria mortality by 22·5% in Africa and 34·7% in Asia compared with quinine, whereas adjunctive interventions have been uniformly unsuccessful. Rapid tests have been an important addition to microscopy for malaria diagnosis. Chemopreventive strategies have been increasingly deployed in Africa, notably intermittent sulfadoxine–pyrimethamine treatment in pregnancy, and monthly amodiaquine–sulfadoxine–pyrimethamine during the rainy season months in children aged between 3 months and 5 years across the sub-Sahel. Enthusiasm for malaria elimination has resurfaced. This ambitious but laudable goal faces many challenges, including the worldwide economic downturn, difficulties in elimination of vivax malaria, development of pyrethroid resistance in some anopheline mosquitoes, and the emergence of artemisinin resistance in Plasmodium falciparum in southeast Asia. We review the epidemiology, clinical features, pathology, prevention, and treatment of malaria.","container-title":"The Lancet","DOI":"10.1016/S0140-6736(13)60024-0","ISSN":"0140-6736","issue":"9918","journalAbbreviation":"The Lancet","language":"en","page":"723-735","source":"ScienceDirect","title":"Malaria","volume":"383","author":[{"family":"White","given":"Nicholas J"},{"family":"Pukrittayakamee","given":"Sasithon"},{"family":"Hien","given":"Tran Tinh"},{"family":"Faiz","given":"M Abul"},{"family":"Mokuolu","given":"Olugbenga A"},{"family":"Dondorp","given":"Arjen M"}],"issued":{"date-parts":[["2014",2,22]]}}},{"id":1587,"uris":["http://zotero.org/users/584652/items/EWZS3BAT"],"uri":["http://zotero.org/users/584652/items/EWZS3BAT"],"itemData":{"id":1587,"type":"webpage","title":"Global Health Data Exchange,GBD Compare","URL":"https://vizhub.healthdata.org/gbd-compare/#","author":[{"family":"Institute for Health Metrics and Evaluation","given":""}]}}],"schema":"https://github.com/citation-style-language/schema/raw/master/csl-citation.json"} </w:instrText>
      </w:r>
      <w:r w:rsidRPr="00143AFF">
        <w:rPr>
          <w:rFonts w:eastAsia="Times New Roman"/>
          <w:szCs w:val="24"/>
        </w:rPr>
        <w:fldChar w:fldCharType="separate"/>
      </w:r>
      <w:r w:rsidRPr="00143AFF">
        <w:t>[13,14]</w:t>
      </w:r>
      <w:r w:rsidRPr="00143AFF">
        <w:rPr>
          <w:rFonts w:eastAsia="Times New Roman"/>
          <w:szCs w:val="24"/>
        </w:rPr>
        <w:fldChar w:fldCharType="end"/>
      </w:r>
      <w:r w:rsidRPr="00143AFF">
        <w:rPr>
          <w:rFonts w:eastAsia="Times New Roman"/>
          <w:szCs w:val="24"/>
        </w:rPr>
        <w:t xml:space="preserve">. </w:t>
      </w:r>
    </w:p>
    <w:p w14:paraId="688C918D" w14:textId="77777777" w:rsidR="002A1820" w:rsidRPr="00930900" w:rsidRDefault="002A1820" w:rsidP="002B6379">
      <w:pPr>
        <w:spacing w:after="0" w:line="480" w:lineRule="auto"/>
        <w:jc w:val="both"/>
        <w:rPr>
          <w:rFonts w:eastAsia="Times New Roman"/>
          <w:szCs w:val="24"/>
        </w:rPr>
      </w:pPr>
    </w:p>
    <w:p w14:paraId="73B8BE03" w14:textId="77777777" w:rsidR="007E1F9B" w:rsidRPr="00DB21A1" w:rsidRDefault="007E1F9B" w:rsidP="002B6379">
      <w:pPr>
        <w:spacing w:after="0" w:line="480" w:lineRule="auto"/>
        <w:jc w:val="both"/>
        <w:rPr>
          <w:rFonts w:eastAsia="Times New Roman"/>
          <w:b/>
          <w:szCs w:val="24"/>
        </w:rPr>
      </w:pPr>
      <w:r w:rsidRPr="00DB21A1">
        <w:rPr>
          <w:rFonts w:eastAsia="Times New Roman"/>
          <w:b/>
          <w:szCs w:val="24"/>
        </w:rPr>
        <w:t xml:space="preserve">Immunity </w:t>
      </w:r>
    </w:p>
    <w:p w14:paraId="115E7998" w14:textId="77777777" w:rsidR="007E1F9B" w:rsidRPr="005E0036" w:rsidRDefault="007E1F9B" w:rsidP="002B6379">
      <w:pPr>
        <w:spacing w:after="0" w:line="480" w:lineRule="auto"/>
        <w:jc w:val="both"/>
        <w:rPr>
          <w:szCs w:val="24"/>
        </w:rPr>
      </w:pPr>
      <w:r w:rsidRPr="004841CD">
        <w:rPr>
          <w:szCs w:val="24"/>
        </w:rPr>
        <w:t xml:space="preserve">The stable nature of transmission and the variation in seasonality across all three zones requires incorporating superinfection, acquired immunity, treatment failure and seasonality into to the model structure so as to </w:t>
      </w:r>
      <w:r w:rsidRPr="00636EFC">
        <w:rPr>
          <w:szCs w:val="24"/>
        </w:rPr>
        <w:t xml:space="preserve">account </w:t>
      </w:r>
      <w:r w:rsidRPr="00D82707">
        <w:rPr>
          <w:szCs w:val="24"/>
        </w:rPr>
        <w:t>for the natural history of malaria as much possible</w:t>
      </w:r>
      <w:r w:rsidRPr="005E0036">
        <w:rPr>
          <w:szCs w:val="24"/>
        </w:rPr>
        <w:t xml:space="preserve"> that allows for the description of the transmission dynamics of malaria across Ghana.</w:t>
      </w:r>
    </w:p>
    <w:p w14:paraId="706B8379" w14:textId="77777777" w:rsidR="007E1F9B" w:rsidRPr="00B42608" w:rsidRDefault="007E1F9B" w:rsidP="002B6379">
      <w:pPr>
        <w:spacing w:after="0" w:line="480" w:lineRule="auto"/>
        <w:jc w:val="both"/>
        <w:rPr>
          <w:rFonts w:eastAsia="Times New Roman"/>
          <w:szCs w:val="24"/>
        </w:rPr>
      </w:pPr>
      <w:r>
        <w:rPr>
          <w:rFonts w:eastAsia="Times New Roman"/>
          <w:szCs w:val="24"/>
        </w:rPr>
        <w:t>The models</w:t>
      </w:r>
      <w:r w:rsidRPr="00930900">
        <w:rPr>
          <w:rFonts w:eastAsia="Times New Roman"/>
          <w:szCs w:val="24"/>
        </w:rPr>
        <w:t xml:space="preserve"> do not incorporate </w:t>
      </w:r>
      <w:r w:rsidRPr="00C81EAF">
        <w:rPr>
          <w:rFonts w:eastAsia="Times New Roman"/>
          <w:szCs w:val="24"/>
        </w:rPr>
        <w:t xml:space="preserve">levels of immunity following length of exposure </w:t>
      </w:r>
      <w:r w:rsidRPr="008F4A6B">
        <w:rPr>
          <w:rFonts w:eastAsia="Times New Roman"/>
          <w:szCs w:val="24"/>
        </w:rPr>
        <w:t>based on age, aspects of the model structure account for t</w:t>
      </w:r>
      <w:r w:rsidRPr="00723B7A">
        <w:rPr>
          <w:rFonts w:eastAsia="Times New Roman"/>
          <w:szCs w:val="24"/>
        </w:rPr>
        <w:t>his</w:t>
      </w:r>
      <w:r w:rsidRPr="004841CD">
        <w:rPr>
          <w:rFonts w:eastAsia="Times New Roman"/>
          <w:szCs w:val="24"/>
        </w:rPr>
        <w:t xml:space="preserve"> concept </w:t>
      </w:r>
      <w:r>
        <w:rPr>
          <w:rFonts w:eastAsia="Times New Roman"/>
          <w:szCs w:val="24"/>
        </w:rPr>
        <w:t>even though</w:t>
      </w:r>
      <w:r w:rsidRPr="00B42608">
        <w:rPr>
          <w:rFonts w:eastAsia="Times New Roman"/>
          <w:szCs w:val="24"/>
        </w:rPr>
        <w:t xml:space="preserve"> not fully. Thus the transitions </w:t>
      </w:r>
      <w:r>
        <w:rPr>
          <w:rFonts w:eastAsia="Times New Roman"/>
          <w:szCs w:val="24"/>
        </w:rPr>
        <w:t>accounting</w:t>
      </w:r>
      <w:r w:rsidRPr="00B42608">
        <w:rPr>
          <w:rFonts w:eastAsia="Times New Roman"/>
          <w:szCs w:val="24"/>
        </w:rPr>
        <w:t xml:space="preserve"> for some level of immunity in the model are:</w:t>
      </w:r>
    </w:p>
    <w:p w14:paraId="679FAF31" w14:textId="77777777" w:rsidR="007E1F9B" w:rsidRPr="00DB21A1" w:rsidRDefault="007E1F9B" w:rsidP="002B6379">
      <w:pPr>
        <w:spacing w:after="0" w:line="480" w:lineRule="auto"/>
        <w:jc w:val="both"/>
        <w:rPr>
          <w:rFonts w:eastAsia="Times New Roman"/>
          <w:szCs w:val="24"/>
        </w:rPr>
      </w:pPr>
      <w:r w:rsidRPr="00B42608">
        <w:rPr>
          <w:rFonts w:eastAsia="Times New Roman"/>
          <w:szCs w:val="24"/>
        </w:rPr>
        <w:t xml:space="preserve">Children </w:t>
      </w:r>
      <w:r w:rsidRPr="004841CD">
        <w:rPr>
          <w:rFonts w:eastAsia="Times New Roman"/>
          <w:szCs w:val="24"/>
        </w:rPr>
        <w:t>b</w:t>
      </w:r>
      <w:r w:rsidRPr="00DB21A1">
        <w:rPr>
          <w:rFonts w:eastAsia="Times New Roman"/>
          <w:szCs w:val="24"/>
        </w:rPr>
        <w:t>orn naïve or young children with little exposure</w:t>
      </w:r>
      <w:r w:rsidRPr="004841CD">
        <w:rPr>
          <w:rFonts w:eastAsia="Times New Roman"/>
          <w:szCs w:val="24"/>
        </w:rPr>
        <w:t xml:space="preserve"> to malaria infection</w:t>
      </w:r>
    </w:p>
    <w:p w14:paraId="7410DCEA" w14:textId="77777777" w:rsidR="007E1F9B" w:rsidRPr="004841CD" w:rsidRDefault="007E1F9B" w:rsidP="002B6379">
      <w:pPr>
        <w:pStyle w:val="ListParagraph"/>
        <w:numPr>
          <w:ilvl w:val="2"/>
          <w:numId w:val="2"/>
        </w:numPr>
        <w:spacing w:after="0" w:line="480" w:lineRule="auto"/>
        <w:jc w:val="both"/>
        <w:rPr>
          <w:rFonts w:eastAsia="Times New Roman"/>
          <w:szCs w:val="24"/>
        </w:rPr>
      </w:pPr>
      <w:r w:rsidRPr="004841CD">
        <w:rPr>
          <w:rFonts w:eastAsia="Times New Roman"/>
          <w:szCs w:val="24"/>
        </w:rPr>
        <w:t xml:space="preserve">born into the </w:t>
      </w:r>
      <w:r w:rsidRPr="004841CD">
        <w:rPr>
          <w:rFonts w:eastAsia="Times New Roman"/>
          <w:b/>
          <w:szCs w:val="24"/>
        </w:rPr>
        <w:t>Sn</w:t>
      </w:r>
      <w:r w:rsidRPr="004841CD">
        <w:rPr>
          <w:rFonts w:eastAsia="Times New Roman"/>
          <w:szCs w:val="24"/>
        </w:rPr>
        <w:t xml:space="preserve"> compartment or </w:t>
      </w:r>
    </w:p>
    <w:p w14:paraId="45F7EF59" w14:textId="77777777" w:rsidR="007E1F9B" w:rsidRPr="004841CD" w:rsidRDefault="007E1F9B" w:rsidP="002B6379">
      <w:pPr>
        <w:pStyle w:val="ListParagraph"/>
        <w:numPr>
          <w:ilvl w:val="2"/>
          <w:numId w:val="2"/>
        </w:numPr>
        <w:spacing w:after="0" w:line="480" w:lineRule="auto"/>
        <w:jc w:val="both"/>
        <w:rPr>
          <w:rFonts w:eastAsia="Times New Roman"/>
          <w:szCs w:val="24"/>
        </w:rPr>
      </w:pPr>
      <w:r w:rsidRPr="004841CD">
        <w:rPr>
          <w:rFonts w:eastAsia="Times New Roman"/>
          <w:szCs w:val="24"/>
        </w:rPr>
        <w:t xml:space="preserve">born with a congenital infection of malaria into the </w:t>
      </w:r>
      <w:r w:rsidRPr="004841CD">
        <w:rPr>
          <w:rFonts w:eastAsia="Times New Roman"/>
          <w:b/>
          <w:szCs w:val="24"/>
        </w:rPr>
        <w:t xml:space="preserve">Ia </w:t>
      </w:r>
      <w:r w:rsidRPr="004841CD">
        <w:rPr>
          <w:rFonts w:eastAsia="Times New Roman"/>
          <w:szCs w:val="24"/>
        </w:rPr>
        <w:t xml:space="preserve">compartment </w:t>
      </w:r>
    </w:p>
    <w:p w14:paraId="53A60A5D" w14:textId="77777777" w:rsidR="007E1F9B" w:rsidRPr="004841CD" w:rsidRDefault="007E1F9B" w:rsidP="002B6379">
      <w:pPr>
        <w:pStyle w:val="ListParagraph"/>
        <w:numPr>
          <w:ilvl w:val="0"/>
          <w:numId w:val="2"/>
        </w:numPr>
        <w:spacing w:after="0" w:line="480" w:lineRule="auto"/>
        <w:jc w:val="both"/>
      </w:pPr>
      <w:r w:rsidRPr="004841CD">
        <w:t xml:space="preserve">Adults in the population with several years of exposure  </w:t>
      </w:r>
    </w:p>
    <w:p w14:paraId="23E8743E" w14:textId="77777777" w:rsidR="007E1F9B" w:rsidRPr="004841CD" w:rsidRDefault="007E1F9B" w:rsidP="002B6379">
      <w:pPr>
        <w:pStyle w:val="ListParagraph"/>
        <w:numPr>
          <w:ilvl w:val="2"/>
          <w:numId w:val="2"/>
        </w:numPr>
        <w:spacing w:after="0" w:line="480" w:lineRule="auto"/>
        <w:jc w:val="both"/>
      </w:pPr>
      <w:r w:rsidRPr="004841CD">
        <w:lastRenderedPageBreak/>
        <w:t xml:space="preserve">recruited into the </w:t>
      </w:r>
      <w:r w:rsidRPr="004841CD">
        <w:rPr>
          <w:b/>
        </w:rPr>
        <w:t>Snn</w:t>
      </w:r>
      <w:r w:rsidRPr="004841CD">
        <w:t xml:space="preserve"> compartment</w:t>
      </w:r>
    </w:p>
    <w:p w14:paraId="27C03BED" w14:textId="77777777" w:rsidR="007E1F9B" w:rsidRPr="005E0036" w:rsidRDefault="007E1F9B" w:rsidP="002B6379">
      <w:pPr>
        <w:pStyle w:val="ListParagraph"/>
        <w:numPr>
          <w:ilvl w:val="0"/>
          <w:numId w:val="2"/>
        </w:numPr>
        <w:spacing w:after="0" w:line="480" w:lineRule="auto"/>
        <w:jc w:val="both"/>
      </w:pPr>
      <w:r w:rsidRPr="00636EFC">
        <w:t xml:space="preserve">Progressing from </w:t>
      </w:r>
      <w:r w:rsidRPr="00636EFC">
        <w:rPr>
          <w:b/>
        </w:rPr>
        <w:t>I</w:t>
      </w:r>
      <w:r w:rsidRPr="00D82707">
        <w:rPr>
          <w:b/>
        </w:rPr>
        <w:t>sm</w:t>
      </w:r>
      <w:r w:rsidRPr="005E0036">
        <w:t xml:space="preserve"> to </w:t>
      </w:r>
      <w:r w:rsidRPr="005E0036">
        <w:rPr>
          <w:b/>
        </w:rPr>
        <w:t>Ic</w:t>
      </w:r>
    </w:p>
    <w:p w14:paraId="14C7BEEE" w14:textId="77777777" w:rsidR="007E1F9B" w:rsidRPr="006B562E" w:rsidRDefault="007E1F9B" w:rsidP="002B6379">
      <w:pPr>
        <w:pStyle w:val="ListParagraph"/>
        <w:numPr>
          <w:ilvl w:val="0"/>
          <w:numId w:val="2"/>
        </w:numPr>
        <w:spacing w:after="0" w:line="480" w:lineRule="auto"/>
        <w:jc w:val="both"/>
      </w:pPr>
      <w:r w:rsidRPr="005E0036">
        <w:t xml:space="preserve">Progressing from </w:t>
      </w:r>
      <w:r w:rsidRPr="005E0036">
        <w:rPr>
          <w:b/>
        </w:rPr>
        <w:t>Ic</w:t>
      </w:r>
      <w:r w:rsidRPr="005E0036">
        <w:t xml:space="preserve"> to </w:t>
      </w:r>
      <w:r w:rsidRPr="005E0036">
        <w:rPr>
          <w:b/>
        </w:rPr>
        <w:t>Ia</w:t>
      </w:r>
    </w:p>
    <w:p w14:paraId="4DF45D0B" w14:textId="77777777" w:rsidR="007E1F9B" w:rsidRPr="00B42608" w:rsidRDefault="007E1F9B" w:rsidP="002B6379">
      <w:pPr>
        <w:pStyle w:val="ListParagraph"/>
        <w:numPr>
          <w:ilvl w:val="0"/>
          <w:numId w:val="2"/>
        </w:numPr>
        <w:spacing w:after="0" w:line="480" w:lineRule="auto"/>
        <w:jc w:val="both"/>
      </w:pPr>
      <w:r w:rsidRPr="00B42608">
        <w:t xml:space="preserve">Progressing from </w:t>
      </w:r>
      <w:r w:rsidRPr="00B42608">
        <w:rPr>
          <w:b/>
        </w:rPr>
        <w:t>Ia</w:t>
      </w:r>
      <w:r w:rsidRPr="00B42608">
        <w:t xml:space="preserve"> to </w:t>
      </w:r>
      <w:r w:rsidRPr="00B42608">
        <w:rPr>
          <w:b/>
        </w:rPr>
        <w:t>Ism</w:t>
      </w:r>
      <w:r w:rsidRPr="00B42608">
        <w:t xml:space="preserve"> </w:t>
      </w:r>
    </w:p>
    <w:p w14:paraId="32A24BC2" w14:textId="510E64E1" w:rsidR="009629A6" w:rsidRPr="002C1849" w:rsidRDefault="007E1F9B" w:rsidP="002B6379">
      <w:pPr>
        <w:pStyle w:val="ListParagraph"/>
        <w:numPr>
          <w:ilvl w:val="0"/>
          <w:numId w:val="2"/>
        </w:numPr>
        <w:spacing w:after="0" w:line="480" w:lineRule="auto"/>
        <w:jc w:val="both"/>
      </w:pPr>
      <w:r w:rsidRPr="00B42608">
        <w:t xml:space="preserve">Recovering naturally without treatment from </w:t>
      </w:r>
      <w:r w:rsidRPr="00B42608">
        <w:rPr>
          <w:b/>
        </w:rPr>
        <w:t>Ism</w:t>
      </w:r>
      <w:r w:rsidRPr="00B42608">
        <w:t xml:space="preserve"> to </w:t>
      </w:r>
      <w:r w:rsidRPr="00B42608">
        <w:rPr>
          <w:b/>
        </w:rPr>
        <w:t>Snn</w:t>
      </w:r>
      <w:r>
        <w:rPr>
          <w:b/>
        </w:rPr>
        <w:t xml:space="preserve"> </w:t>
      </w:r>
      <w:r>
        <w:rPr>
          <w:b/>
        </w:rPr>
        <w:fldChar w:fldCharType="begin"/>
      </w:r>
      <w:r w:rsidR="006F1B7D">
        <w:rPr>
          <w:b/>
        </w:rPr>
        <w:instrText xml:space="preserve"> ADDIN ZOTERO_ITEM CSL_CITATION {"citationID":"8g3a9KWv","properties":{"formattedCitation":"[15]","plainCitation":"[15]","noteIndex":0},"citationItems":[{"id":1591,"uris":["http://zotero.org/users/584652/items/9AI3LILB"],"uri":["http://zotero.org/users/584652/items/9AI3LILB"],"itemData":{"id":1591,"type":"article-journal","abstract":"Following anti-malarial drug treatment asexual malaria parasite killing and clearance appear to be first order processes. Damaged malaria parasites in circulating erythrocytes are removed from the circulation mainly by the spleen. Splenic clearance functions increase markedly in acute malaria. Either the entire infected erythrocytes are removed because of their reduced deformability or increased antibody binding or, for the artemisinins which act on young ring stage parasites, splenic pitting of drug-damaged parasites is an important mechanism of clearance. The once-infected erythrocytes returned to the circulation have shortened survival. This contributes to post-artesunate haemolysis that may follow recovery in non-immune hyperparasitaemic patients. As the parasites mature Plasmodium vivax-infected erythrocytes become more deformable, whereas Plasmodium falciparum-infected erythrocytes become less deformable, but they escape splenic filtration by sequestering in venules and capillaries. Sequestered parasites are killed in situ by anti-malarial drugs and then disintegrate to be cleared by phagocytic leukocytes. After treatment with artemisinin derivatives some asexual parasites become temporarily dormant within their infected erythrocytes, and these may regrow after anti-malarial drug concentrations decline. Artemisinin resistance in P. falciparum reflects reduced ring stage susceptibility and manifests as slow parasite clearance. This is best assessed from the slope of the log-linear phase of parasitaemia reduction and is commonly measured as a parasite clearance half-life. Pharmacokinetic-pharmacodynamic modelling of anti-malarial drug effects on parasite clearance has proved useful in predicting therapeutic responses and in dose-optimization.","container-title":"Malar J","language":"en","page":"14","source":"Zotero","title":"Malaria parasite clearance","author":[{"family":"White","given":"Nicholas J"}],"issued":{"date-parts":[["2017"]]}}}],"schema":"https://github.com/citation-style-language/schema/raw/master/csl-citation.json"} </w:instrText>
      </w:r>
      <w:r>
        <w:rPr>
          <w:b/>
        </w:rPr>
        <w:fldChar w:fldCharType="separate"/>
      </w:r>
      <w:r w:rsidRPr="00EE2102">
        <w:t>[15]</w:t>
      </w:r>
      <w:r>
        <w:rPr>
          <w:b/>
        </w:rPr>
        <w:fldChar w:fldCharType="end"/>
      </w:r>
      <w:r w:rsidR="009629A6">
        <w:rPr>
          <w:b/>
        </w:rPr>
        <w:t xml:space="preserve"> </w:t>
      </w:r>
      <w:r w:rsidR="009629A6" w:rsidRPr="002C1849">
        <w:t>; a state of susceptibility where one is more likely to have an asymptomatic episode of malaria.</w:t>
      </w:r>
    </w:p>
    <w:p w14:paraId="17412660" w14:textId="77777777" w:rsidR="007E1F9B" w:rsidRDefault="007E1F9B" w:rsidP="002B6379">
      <w:pPr>
        <w:spacing w:after="0" w:line="480" w:lineRule="auto"/>
        <w:jc w:val="both"/>
        <w:rPr>
          <w:b/>
        </w:rPr>
      </w:pPr>
    </w:p>
    <w:p w14:paraId="3969DCA2" w14:textId="77777777" w:rsidR="007E1F9B" w:rsidRPr="004841CD" w:rsidRDefault="007E1F9B" w:rsidP="002B6379">
      <w:pPr>
        <w:spacing w:after="0" w:line="480" w:lineRule="auto"/>
        <w:jc w:val="both"/>
        <w:rPr>
          <w:b/>
        </w:rPr>
      </w:pPr>
      <w:r w:rsidRPr="004841CD">
        <w:rPr>
          <w:b/>
        </w:rPr>
        <w:t xml:space="preserve">Superinfection </w:t>
      </w:r>
    </w:p>
    <w:p w14:paraId="2D420FB0" w14:textId="77777777" w:rsidR="007E1F9B" w:rsidRPr="006B562E" w:rsidRDefault="007E1F9B" w:rsidP="002B6379">
      <w:pPr>
        <w:spacing w:after="0" w:line="480" w:lineRule="auto"/>
        <w:jc w:val="both"/>
      </w:pPr>
      <w:r w:rsidRPr="004841CD">
        <w:t>The model</w:t>
      </w:r>
      <w:r>
        <w:t>s</w:t>
      </w:r>
      <w:r w:rsidRPr="004841CD">
        <w:t xml:space="preserve"> allow for the infected population to get reinfection or superinfection. This is implemented through a superinfection factor that</w:t>
      </w:r>
      <w:r w:rsidRPr="00636EFC">
        <w:t xml:space="preserve"> is dependent on the inverse of the sum of the rate of force of infection</w:t>
      </w:r>
      <w:r>
        <w:t xml:space="preserve"> from mosquito to human</w:t>
      </w:r>
      <w:r w:rsidR="00FA4CA5">
        <w:t xml:space="preserve"> ( </w:t>
      </w:r>
      <m:oMath>
        <m:sSub>
          <m:sSubPr>
            <m:ctrlPr>
              <w:rPr>
                <w:rFonts w:ascii="Cambria Math" w:eastAsia="Times New Roman" w:hAnsi="Cambria Math"/>
                <w:b/>
                <w:i/>
                <w:sz w:val="32"/>
                <w:szCs w:val="32"/>
              </w:rPr>
            </m:ctrlPr>
          </m:sSubPr>
          <m:e>
            <m:r>
              <m:rPr>
                <m:sty m:val="bi"/>
              </m:rPr>
              <w:rPr>
                <w:rFonts w:ascii="Cambria Math" w:eastAsia="Times New Roman" w:hAnsi="Cambria Math"/>
                <w:sz w:val="32"/>
                <w:szCs w:val="32"/>
              </w:rPr>
              <m:t>λ</m:t>
            </m:r>
          </m:e>
          <m:sub>
            <m:r>
              <m:rPr>
                <m:sty m:val="bi"/>
              </m:rPr>
              <w:rPr>
                <w:rFonts w:ascii="Cambria Math" w:eastAsia="Times New Roman" w:hAnsi="Cambria Math"/>
                <w:sz w:val="32"/>
                <w:szCs w:val="32"/>
              </w:rPr>
              <m:t>m</m:t>
            </m:r>
          </m:sub>
        </m:sSub>
      </m:oMath>
      <w:r w:rsidRPr="00636EFC">
        <w:t xml:space="preserve"> </w:t>
      </w:r>
      <w:r w:rsidR="00FA4CA5">
        <w:t xml:space="preserve">) </w:t>
      </w:r>
      <w:r w:rsidRPr="00636EFC">
        <w:t>and duration of infection</w:t>
      </w:r>
      <w:r w:rsidR="00FA4CA5">
        <w:t xml:space="preserve"> ( </w:t>
      </w:r>
      <m:oMath>
        <m:r>
          <m:rPr>
            <m:sty m:val="bi"/>
          </m:rPr>
          <w:rPr>
            <w:rFonts w:ascii="Cambria Math" w:hAnsi="Cambria Math"/>
            <w:sz w:val="32"/>
            <w:szCs w:val="32"/>
          </w:rPr>
          <m:t>γ</m:t>
        </m:r>
      </m:oMath>
      <w:r w:rsidRPr="00636EFC">
        <w:t xml:space="preserve"> </w:t>
      </w:r>
      <w:r w:rsidR="00FA4CA5">
        <w:t xml:space="preserve">) </w:t>
      </w:r>
      <w:r w:rsidRPr="00636EFC">
        <w:t>i.e</w:t>
      </w:r>
      <w:r w:rsidR="00FA4CA5">
        <w:t xml:space="preserve"> </w:t>
      </w:r>
      <w:r w:rsidRPr="00636EFC">
        <w:t xml:space="preserve"> </w:t>
      </w:r>
      <w:r w:rsidRPr="00565BE6">
        <w:rPr>
          <w:sz w:val="32"/>
          <w:szCs w:val="32"/>
        </w:rPr>
        <w:t>(1/</w:t>
      </w:r>
      <m:oMath>
        <m:sSub>
          <m:sSubPr>
            <m:ctrlPr>
              <w:rPr>
                <w:rFonts w:ascii="Cambria Math" w:eastAsia="Times New Roman" w:hAnsi="Cambria Math"/>
                <w:i/>
                <w:sz w:val="32"/>
                <w:szCs w:val="32"/>
              </w:rPr>
            </m:ctrlPr>
          </m:sSubPr>
          <m:e>
            <m:r>
              <w:rPr>
                <w:rFonts w:ascii="Cambria Math" w:eastAsia="Times New Roman" w:hAnsi="Cambria Math"/>
                <w:sz w:val="32"/>
                <w:szCs w:val="32"/>
              </w:rPr>
              <m:t>λ</m:t>
            </m:r>
          </m:e>
          <m:sub>
            <m:r>
              <w:rPr>
                <w:rFonts w:ascii="Cambria Math" w:eastAsia="Times New Roman" w:hAnsi="Cambria Math"/>
                <w:sz w:val="32"/>
                <w:szCs w:val="32"/>
              </w:rPr>
              <m:t>m</m:t>
            </m:r>
          </m:sub>
        </m:sSub>
      </m:oMath>
      <w:r w:rsidRPr="00565BE6">
        <w:rPr>
          <w:sz w:val="32"/>
          <w:szCs w:val="32"/>
        </w:rPr>
        <w:t>+1/</w:t>
      </w:r>
      <m:oMath>
        <m:r>
          <w:rPr>
            <w:rFonts w:ascii="Cambria Math" w:hAnsi="Cambria Math"/>
            <w:sz w:val="32"/>
            <w:szCs w:val="32"/>
          </w:rPr>
          <m:t>γ</m:t>
        </m:r>
      </m:oMath>
      <w:r w:rsidRPr="00565BE6">
        <w:rPr>
          <w:sz w:val="32"/>
          <w:szCs w:val="32"/>
        </w:rPr>
        <w:t>)</w:t>
      </w:r>
      <w:r w:rsidRPr="00565BE6">
        <w:rPr>
          <w:sz w:val="32"/>
          <w:szCs w:val="32"/>
          <w:vertAlign w:val="superscript"/>
        </w:rPr>
        <w:t>-1</w:t>
      </w:r>
      <w:r w:rsidRPr="00636EFC">
        <w:rPr>
          <w:vertAlign w:val="superscript"/>
        </w:rPr>
        <w:t xml:space="preserve"> </w:t>
      </w:r>
      <w:r w:rsidRPr="00636EFC">
        <w:rPr>
          <w:vertAlign w:val="subscript"/>
        </w:rPr>
        <w:t>.</w:t>
      </w:r>
      <w:r w:rsidRPr="00D82707">
        <w:rPr>
          <w:vertAlign w:val="superscript"/>
        </w:rPr>
        <w:t xml:space="preserve"> </w:t>
      </w:r>
      <w:r w:rsidRPr="005E0036">
        <w:t xml:space="preserve">This affects the populations in the infected compartments </w:t>
      </w:r>
      <w:r w:rsidRPr="005E0036">
        <w:rPr>
          <w:b/>
        </w:rPr>
        <w:t>Ia</w:t>
      </w:r>
      <w:r w:rsidRPr="005E0036">
        <w:t xml:space="preserve">, and </w:t>
      </w:r>
      <w:r w:rsidRPr="005E0036">
        <w:rPr>
          <w:b/>
        </w:rPr>
        <w:t>Ism</w:t>
      </w:r>
      <w:r w:rsidRPr="005E0036">
        <w:t xml:space="preserve">. </w:t>
      </w:r>
      <w:r w:rsidRPr="006B562E">
        <w:t xml:space="preserve">A proportion of the infected and superinfected therefore make the following transitions: </w:t>
      </w:r>
    </w:p>
    <w:p w14:paraId="5A60AECC" w14:textId="77777777" w:rsidR="007E1F9B" w:rsidRPr="006E0BE5" w:rsidRDefault="007E1F9B" w:rsidP="002B6379">
      <w:pPr>
        <w:pStyle w:val="ListParagraph"/>
        <w:numPr>
          <w:ilvl w:val="0"/>
          <w:numId w:val="4"/>
        </w:numPr>
        <w:spacing w:after="0" w:line="480" w:lineRule="auto"/>
        <w:jc w:val="both"/>
        <w:rPr>
          <w:b/>
        </w:rPr>
      </w:pPr>
      <w:r w:rsidRPr="00930900">
        <w:t xml:space="preserve">progressing from asymptomatic stage </w:t>
      </w:r>
      <w:r w:rsidRPr="00930900">
        <w:rPr>
          <w:b/>
        </w:rPr>
        <w:t xml:space="preserve">(Ia) </w:t>
      </w:r>
      <w:r w:rsidRPr="00C81EAF">
        <w:t xml:space="preserve">to symptomatic </w:t>
      </w:r>
      <w:r w:rsidRPr="00C81EAF">
        <w:rPr>
          <w:b/>
        </w:rPr>
        <w:t>(Ic)</w:t>
      </w:r>
      <w:r w:rsidRPr="006E0BE5">
        <w:t xml:space="preserve"> </w:t>
      </w:r>
    </w:p>
    <w:p w14:paraId="4A1EBC79" w14:textId="77777777" w:rsidR="007E1F9B" w:rsidRDefault="007E1F9B" w:rsidP="002B6379">
      <w:pPr>
        <w:pStyle w:val="ListParagraph"/>
        <w:numPr>
          <w:ilvl w:val="0"/>
          <w:numId w:val="4"/>
        </w:numPr>
        <w:spacing w:after="0" w:line="480" w:lineRule="auto"/>
        <w:jc w:val="both"/>
        <w:rPr>
          <w:b/>
        </w:rPr>
      </w:pPr>
      <w:r w:rsidRPr="008F4A6B">
        <w:t xml:space="preserve">progressing from sub-microscopic </w:t>
      </w:r>
      <w:r w:rsidRPr="008F4A6B">
        <w:rPr>
          <w:b/>
        </w:rPr>
        <w:t xml:space="preserve">(Ism) </w:t>
      </w:r>
      <w:r w:rsidRPr="008F4A6B">
        <w:t xml:space="preserve">to symptomatic </w:t>
      </w:r>
      <w:r w:rsidRPr="00723B7A">
        <w:rPr>
          <w:b/>
        </w:rPr>
        <w:t>(Ic)</w:t>
      </w:r>
    </w:p>
    <w:p w14:paraId="18314B2C" w14:textId="77777777" w:rsidR="007E1F9B" w:rsidRDefault="007E1F9B" w:rsidP="002B6379">
      <w:pPr>
        <w:spacing w:after="0" w:line="480" w:lineRule="auto"/>
        <w:jc w:val="both"/>
        <w:rPr>
          <w:b/>
        </w:rPr>
      </w:pPr>
    </w:p>
    <w:p w14:paraId="361D88F6" w14:textId="77777777" w:rsidR="007E1F9B" w:rsidRPr="00DB21A1" w:rsidRDefault="007E1F9B" w:rsidP="002B6379">
      <w:pPr>
        <w:spacing w:after="0" w:line="480" w:lineRule="auto"/>
        <w:jc w:val="both"/>
        <w:rPr>
          <w:b/>
          <w:szCs w:val="24"/>
        </w:rPr>
      </w:pPr>
      <w:r w:rsidRPr="00DB21A1">
        <w:rPr>
          <w:b/>
          <w:szCs w:val="24"/>
        </w:rPr>
        <w:t xml:space="preserve">Vector model </w:t>
      </w:r>
    </w:p>
    <w:p w14:paraId="261C2521" w14:textId="369769AC" w:rsidR="007E1F9B" w:rsidRDefault="007E1F9B" w:rsidP="002B6379">
      <w:pPr>
        <w:spacing w:after="0" w:line="480" w:lineRule="auto"/>
        <w:jc w:val="both"/>
        <w:rPr>
          <w:szCs w:val="24"/>
        </w:rPr>
      </w:pPr>
      <w:r w:rsidRPr="004841CD">
        <w:rPr>
          <w:szCs w:val="24"/>
        </w:rPr>
        <w:t xml:space="preserve">The mosquito population was explicitly modelled relying on vector parameters as shown on Table 2. The vector compartments are the </w:t>
      </w:r>
      <w:r w:rsidRPr="00636EFC">
        <w:rPr>
          <w:b/>
          <w:szCs w:val="24"/>
        </w:rPr>
        <w:t>Lv</w:t>
      </w:r>
      <w:r w:rsidRPr="00636EFC">
        <w:rPr>
          <w:szCs w:val="24"/>
        </w:rPr>
        <w:t xml:space="preserve">, </w:t>
      </w:r>
      <w:r w:rsidRPr="00D82707">
        <w:rPr>
          <w:b/>
          <w:szCs w:val="24"/>
        </w:rPr>
        <w:t>Sm</w:t>
      </w:r>
      <w:r w:rsidRPr="005E0036">
        <w:rPr>
          <w:szCs w:val="24"/>
        </w:rPr>
        <w:t xml:space="preserve">, </w:t>
      </w:r>
      <w:r w:rsidRPr="005E0036">
        <w:rPr>
          <w:b/>
          <w:szCs w:val="24"/>
        </w:rPr>
        <w:t>Em</w:t>
      </w:r>
      <w:r w:rsidRPr="005E0036">
        <w:rPr>
          <w:szCs w:val="24"/>
        </w:rPr>
        <w:t xml:space="preserve"> and </w:t>
      </w:r>
      <w:r w:rsidRPr="005E0036">
        <w:rPr>
          <w:b/>
          <w:szCs w:val="24"/>
        </w:rPr>
        <w:t>Im</w:t>
      </w:r>
      <w:r w:rsidRPr="005E0036">
        <w:rPr>
          <w:szCs w:val="24"/>
        </w:rPr>
        <w:t xml:space="preserve"> respectively representing the young mosquitoes (larva, pupa), susceptib</w:t>
      </w:r>
      <w:r w:rsidRPr="00930900">
        <w:rPr>
          <w:szCs w:val="24"/>
        </w:rPr>
        <w:t>le, exposed and infectious mosquitoes. The susceptible mosquitoes are populated through maturing larva and pupa compartment</w:t>
      </w:r>
      <w:r>
        <w:rPr>
          <w:szCs w:val="24"/>
        </w:rPr>
        <w:t xml:space="preserve">, </w:t>
      </w:r>
      <w:r w:rsidRPr="00DB21A1">
        <w:rPr>
          <w:b/>
          <w:szCs w:val="24"/>
        </w:rPr>
        <w:t>Lv</w:t>
      </w:r>
      <w:r w:rsidRPr="00930900">
        <w:rPr>
          <w:szCs w:val="24"/>
        </w:rPr>
        <w:t xml:space="preserve">. </w:t>
      </w:r>
      <w:r>
        <w:rPr>
          <w:szCs w:val="24"/>
        </w:rPr>
        <w:t xml:space="preserve">The egg deposition rate </w:t>
      </w:r>
      <m:oMath>
        <m:r>
          <m:rPr>
            <m:sty m:val="bi"/>
          </m:rPr>
          <w:rPr>
            <w:rFonts w:ascii="Cambria Math" w:hAnsi="Cambria Math"/>
            <w:sz w:val="28"/>
            <w:szCs w:val="28"/>
          </w:rPr>
          <m:t xml:space="preserve">∅ </m:t>
        </m:r>
      </m:oMath>
      <w:r>
        <w:rPr>
          <w:szCs w:val="24"/>
        </w:rPr>
        <w:t>and</w:t>
      </w:r>
      <w:r w:rsidRPr="00930900">
        <w:rPr>
          <w:szCs w:val="24"/>
        </w:rPr>
        <w:t xml:space="preserve"> maturing </w:t>
      </w:r>
      <w:r>
        <w:rPr>
          <w:szCs w:val="24"/>
        </w:rPr>
        <w:t xml:space="preserve">rate </w:t>
      </w:r>
      <w:r w:rsidRPr="00DB21A1">
        <w:rPr>
          <w:b/>
          <w:i/>
          <w:sz w:val="28"/>
          <w:szCs w:val="28"/>
        </w:rPr>
        <w:t>θ</w:t>
      </w:r>
      <w:r w:rsidRPr="00930900">
        <w:rPr>
          <w:szCs w:val="24"/>
        </w:rPr>
        <w:t xml:space="preserve"> </w:t>
      </w:r>
      <w:r>
        <w:rPr>
          <w:szCs w:val="24"/>
        </w:rPr>
        <w:t>are all</w:t>
      </w:r>
      <w:r w:rsidRPr="00930900">
        <w:rPr>
          <w:szCs w:val="24"/>
        </w:rPr>
        <w:t xml:space="preserve"> dependent on the carrying capacity </w:t>
      </w:r>
      <w:r>
        <w:rPr>
          <w:szCs w:val="24"/>
        </w:rPr>
        <w:t>(</w:t>
      </w:r>
      <w:r w:rsidRPr="00CF5E3C">
        <w:rPr>
          <w:b/>
          <w:szCs w:val="24"/>
        </w:rPr>
        <w:t>Kv</w:t>
      </w:r>
      <w:r>
        <w:rPr>
          <w:szCs w:val="24"/>
        </w:rPr>
        <w:t xml:space="preserve">) </w:t>
      </w:r>
      <w:r w:rsidRPr="00930900">
        <w:rPr>
          <w:szCs w:val="24"/>
        </w:rPr>
        <w:t>of the environment to support breeding which in turn depends</w:t>
      </w:r>
      <w:r w:rsidRPr="008F4A6B">
        <w:rPr>
          <w:szCs w:val="24"/>
        </w:rPr>
        <w:t xml:space="preserve"> on water and environmental temperature</w:t>
      </w:r>
      <w:r>
        <w:rPr>
          <w:szCs w:val="24"/>
        </w:rPr>
        <w:t xml:space="preserve"> (Temp)</w:t>
      </w:r>
      <w:r w:rsidRPr="008F4A6B">
        <w:rPr>
          <w:szCs w:val="24"/>
        </w:rPr>
        <w:t xml:space="preserve"> and rainfall</w:t>
      </w:r>
      <w:r>
        <w:rPr>
          <w:szCs w:val="24"/>
        </w:rPr>
        <w:t xml:space="preserve"> (</w:t>
      </w:r>
      <w:r w:rsidRPr="009D2A6D">
        <w:rPr>
          <w:szCs w:val="24"/>
        </w:rPr>
        <w:t>R</w:t>
      </w:r>
      <w:r w:rsidRPr="001B09B8">
        <w:rPr>
          <w:szCs w:val="24"/>
          <w:vertAlign w:val="subscript"/>
        </w:rPr>
        <w:t>f</w:t>
      </w:r>
      <w:r>
        <w:rPr>
          <w:szCs w:val="24"/>
        </w:rPr>
        <w:t>)</w:t>
      </w:r>
      <w:r w:rsidRPr="008F4A6B">
        <w:rPr>
          <w:szCs w:val="24"/>
        </w:rPr>
        <w:t xml:space="preserve"> </w:t>
      </w:r>
      <w:r w:rsidRPr="004841CD">
        <w:rPr>
          <w:szCs w:val="24"/>
        </w:rPr>
        <w:fldChar w:fldCharType="begin"/>
      </w:r>
      <w:r w:rsidR="006F1B7D">
        <w:rPr>
          <w:szCs w:val="24"/>
        </w:rPr>
        <w:instrText xml:space="preserve"> ADDIN ZOTERO_ITEM CSL_CITATION {"citationID":"UHcjPrDB","properties":{"formattedCitation":"[2]","plainCitation":"[2]","noteIndex":0},"citationItems":[{"id":1330,"uris":["http://zotero.org/users/584652/items/EZE5MR95"],"uri":["http://zotero.org/users/584652/items/EZE5MR95"],"itemData":{"id":1330,"type":"article-journal","container-title":"PLOS ONE","DOI":"10.1371/journal.pone.0191707","ISSN":"1932-6203","issue":"1","language":"en","page":"e0191707","source":"CrossRef","title":"Spatio-temporal heterogeneity of malaria morbidity in Ghana: Analysis of routine health facility data","title-short":"Spatio-temporal heterogeneity of malaria morbidity in Ghana","volume":"13","author":[{"family":"Awine","given":"Timothy"},{"family":"Malm","given":"Keziah"},{"family":"Peprah","given":"Nana Yaw"},{"family":"Silal","given":"Sheetal P."}],"editor":[{"family":"Munderloh","given":"Ulrike Gertrud"}],"issued":{"date-parts":[["2018",1,29]]}}}],"schema":"https://github.com/citation-style-language/schema/raw/master/csl-citation.json"} </w:instrText>
      </w:r>
      <w:r w:rsidRPr="004841CD">
        <w:rPr>
          <w:szCs w:val="24"/>
        </w:rPr>
        <w:fldChar w:fldCharType="separate"/>
      </w:r>
      <w:r w:rsidRPr="004841CD">
        <w:rPr>
          <w:szCs w:val="24"/>
        </w:rPr>
        <w:t>[2]</w:t>
      </w:r>
      <w:r w:rsidRPr="004841CD">
        <w:rPr>
          <w:szCs w:val="24"/>
        </w:rPr>
        <w:fldChar w:fldCharType="end"/>
      </w:r>
      <w:r w:rsidRPr="004841CD">
        <w:rPr>
          <w:szCs w:val="24"/>
        </w:rPr>
        <w:t xml:space="preserve">. </w:t>
      </w:r>
    </w:p>
    <w:p w14:paraId="20C91BB6" w14:textId="77777777" w:rsidR="007E1F9B" w:rsidRDefault="007E1F9B" w:rsidP="002B6379">
      <w:pPr>
        <w:spacing w:after="0" w:line="480" w:lineRule="auto"/>
        <w:jc w:val="center"/>
        <w:rPr>
          <w:szCs w:val="24"/>
        </w:rPr>
      </w:pPr>
      <w:r w:rsidRPr="000134A8">
        <w:rPr>
          <w:noProof/>
          <w:szCs w:val="24"/>
          <w:lang w:val="en-GB" w:eastAsia="en-GB"/>
        </w:rPr>
        <w:lastRenderedPageBreak/>
        <w:drawing>
          <wp:inline distT="0" distB="0" distL="0" distR="0" wp14:anchorId="545DD0E9" wp14:editId="2E245289">
            <wp:extent cx="5419725" cy="2009775"/>
            <wp:effectExtent l="0" t="0" r="9525" b="9525"/>
            <wp:docPr id="8" name="Picture 8" descr="C:\Users\AWNTIM001\Google Drive\Cape Town 2019\Term 2\Paper 5\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WNTIM001\Google Drive\Cape Town 2019\Term 2\Paper 5\vector.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19725" cy="2009775"/>
                    </a:xfrm>
                    <a:prstGeom prst="rect">
                      <a:avLst/>
                    </a:prstGeom>
                    <a:noFill/>
                    <a:ln>
                      <a:noFill/>
                    </a:ln>
                  </pic:spPr>
                </pic:pic>
              </a:graphicData>
            </a:graphic>
          </wp:inline>
        </w:drawing>
      </w:r>
    </w:p>
    <w:p w14:paraId="5E38DBD9" w14:textId="77777777" w:rsidR="007E1F9B" w:rsidRPr="004C2A45" w:rsidRDefault="007E1F9B" w:rsidP="008F1408">
      <w:pPr>
        <w:spacing w:after="0" w:line="240" w:lineRule="auto"/>
        <w:rPr>
          <w:rFonts w:eastAsia="Times New Roman"/>
          <w:b/>
          <w:szCs w:val="24"/>
        </w:rPr>
      </w:pPr>
      <w:r w:rsidRPr="004C2A45">
        <w:rPr>
          <w:rFonts w:eastAsia="Times New Roman"/>
          <w:b/>
          <w:szCs w:val="24"/>
        </w:rPr>
        <w:t>Fig 1</w:t>
      </w:r>
      <w:r>
        <w:rPr>
          <w:rFonts w:eastAsia="Times New Roman"/>
          <w:b/>
          <w:szCs w:val="24"/>
        </w:rPr>
        <w:t>f</w:t>
      </w:r>
      <w:r w:rsidRPr="004C2A45">
        <w:rPr>
          <w:rFonts w:eastAsia="Times New Roman"/>
          <w:b/>
          <w:szCs w:val="24"/>
        </w:rPr>
        <w:t xml:space="preserve"> </w:t>
      </w:r>
      <w:r>
        <w:rPr>
          <w:rFonts w:eastAsia="Times New Roman"/>
          <w:b/>
          <w:szCs w:val="24"/>
        </w:rPr>
        <w:t>Vector model compartments</w:t>
      </w:r>
    </w:p>
    <w:p w14:paraId="4656FFA7" w14:textId="77777777" w:rsidR="007E1F9B" w:rsidRDefault="007E1F9B" w:rsidP="002B6379">
      <w:pPr>
        <w:spacing w:after="0" w:line="480" w:lineRule="auto"/>
        <w:jc w:val="both"/>
        <w:rPr>
          <w:szCs w:val="24"/>
        </w:rPr>
      </w:pPr>
    </w:p>
    <w:p w14:paraId="129A921F" w14:textId="525EDF26" w:rsidR="007E1F9B" w:rsidRDefault="007E1F9B" w:rsidP="002B6379">
      <w:pPr>
        <w:spacing w:after="0" w:line="480" w:lineRule="auto"/>
        <w:jc w:val="both"/>
        <w:rPr>
          <w:szCs w:val="24"/>
        </w:rPr>
      </w:pPr>
      <w:r w:rsidRPr="004841CD">
        <w:rPr>
          <w:szCs w:val="24"/>
        </w:rPr>
        <w:t xml:space="preserve">Therefore the governing functions for the transitions between </w:t>
      </w:r>
      <w:r w:rsidRPr="004841CD">
        <w:rPr>
          <w:b/>
          <w:szCs w:val="24"/>
        </w:rPr>
        <w:t>Lv</w:t>
      </w:r>
      <w:r w:rsidRPr="004841CD">
        <w:rPr>
          <w:szCs w:val="24"/>
        </w:rPr>
        <w:t xml:space="preserve">, </w:t>
      </w:r>
      <w:r w:rsidRPr="004841CD">
        <w:rPr>
          <w:b/>
          <w:szCs w:val="24"/>
        </w:rPr>
        <w:t>Sm</w:t>
      </w:r>
      <w:r w:rsidRPr="004841CD">
        <w:rPr>
          <w:szCs w:val="24"/>
        </w:rPr>
        <w:t xml:space="preserve">, </w:t>
      </w:r>
      <w:r w:rsidRPr="004841CD">
        <w:rPr>
          <w:b/>
          <w:szCs w:val="24"/>
        </w:rPr>
        <w:t>Em</w:t>
      </w:r>
      <w:r w:rsidRPr="004841CD">
        <w:rPr>
          <w:szCs w:val="24"/>
        </w:rPr>
        <w:t xml:space="preserve"> and </w:t>
      </w:r>
      <w:r w:rsidRPr="004841CD">
        <w:rPr>
          <w:b/>
          <w:szCs w:val="24"/>
        </w:rPr>
        <w:t>Im</w:t>
      </w:r>
      <w:r w:rsidRPr="004841CD">
        <w:rPr>
          <w:szCs w:val="24"/>
        </w:rPr>
        <w:t xml:space="preserve"> as captured </w:t>
      </w:r>
      <w:r>
        <w:rPr>
          <w:szCs w:val="24"/>
        </w:rPr>
        <w:t xml:space="preserve">in Fig 1f and defined </w:t>
      </w:r>
      <w:r w:rsidRPr="004841CD">
        <w:rPr>
          <w:szCs w:val="24"/>
        </w:rPr>
        <w:t>on Table 2 below, are temperature dependent as the rate of feeding of matured mosquitoes and of maturing of g</w:t>
      </w:r>
      <w:r w:rsidRPr="00636EFC">
        <w:rPr>
          <w:szCs w:val="24"/>
        </w:rPr>
        <w:t xml:space="preserve">ametocytes are also temperature dependent </w:t>
      </w:r>
      <w:r w:rsidRPr="004841CD">
        <w:rPr>
          <w:szCs w:val="24"/>
        </w:rPr>
        <w:fldChar w:fldCharType="begin"/>
      </w:r>
      <w:r w:rsidR="006F1B7D">
        <w:rPr>
          <w:szCs w:val="24"/>
        </w:rPr>
        <w:instrText xml:space="preserve"> ADDIN ZOTERO_ITEM CSL_CITATION {"citationID":"ND9OQe1n","properties":{"formattedCitation":"[16,17]","plainCitation":"[16,17]","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E."}],"issued":{"date-parts":[["2015",12]]}}},{"id":1368,"uris":["http://zotero.org/users/584652/items/TFLXQAEK"],"uri":["http://zotero.org/users/584652/items/TFLXQAEK"],"itemData":{"id":1368,"type":"article-journal","abstract":"The mosquito Aedes (Stegomyia) albopictus (Skuse) (Diptera: Culicidae) is an invasive species which has colonized Southern Europe in the last two decades. As it is a competent vector for several arboviruses, its spread is of increasing public health concern, and there is a need for appropriate monitoring tools. In this paper, we have developed a modelling approach to predict mosquito abundance over time, and identify the main determinants of mosquito population dynamics. The model is temperature- and rainfall-driven, takes into account egg diapause during unfavourable periods, and was used to model the population dynamics of Ae. albopictus in the French Riviera since 2008. Entomological collections of egg stage from six locations in Nice conurbation were used for model validation. We performed a sensitivity analysis to identify the key parameters of the mosquito population dynamics. Results showed that the model correctly predicted entomological field data (Pearson r correlation coefficient values range from 0.73 to 0.93). The model’s main control points were related to adult’s mortality rates, the carrying capacity in pupae of the environment, and the beginning of the unfavourable period. The proposed model can be efficiently used as a tool to predict Ae. albopictus population dynamics, and to assess the efficiency of different control strategies.","container-title":"International Journal of Environmental Research and Public Health","DOI":"10.3390/ijerph10051698","ISSN":"1661-7827","issue":"5","journalAbbreviation":"Int J Environ Res Public Health","note":"PMID: 23624579\nPMCID: PMC3709343","page":"1698-1719","source":"PubMed Central","title":"A Rainfall- and Temperature-Driven Abundance Model for Aedes albopictus Populations","volume":"10","author":[{"family":"Tran","given":"Annelise"},{"family":"L’Ambert","given":"Grégory"},{"family":"Lacour","given":"Guillaume"},{"family":"Benoît","given":"Romain"},{"family":"Demarchi","given":"Marie"},{"family":"Cros","given":"Myriam"},{"family":"Cailly","given":"Priscilla"},{"family":"Aubry-Kientz","given":"Mélaine"},{"family":"Balenghien","given":"Thomas"},{"family":"Ezanno","given":"Pauline"}],"issued":{"date-parts":[["2013",5]]}}}],"schema":"https://github.com/citation-style-language/schema/raw/master/csl-citation.json"} </w:instrText>
      </w:r>
      <w:r w:rsidRPr="004841CD">
        <w:rPr>
          <w:szCs w:val="24"/>
        </w:rPr>
        <w:fldChar w:fldCharType="separate"/>
      </w:r>
      <w:r w:rsidRPr="00EE2102">
        <w:t>[16,17]</w:t>
      </w:r>
      <w:r w:rsidRPr="004841CD">
        <w:rPr>
          <w:szCs w:val="24"/>
        </w:rPr>
        <w:fldChar w:fldCharType="end"/>
      </w:r>
      <w:r w:rsidRPr="004841CD">
        <w:rPr>
          <w:szCs w:val="24"/>
        </w:rPr>
        <w:t xml:space="preserve"> </w:t>
      </w:r>
      <w:r>
        <w:rPr>
          <w:szCs w:val="24"/>
        </w:rPr>
        <w:t xml:space="preserve">. </w:t>
      </w:r>
      <w:proofErr w:type="gramStart"/>
      <w:r w:rsidR="00BC4921" w:rsidRPr="002522A3">
        <w:rPr>
          <w:szCs w:val="24"/>
        </w:rPr>
        <w:t>Whiles</w:t>
      </w:r>
      <w:r w:rsidR="00BC4921">
        <w:rPr>
          <w:szCs w:val="24"/>
        </w:rPr>
        <w:t xml:space="preserve">  </w:t>
      </w:r>
      <w:proofErr w:type="gramEnd"/>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λ</m:t>
            </m:r>
          </m:e>
          <m:sub>
            <m:r>
              <m:rPr>
                <m:sty m:val="bi"/>
              </m:rPr>
              <w:rPr>
                <w:rFonts w:ascii="Cambria Math" w:eastAsia="Times New Roman" w:hAnsi="Cambria Math"/>
                <w:sz w:val="28"/>
                <w:szCs w:val="28"/>
              </w:rPr>
              <m:t>h</m:t>
            </m:r>
          </m:sub>
        </m:sSub>
      </m:oMath>
      <w:r w:rsidRPr="00143AFF">
        <w:rPr>
          <w:szCs w:val="24"/>
        </w:rPr>
        <w:t>, is the force of infection (</w:t>
      </w:r>
      <w:bookmarkStart w:id="0" w:name="_GoBack"/>
      <w:bookmarkEnd w:id="0"/>
      <w:r w:rsidRPr="00143AFF">
        <w:rPr>
          <w:szCs w:val="24"/>
        </w:rPr>
        <w:t>indicated by the blue arrow) of the human population on the susceptible mosquitoes,</w:t>
      </w:r>
      <w:r w:rsidRPr="00143AFF">
        <w:rPr>
          <w:b/>
          <w:sz w:val="28"/>
          <w:szCs w:val="28"/>
        </w:rPr>
        <w:t xml:space="preserve">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μ</m:t>
            </m:r>
          </m:e>
          <m:sub>
            <m:r>
              <m:rPr>
                <m:sty m:val="bi"/>
              </m:rPr>
              <w:rPr>
                <w:rFonts w:ascii="Cambria Math" w:eastAsia="Times New Roman" w:hAnsi="Cambria Math"/>
                <w:sz w:val="28"/>
                <w:szCs w:val="28"/>
              </w:rPr>
              <m:t>l</m:t>
            </m:r>
          </m:sub>
        </m:sSub>
      </m:oMath>
      <w:r w:rsidRPr="00143AFF">
        <w:rPr>
          <w:szCs w:val="24"/>
        </w:rPr>
        <w:t xml:space="preserve"> and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μ</m:t>
            </m:r>
          </m:e>
          <m:sub>
            <m:r>
              <m:rPr>
                <m:sty m:val="bi"/>
              </m:rPr>
              <w:rPr>
                <w:rFonts w:ascii="Cambria Math" w:eastAsia="Times New Roman" w:hAnsi="Cambria Math"/>
                <w:sz w:val="28"/>
                <w:szCs w:val="28"/>
              </w:rPr>
              <m:t>m</m:t>
            </m:r>
          </m:sub>
        </m:sSub>
      </m:oMath>
      <w:r w:rsidRPr="00143AFF">
        <w:rPr>
          <w:szCs w:val="24"/>
        </w:rPr>
        <w:t xml:space="preserve"> are the mortality rates for the </w:t>
      </w:r>
      <w:r w:rsidRPr="007C7C48">
        <w:rPr>
          <w:szCs w:val="24"/>
        </w:rPr>
        <w:t>immature</w:t>
      </w:r>
      <w:r w:rsidRPr="00143AFF">
        <w:rPr>
          <w:szCs w:val="24"/>
        </w:rPr>
        <w:t xml:space="preserve"> mosquitoes and matured mosquitoes respectively, Fig 1f</w:t>
      </w:r>
      <w:r w:rsidRPr="00DB21A1">
        <w:rPr>
          <w:color w:val="FF0000"/>
          <w:szCs w:val="24"/>
        </w:rPr>
        <w:t>.</w:t>
      </w:r>
      <w:r>
        <w:rPr>
          <w:color w:val="FF0000"/>
          <w:szCs w:val="24"/>
        </w:rPr>
        <w:t xml:space="preserve"> </w:t>
      </w:r>
      <w:r w:rsidRPr="004841CD">
        <w:rPr>
          <w:szCs w:val="24"/>
        </w:rPr>
        <w:t>The dynamics of the mosquito population for the various zones are shown on Fig 8 in Appendix C.</w:t>
      </w:r>
    </w:p>
    <w:p w14:paraId="0CC80467" w14:textId="77777777" w:rsidR="00F74F6C" w:rsidRDefault="00F74F6C" w:rsidP="002B6379">
      <w:pPr>
        <w:spacing w:after="0" w:line="480" w:lineRule="auto"/>
        <w:jc w:val="both"/>
        <w:rPr>
          <w:szCs w:val="24"/>
        </w:rPr>
      </w:pPr>
    </w:p>
    <w:p w14:paraId="705D904C" w14:textId="77777777" w:rsidR="00F74F6C" w:rsidRDefault="00F74F6C" w:rsidP="002B6379">
      <w:pPr>
        <w:spacing w:after="0" w:line="480" w:lineRule="auto"/>
        <w:jc w:val="both"/>
        <w:rPr>
          <w:szCs w:val="24"/>
        </w:rPr>
      </w:pPr>
    </w:p>
    <w:p w14:paraId="466E90DB" w14:textId="77777777" w:rsidR="002B6379" w:rsidRDefault="002B6379" w:rsidP="002B6379">
      <w:pPr>
        <w:spacing w:after="0" w:line="480" w:lineRule="auto"/>
        <w:jc w:val="both"/>
        <w:rPr>
          <w:szCs w:val="24"/>
        </w:rPr>
      </w:pPr>
    </w:p>
    <w:p w14:paraId="1AB7EB5E" w14:textId="77777777" w:rsidR="002B6379" w:rsidRDefault="002B6379" w:rsidP="002B6379">
      <w:pPr>
        <w:spacing w:after="0" w:line="480" w:lineRule="auto"/>
        <w:jc w:val="both"/>
        <w:rPr>
          <w:szCs w:val="24"/>
        </w:rPr>
      </w:pPr>
    </w:p>
    <w:p w14:paraId="1CCD2568" w14:textId="77777777" w:rsidR="002B6379" w:rsidRDefault="002B6379" w:rsidP="002B6379">
      <w:pPr>
        <w:spacing w:after="0" w:line="480" w:lineRule="auto"/>
        <w:jc w:val="both"/>
        <w:rPr>
          <w:szCs w:val="24"/>
        </w:rPr>
      </w:pPr>
    </w:p>
    <w:p w14:paraId="4A122ED2" w14:textId="77777777" w:rsidR="00A77FBD" w:rsidRDefault="00A77FBD" w:rsidP="002B6379">
      <w:pPr>
        <w:spacing w:after="0" w:line="480" w:lineRule="auto"/>
        <w:jc w:val="both"/>
        <w:rPr>
          <w:szCs w:val="24"/>
        </w:rPr>
      </w:pPr>
    </w:p>
    <w:p w14:paraId="369B0488" w14:textId="77777777" w:rsidR="00A77FBD" w:rsidRDefault="00A77FBD" w:rsidP="002B6379">
      <w:pPr>
        <w:spacing w:after="0" w:line="480" w:lineRule="auto"/>
        <w:jc w:val="both"/>
        <w:rPr>
          <w:szCs w:val="24"/>
        </w:rPr>
      </w:pPr>
    </w:p>
    <w:p w14:paraId="0520B95D" w14:textId="77777777" w:rsidR="002B6379" w:rsidRDefault="002B6379" w:rsidP="002B6379">
      <w:pPr>
        <w:spacing w:after="0" w:line="480" w:lineRule="auto"/>
        <w:jc w:val="both"/>
        <w:rPr>
          <w:szCs w:val="24"/>
        </w:rPr>
      </w:pPr>
    </w:p>
    <w:p w14:paraId="5373C933" w14:textId="77777777" w:rsidR="002B6379" w:rsidRDefault="002B6379" w:rsidP="002B6379">
      <w:pPr>
        <w:spacing w:after="0" w:line="480" w:lineRule="auto"/>
        <w:jc w:val="both"/>
        <w:rPr>
          <w:szCs w:val="24"/>
        </w:rPr>
      </w:pPr>
    </w:p>
    <w:p w14:paraId="5075AC3E" w14:textId="77777777" w:rsidR="00F74F6C" w:rsidRDefault="00F74F6C" w:rsidP="007E1F9B">
      <w:pPr>
        <w:spacing w:after="0" w:line="480" w:lineRule="auto"/>
        <w:rPr>
          <w:szCs w:val="24"/>
        </w:rPr>
      </w:pPr>
    </w:p>
    <w:p w14:paraId="4EE46AAE" w14:textId="77777777" w:rsidR="007E1F9B" w:rsidRDefault="007E1F9B" w:rsidP="007E1F9B">
      <w:pPr>
        <w:rPr>
          <w:b/>
          <w:szCs w:val="24"/>
        </w:rPr>
      </w:pPr>
      <w:r>
        <w:rPr>
          <w:b/>
          <w:szCs w:val="24"/>
        </w:rPr>
        <w:lastRenderedPageBreak/>
        <w:t>Table 1 Definition of state variables</w:t>
      </w:r>
    </w:p>
    <w:tbl>
      <w:tblPr>
        <w:tblW w:w="10608" w:type="dxa"/>
        <w:tblInd w:w="-5" w:type="dxa"/>
        <w:tblLook w:val="04A0" w:firstRow="1" w:lastRow="0" w:firstColumn="1" w:lastColumn="0" w:noHBand="0" w:noVBand="1"/>
      </w:tblPr>
      <w:tblGrid>
        <w:gridCol w:w="461"/>
        <w:gridCol w:w="1121"/>
        <w:gridCol w:w="9026"/>
      </w:tblGrid>
      <w:tr w:rsidR="007E1F9B" w:rsidRPr="004C2A45" w14:paraId="331BDE10" w14:textId="77777777" w:rsidTr="002B6379">
        <w:trPr>
          <w:trHeight w:val="295"/>
        </w:trPr>
        <w:tc>
          <w:tcPr>
            <w:tcW w:w="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3674AD"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rFonts w:eastAsia="Times New Roman"/>
                <w:b/>
                <w:bCs/>
                <w:color w:val="000000"/>
                <w:sz w:val="20"/>
                <w:szCs w:val="20"/>
                <w:lang w:eastAsia="en-ZA"/>
              </w:rPr>
              <w:t>No</w:t>
            </w:r>
          </w:p>
        </w:tc>
        <w:tc>
          <w:tcPr>
            <w:tcW w:w="1135" w:type="dxa"/>
            <w:tcBorders>
              <w:top w:val="single" w:sz="4" w:space="0" w:color="auto"/>
              <w:left w:val="nil"/>
              <w:bottom w:val="single" w:sz="4" w:space="0" w:color="auto"/>
              <w:right w:val="single" w:sz="4" w:space="0" w:color="auto"/>
            </w:tcBorders>
            <w:shd w:val="clear" w:color="auto" w:fill="auto"/>
            <w:vAlign w:val="center"/>
            <w:hideMark/>
          </w:tcPr>
          <w:p w14:paraId="692706C8" w14:textId="77777777" w:rsidR="007E1F9B" w:rsidRPr="008B64B1" w:rsidRDefault="007E1F9B" w:rsidP="007E1F9B">
            <w:pPr>
              <w:spacing w:after="0" w:line="240" w:lineRule="auto"/>
              <w:jc w:val="center"/>
              <w:rPr>
                <w:rFonts w:eastAsia="Times New Roman"/>
                <w:b/>
                <w:bCs/>
                <w:color w:val="000000"/>
                <w:sz w:val="20"/>
                <w:szCs w:val="20"/>
                <w:lang w:eastAsia="en-ZA"/>
              </w:rPr>
            </w:pPr>
            <w:r>
              <w:rPr>
                <w:rFonts w:eastAsia="Times New Roman"/>
                <w:b/>
                <w:bCs/>
                <w:color w:val="000000"/>
                <w:sz w:val="20"/>
                <w:szCs w:val="20"/>
                <w:lang w:eastAsia="en-ZA"/>
              </w:rPr>
              <w:t>Variable name</w:t>
            </w:r>
            <w:r w:rsidRPr="008B64B1">
              <w:rPr>
                <w:rFonts w:eastAsia="Times New Roman"/>
                <w:b/>
                <w:bCs/>
                <w:color w:val="000000"/>
                <w:sz w:val="20"/>
                <w:szCs w:val="20"/>
                <w:lang w:eastAsia="en-ZA"/>
              </w:rPr>
              <w:t> </w:t>
            </w:r>
          </w:p>
        </w:tc>
        <w:tc>
          <w:tcPr>
            <w:tcW w:w="9026" w:type="dxa"/>
            <w:tcBorders>
              <w:top w:val="single" w:sz="4" w:space="0" w:color="auto"/>
              <w:left w:val="nil"/>
              <w:bottom w:val="single" w:sz="4" w:space="0" w:color="auto"/>
              <w:right w:val="single" w:sz="4" w:space="0" w:color="auto"/>
            </w:tcBorders>
            <w:shd w:val="clear" w:color="auto" w:fill="auto"/>
            <w:noWrap/>
            <w:vAlign w:val="center"/>
            <w:hideMark/>
          </w:tcPr>
          <w:p w14:paraId="193C231D" w14:textId="77777777" w:rsidR="007E1F9B" w:rsidRPr="008B64B1" w:rsidRDefault="007E1F9B" w:rsidP="007E1F9B">
            <w:pPr>
              <w:spacing w:after="0" w:line="240" w:lineRule="auto"/>
              <w:rPr>
                <w:rFonts w:eastAsia="Times New Roman"/>
                <w:b/>
                <w:bCs/>
                <w:color w:val="000000"/>
                <w:sz w:val="20"/>
                <w:szCs w:val="20"/>
                <w:lang w:eastAsia="en-ZA"/>
              </w:rPr>
            </w:pPr>
            <w:r w:rsidRPr="008B64B1">
              <w:rPr>
                <w:rFonts w:eastAsia="Times New Roman"/>
                <w:b/>
                <w:bCs/>
                <w:color w:val="000000"/>
                <w:sz w:val="20"/>
                <w:szCs w:val="20"/>
                <w:lang w:eastAsia="en-ZA"/>
              </w:rPr>
              <w:t>Description</w:t>
            </w:r>
          </w:p>
        </w:tc>
      </w:tr>
      <w:tr w:rsidR="007E1F9B" w:rsidRPr="004C2A45" w14:paraId="08246D5C"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4F22CD13"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rFonts w:eastAsia="Times New Roman"/>
                <w:b/>
                <w:bCs/>
                <w:color w:val="000000"/>
                <w:sz w:val="20"/>
                <w:szCs w:val="20"/>
                <w:lang w:eastAsia="en-ZA"/>
              </w:rPr>
              <w:t>1</w:t>
            </w:r>
          </w:p>
        </w:tc>
        <w:tc>
          <w:tcPr>
            <w:tcW w:w="1135" w:type="dxa"/>
            <w:tcBorders>
              <w:top w:val="nil"/>
              <w:left w:val="nil"/>
              <w:bottom w:val="single" w:sz="4" w:space="0" w:color="auto"/>
              <w:right w:val="single" w:sz="4" w:space="0" w:color="auto"/>
            </w:tcBorders>
            <w:shd w:val="clear" w:color="auto" w:fill="auto"/>
            <w:vAlign w:val="center"/>
            <w:hideMark/>
          </w:tcPr>
          <w:p w14:paraId="052233C3"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S</w:t>
            </w:r>
            <w:r w:rsidRPr="008B64B1">
              <w:rPr>
                <w:rFonts w:eastAsia="Times New Roman"/>
                <w:b/>
                <w:bCs/>
                <w:color w:val="000000"/>
                <w:sz w:val="28"/>
                <w:szCs w:val="28"/>
                <w:vertAlign w:val="subscript"/>
                <w:lang w:eastAsia="en-ZA"/>
              </w:rPr>
              <w:t>hn</w:t>
            </w:r>
          </w:p>
        </w:tc>
        <w:tc>
          <w:tcPr>
            <w:tcW w:w="9026" w:type="dxa"/>
            <w:tcBorders>
              <w:top w:val="nil"/>
              <w:left w:val="nil"/>
              <w:bottom w:val="single" w:sz="4" w:space="0" w:color="auto"/>
              <w:right w:val="single" w:sz="4" w:space="0" w:color="auto"/>
            </w:tcBorders>
            <w:shd w:val="clear" w:color="auto" w:fill="auto"/>
            <w:noWrap/>
            <w:vAlign w:val="center"/>
            <w:hideMark/>
          </w:tcPr>
          <w:p w14:paraId="0C287BDC"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 xml:space="preserve">susceptible naïve </w:t>
            </w:r>
          </w:p>
        </w:tc>
      </w:tr>
      <w:tr w:rsidR="007E1F9B" w:rsidRPr="004C2A45" w14:paraId="031BBE26"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8840C01"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rFonts w:eastAsia="Times New Roman"/>
                <w:b/>
                <w:bCs/>
                <w:color w:val="000000"/>
                <w:sz w:val="20"/>
                <w:szCs w:val="20"/>
                <w:lang w:eastAsia="en-ZA"/>
              </w:rPr>
              <w:t>2</w:t>
            </w:r>
          </w:p>
        </w:tc>
        <w:tc>
          <w:tcPr>
            <w:tcW w:w="1135" w:type="dxa"/>
            <w:tcBorders>
              <w:top w:val="nil"/>
              <w:left w:val="nil"/>
              <w:bottom w:val="single" w:sz="4" w:space="0" w:color="auto"/>
              <w:right w:val="single" w:sz="4" w:space="0" w:color="auto"/>
            </w:tcBorders>
            <w:shd w:val="clear" w:color="auto" w:fill="auto"/>
            <w:vAlign w:val="center"/>
            <w:hideMark/>
          </w:tcPr>
          <w:p w14:paraId="7CCD7B4B"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S</w:t>
            </w:r>
            <w:r w:rsidRPr="008B64B1">
              <w:rPr>
                <w:rFonts w:eastAsia="Times New Roman"/>
                <w:b/>
                <w:bCs/>
                <w:color w:val="000000"/>
                <w:sz w:val="28"/>
                <w:szCs w:val="28"/>
                <w:vertAlign w:val="subscript"/>
                <w:lang w:eastAsia="en-ZA"/>
              </w:rPr>
              <w:t>hnn</w:t>
            </w:r>
          </w:p>
        </w:tc>
        <w:tc>
          <w:tcPr>
            <w:tcW w:w="9026" w:type="dxa"/>
            <w:tcBorders>
              <w:top w:val="nil"/>
              <w:left w:val="nil"/>
              <w:bottom w:val="single" w:sz="4" w:space="0" w:color="auto"/>
              <w:right w:val="single" w:sz="4" w:space="0" w:color="auto"/>
            </w:tcBorders>
            <w:shd w:val="clear" w:color="auto" w:fill="auto"/>
            <w:noWrap/>
            <w:vAlign w:val="center"/>
            <w:hideMark/>
          </w:tcPr>
          <w:p w14:paraId="71FFF30A"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 xml:space="preserve">susceptible non-naïve </w:t>
            </w:r>
          </w:p>
        </w:tc>
      </w:tr>
      <w:tr w:rsidR="007E1F9B" w:rsidRPr="004C2A45" w14:paraId="329EEF1B"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5A5A607D"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rFonts w:eastAsia="Times New Roman"/>
                <w:b/>
                <w:bCs/>
                <w:color w:val="000000"/>
                <w:sz w:val="20"/>
                <w:szCs w:val="20"/>
                <w:lang w:eastAsia="en-ZA"/>
              </w:rPr>
              <w:t>3</w:t>
            </w:r>
          </w:p>
        </w:tc>
        <w:tc>
          <w:tcPr>
            <w:tcW w:w="1135" w:type="dxa"/>
            <w:tcBorders>
              <w:top w:val="nil"/>
              <w:left w:val="nil"/>
              <w:bottom w:val="single" w:sz="4" w:space="0" w:color="auto"/>
              <w:right w:val="single" w:sz="4" w:space="0" w:color="auto"/>
            </w:tcBorders>
            <w:shd w:val="clear" w:color="auto" w:fill="auto"/>
            <w:vAlign w:val="center"/>
            <w:hideMark/>
          </w:tcPr>
          <w:p w14:paraId="58348D74"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S</w:t>
            </w:r>
            <w:r w:rsidRPr="008B64B1">
              <w:rPr>
                <w:rFonts w:eastAsia="Times New Roman"/>
                <w:b/>
                <w:bCs/>
                <w:color w:val="000000"/>
                <w:sz w:val="28"/>
                <w:szCs w:val="28"/>
                <w:vertAlign w:val="subscript"/>
                <w:lang w:eastAsia="en-ZA"/>
              </w:rPr>
              <w:t>hnnp</w:t>
            </w:r>
          </w:p>
        </w:tc>
        <w:tc>
          <w:tcPr>
            <w:tcW w:w="9026" w:type="dxa"/>
            <w:tcBorders>
              <w:top w:val="nil"/>
              <w:left w:val="nil"/>
              <w:bottom w:val="single" w:sz="4" w:space="0" w:color="auto"/>
              <w:right w:val="single" w:sz="4" w:space="0" w:color="auto"/>
            </w:tcBorders>
            <w:shd w:val="clear" w:color="auto" w:fill="auto"/>
            <w:noWrap/>
            <w:vAlign w:val="center"/>
            <w:hideMark/>
          </w:tcPr>
          <w:p w14:paraId="73237726"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susceptible non-naïve pregnant women</w:t>
            </w:r>
          </w:p>
        </w:tc>
      </w:tr>
      <w:tr w:rsidR="007E1F9B" w:rsidRPr="004C2A45" w14:paraId="739379DD"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1647B3DB"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4</w:t>
            </w:r>
          </w:p>
        </w:tc>
        <w:tc>
          <w:tcPr>
            <w:tcW w:w="1135" w:type="dxa"/>
            <w:tcBorders>
              <w:top w:val="nil"/>
              <w:left w:val="nil"/>
              <w:bottom w:val="single" w:sz="4" w:space="0" w:color="auto"/>
              <w:right w:val="single" w:sz="4" w:space="0" w:color="auto"/>
            </w:tcBorders>
            <w:shd w:val="clear" w:color="auto" w:fill="auto"/>
            <w:vAlign w:val="center"/>
            <w:hideMark/>
          </w:tcPr>
          <w:p w14:paraId="57CB924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Ib</w:t>
            </w:r>
            <w:r w:rsidRPr="008B64B1">
              <w:rPr>
                <w:rFonts w:eastAsia="Times New Roman"/>
                <w:b/>
                <w:bCs/>
                <w:color w:val="000000"/>
                <w:sz w:val="28"/>
                <w:szCs w:val="28"/>
                <w:vertAlign w:val="subscript"/>
                <w:lang w:eastAsia="en-ZA"/>
              </w:rPr>
              <w:t>1h</w:t>
            </w:r>
          </w:p>
        </w:tc>
        <w:tc>
          <w:tcPr>
            <w:tcW w:w="9026" w:type="dxa"/>
            <w:tcBorders>
              <w:top w:val="nil"/>
              <w:left w:val="nil"/>
              <w:bottom w:val="single" w:sz="4" w:space="0" w:color="auto"/>
              <w:right w:val="single" w:sz="4" w:space="0" w:color="auto"/>
            </w:tcBorders>
            <w:shd w:val="clear" w:color="auto" w:fill="auto"/>
            <w:noWrap/>
            <w:vAlign w:val="center"/>
            <w:hideMark/>
          </w:tcPr>
          <w:p w14:paraId="37B69C35"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naïve pop: infected/incubation period/potentially infectious/asymptomatic/not detectable by MC</w:t>
            </w:r>
          </w:p>
        </w:tc>
      </w:tr>
      <w:tr w:rsidR="007E1F9B" w:rsidRPr="004C2A45" w14:paraId="632B9BB4"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BB7009A"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5</w:t>
            </w:r>
          </w:p>
        </w:tc>
        <w:tc>
          <w:tcPr>
            <w:tcW w:w="1135" w:type="dxa"/>
            <w:tcBorders>
              <w:top w:val="nil"/>
              <w:left w:val="nil"/>
              <w:bottom w:val="single" w:sz="4" w:space="0" w:color="auto"/>
              <w:right w:val="single" w:sz="4" w:space="0" w:color="auto"/>
            </w:tcBorders>
            <w:shd w:val="clear" w:color="auto" w:fill="auto"/>
            <w:vAlign w:val="center"/>
            <w:hideMark/>
          </w:tcPr>
          <w:p w14:paraId="369F14BF"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Ib</w:t>
            </w:r>
            <w:r w:rsidRPr="008B64B1">
              <w:rPr>
                <w:rFonts w:eastAsia="Times New Roman"/>
                <w:b/>
                <w:bCs/>
                <w:color w:val="000000"/>
                <w:sz w:val="28"/>
                <w:szCs w:val="28"/>
                <w:vertAlign w:val="subscript"/>
                <w:lang w:eastAsia="en-ZA"/>
              </w:rPr>
              <w:t>2h</w:t>
            </w:r>
          </w:p>
        </w:tc>
        <w:tc>
          <w:tcPr>
            <w:tcW w:w="9026" w:type="dxa"/>
            <w:tcBorders>
              <w:top w:val="nil"/>
              <w:left w:val="nil"/>
              <w:bottom w:val="single" w:sz="4" w:space="0" w:color="auto"/>
              <w:right w:val="single" w:sz="4" w:space="0" w:color="auto"/>
            </w:tcBorders>
            <w:shd w:val="clear" w:color="auto" w:fill="auto"/>
            <w:noWrap/>
            <w:vAlign w:val="center"/>
            <w:hideMark/>
          </w:tcPr>
          <w:p w14:paraId="0FEBC685"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non-naïve pop: infected/incubation period/ potentially infectious/asymptomatic/not detectable by MC</w:t>
            </w:r>
          </w:p>
        </w:tc>
      </w:tr>
      <w:tr w:rsidR="007E1F9B" w:rsidRPr="004C2A45" w14:paraId="2285241A"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1B013BDC"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6</w:t>
            </w:r>
          </w:p>
        </w:tc>
        <w:tc>
          <w:tcPr>
            <w:tcW w:w="1135" w:type="dxa"/>
            <w:tcBorders>
              <w:top w:val="nil"/>
              <w:left w:val="nil"/>
              <w:bottom w:val="single" w:sz="4" w:space="0" w:color="auto"/>
              <w:right w:val="single" w:sz="4" w:space="0" w:color="auto"/>
            </w:tcBorders>
            <w:shd w:val="clear" w:color="auto" w:fill="auto"/>
            <w:vAlign w:val="center"/>
            <w:hideMark/>
          </w:tcPr>
          <w:p w14:paraId="196216E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Ib</w:t>
            </w:r>
            <w:r w:rsidRPr="008B64B1">
              <w:rPr>
                <w:rFonts w:eastAsia="Times New Roman"/>
                <w:b/>
                <w:bCs/>
                <w:color w:val="000000"/>
                <w:sz w:val="28"/>
                <w:szCs w:val="28"/>
                <w:vertAlign w:val="subscript"/>
                <w:lang w:eastAsia="en-ZA"/>
              </w:rPr>
              <w:t>3h</w:t>
            </w:r>
          </w:p>
        </w:tc>
        <w:tc>
          <w:tcPr>
            <w:tcW w:w="9026" w:type="dxa"/>
            <w:tcBorders>
              <w:top w:val="nil"/>
              <w:left w:val="nil"/>
              <w:bottom w:val="single" w:sz="4" w:space="0" w:color="auto"/>
              <w:right w:val="single" w:sz="4" w:space="0" w:color="auto"/>
            </w:tcBorders>
            <w:shd w:val="clear" w:color="auto" w:fill="auto"/>
            <w:noWrap/>
            <w:vAlign w:val="center"/>
            <w:hideMark/>
          </w:tcPr>
          <w:p w14:paraId="631472CE"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non-naïve pregnant women: infected/incubation period/ potentially infectious/asymptomatic/not detectable by MC</w:t>
            </w:r>
          </w:p>
        </w:tc>
      </w:tr>
      <w:tr w:rsidR="007E1F9B" w:rsidRPr="004C2A45" w14:paraId="420934F2"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68C6B60F"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7</w:t>
            </w:r>
          </w:p>
        </w:tc>
        <w:tc>
          <w:tcPr>
            <w:tcW w:w="1135" w:type="dxa"/>
            <w:tcBorders>
              <w:top w:val="nil"/>
              <w:left w:val="nil"/>
              <w:bottom w:val="single" w:sz="4" w:space="0" w:color="auto"/>
              <w:right w:val="single" w:sz="4" w:space="0" w:color="auto"/>
            </w:tcBorders>
            <w:shd w:val="clear" w:color="auto" w:fill="auto"/>
            <w:vAlign w:val="center"/>
            <w:hideMark/>
          </w:tcPr>
          <w:p w14:paraId="2A435BA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IancN</w:t>
            </w:r>
          </w:p>
        </w:tc>
        <w:tc>
          <w:tcPr>
            <w:tcW w:w="9026" w:type="dxa"/>
            <w:tcBorders>
              <w:top w:val="nil"/>
              <w:left w:val="nil"/>
              <w:bottom w:val="single" w:sz="4" w:space="0" w:color="auto"/>
              <w:right w:val="single" w:sz="4" w:space="0" w:color="auto"/>
            </w:tcBorders>
            <w:shd w:val="clear" w:color="auto" w:fill="auto"/>
            <w:noWrap/>
            <w:vAlign w:val="center"/>
            <w:hideMark/>
          </w:tcPr>
          <w:p w14:paraId="751F04D4"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pregnant women attending ANC without an infection</w:t>
            </w:r>
          </w:p>
        </w:tc>
      </w:tr>
      <w:tr w:rsidR="007E1F9B" w:rsidRPr="004C2A45" w14:paraId="4FAFF988"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6411289"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8</w:t>
            </w:r>
          </w:p>
        </w:tc>
        <w:tc>
          <w:tcPr>
            <w:tcW w:w="1135" w:type="dxa"/>
            <w:tcBorders>
              <w:top w:val="nil"/>
              <w:left w:val="nil"/>
              <w:bottom w:val="single" w:sz="4" w:space="0" w:color="auto"/>
              <w:right w:val="single" w:sz="4" w:space="0" w:color="auto"/>
            </w:tcBorders>
            <w:shd w:val="clear" w:color="auto" w:fill="auto"/>
            <w:vAlign w:val="center"/>
            <w:hideMark/>
          </w:tcPr>
          <w:p w14:paraId="3970FDD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IancP</w:t>
            </w:r>
          </w:p>
        </w:tc>
        <w:tc>
          <w:tcPr>
            <w:tcW w:w="9026" w:type="dxa"/>
            <w:tcBorders>
              <w:top w:val="nil"/>
              <w:left w:val="nil"/>
              <w:bottom w:val="single" w:sz="4" w:space="0" w:color="auto"/>
              <w:right w:val="single" w:sz="4" w:space="0" w:color="auto"/>
            </w:tcBorders>
            <w:shd w:val="clear" w:color="auto" w:fill="auto"/>
            <w:noWrap/>
            <w:vAlign w:val="center"/>
            <w:hideMark/>
          </w:tcPr>
          <w:p w14:paraId="3EC61211"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pregnant women attending ANC with an infection</w:t>
            </w:r>
          </w:p>
        </w:tc>
      </w:tr>
      <w:tr w:rsidR="007E1F9B" w:rsidRPr="004C2A45" w14:paraId="24D3B5D4"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2D04AAB4"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9</w:t>
            </w:r>
          </w:p>
        </w:tc>
        <w:tc>
          <w:tcPr>
            <w:tcW w:w="1135" w:type="dxa"/>
            <w:tcBorders>
              <w:top w:val="nil"/>
              <w:left w:val="nil"/>
              <w:bottom w:val="single" w:sz="4" w:space="0" w:color="auto"/>
              <w:right w:val="single" w:sz="4" w:space="0" w:color="auto"/>
            </w:tcBorders>
            <w:shd w:val="clear" w:color="auto" w:fill="auto"/>
            <w:vAlign w:val="center"/>
            <w:hideMark/>
          </w:tcPr>
          <w:p w14:paraId="27157C2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w:t>
            </w:r>
            <w:r w:rsidRPr="008B64B1">
              <w:rPr>
                <w:rFonts w:eastAsia="Times New Roman"/>
                <w:b/>
                <w:bCs/>
                <w:color w:val="000000"/>
                <w:sz w:val="28"/>
                <w:szCs w:val="28"/>
                <w:vertAlign w:val="subscript"/>
                <w:lang w:eastAsia="en-ZA"/>
              </w:rPr>
              <w:t>3h</w:t>
            </w:r>
          </w:p>
        </w:tc>
        <w:tc>
          <w:tcPr>
            <w:tcW w:w="9026" w:type="dxa"/>
            <w:tcBorders>
              <w:top w:val="nil"/>
              <w:left w:val="nil"/>
              <w:bottom w:val="single" w:sz="4" w:space="0" w:color="auto"/>
              <w:right w:val="single" w:sz="4" w:space="0" w:color="auto"/>
            </w:tcBorders>
            <w:shd w:val="clear" w:color="auto" w:fill="auto"/>
            <w:noWrap/>
            <w:vAlign w:val="center"/>
            <w:hideMark/>
          </w:tcPr>
          <w:p w14:paraId="7E47D56D"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with SP</w:t>
            </w:r>
          </w:p>
        </w:tc>
      </w:tr>
      <w:tr w:rsidR="007E1F9B" w:rsidRPr="004C2A45" w14:paraId="0846B7AC"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68F349F9"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10</w:t>
            </w:r>
          </w:p>
        </w:tc>
        <w:tc>
          <w:tcPr>
            <w:tcW w:w="1135" w:type="dxa"/>
            <w:tcBorders>
              <w:top w:val="nil"/>
              <w:left w:val="nil"/>
              <w:bottom w:val="single" w:sz="4" w:space="0" w:color="auto"/>
              <w:right w:val="single" w:sz="4" w:space="0" w:color="auto"/>
            </w:tcBorders>
            <w:shd w:val="clear" w:color="auto" w:fill="auto"/>
            <w:vAlign w:val="center"/>
            <w:hideMark/>
          </w:tcPr>
          <w:p w14:paraId="5869CBFE"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Trf</w:t>
            </w:r>
            <w:r w:rsidRPr="008B64B1">
              <w:rPr>
                <w:rFonts w:eastAsia="Times New Roman"/>
                <w:b/>
                <w:bCs/>
                <w:color w:val="000000"/>
                <w:sz w:val="28"/>
                <w:szCs w:val="28"/>
                <w:vertAlign w:val="subscript"/>
                <w:lang w:eastAsia="en-ZA"/>
              </w:rPr>
              <w:t>3h</w:t>
            </w:r>
          </w:p>
        </w:tc>
        <w:tc>
          <w:tcPr>
            <w:tcW w:w="9026" w:type="dxa"/>
            <w:tcBorders>
              <w:top w:val="nil"/>
              <w:left w:val="nil"/>
              <w:bottom w:val="single" w:sz="4" w:space="0" w:color="auto"/>
              <w:right w:val="single" w:sz="4" w:space="0" w:color="auto"/>
            </w:tcBorders>
            <w:shd w:val="clear" w:color="auto" w:fill="auto"/>
            <w:noWrap/>
            <w:vAlign w:val="center"/>
            <w:hideMark/>
          </w:tcPr>
          <w:p w14:paraId="6DC3B6BF"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failure with SP</w:t>
            </w:r>
          </w:p>
        </w:tc>
      </w:tr>
      <w:tr w:rsidR="007E1F9B" w:rsidRPr="004C2A45" w14:paraId="731A61E6"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1C0105BF"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11</w:t>
            </w:r>
          </w:p>
        </w:tc>
        <w:tc>
          <w:tcPr>
            <w:tcW w:w="1135" w:type="dxa"/>
            <w:tcBorders>
              <w:top w:val="nil"/>
              <w:left w:val="nil"/>
              <w:bottom w:val="single" w:sz="4" w:space="0" w:color="auto"/>
              <w:right w:val="single" w:sz="4" w:space="0" w:color="auto"/>
            </w:tcBorders>
            <w:shd w:val="clear" w:color="auto" w:fill="auto"/>
            <w:vAlign w:val="center"/>
            <w:hideMark/>
          </w:tcPr>
          <w:p w14:paraId="6E46361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Ic</w:t>
            </w:r>
            <w:r w:rsidRPr="008B64B1">
              <w:rPr>
                <w:rFonts w:eastAsia="Times New Roman"/>
                <w:b/>
                <w:bCs/>
                <w:color w:val="000000"/>
                <w:sz w:val="28"/>
                <w:szCs w:val="28"/>
                <w:vertAlign w:val="subscript"/>
                <w:lang w:eastAsia="en-ZA"/>
              </w:rPr>
              <w:t>h</w:t>
            </w:r>
          </w:p>
        </w:tc>
        <w:tc>
          <w:tcPr>
            <w:tcW w:w="9026" w:type="dxa"/>
            <w:tcBorders>
              <w:top w:val="nil"/>
              <w:left w:val="nil"/>
              <w:bottom w:val="single" w:sz="4" w:space="0" w:color="auto"/>
              <w:right w:val="single" w:sz="4" w:space="0" w:color="auto"/>
            </w:tcBorders>
            <w:shd w:val="clear" w:color="auto" w:fill="auto"/>
            <w:noWrap/>
            <w:vAlign w:val="center"/>
            <w:hideMark/>
          </w:tcPr>
          <w:p w14:paraId="16952789"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infected/ infectious/symptomatic/detectable by MC</w:t>
            </w:r>
          </w:p>
        </w:tc>
      </w:tr>
      <w:tr w:rsidR="007E1F9B" w:rsidRPr="004C2A45" w14:paraId="06F455BC"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562A980F"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12</w:t>
            </w:r>
          </w:p>
        </w:tc>
        <w:tc>
          <w:tcPr>
            <w:tcW w:w="1135" w:type="dxa"/>
            <w:tcBorders>
              <w:top w:val="nil"/>
              <w:left w:val="nil"/>
              <w:bottom w:val="single" w:sz="4" w:space="0" w:color="auto"/>
              <w:right w:val="single" w:sz="4" w:space="0" w:color="auto"/>
            </w:tcBorders>
            <w:shd w:val="clear" w:color="auto" w:fill="auto"/>
            <w:vAlign w:val="center"/>
            <w:hideMark/>
          </w:tcPr>
          <w:p w14:paraId="3B1859AE"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w:t>
            </w:r>
            <w:r w:rsidRPr="008B64B1">
              <w:rPr>
                <w:rFonts w:eastAsia="Times New Roman"/>
                <w:b/>
                <w:bCs/>
                <w:color w:val="000000"/>
                <w:sz w:val="28"/>
                <w:szCs w:val="28"/>
                <w:vertAlign w:val="subscript"/>
                <w:lang w:eastAsia="en-ZA"/>
              </w:rPr>
              <w:t>1h</w:t>
            </w:r>
          </w:p>
        </w:tc>
        <w:tc>
          <w:tcPr>
            <w:tcW w:w="9026" w:type="dxa"/>
            <w:tcBorders>
              <w:top w:val="nil"/>
              <w:left w:val="nil"/>
              <w:bottom w:val="single" w:sz="4" w:space="0" w:color="auto"/>
              <w:right w:val="single" w:sz="4" w:space="0" w:color="auto"/>
            </w:tcBorders>
            <w:shd w:val="clear" w:color="auto" w:fill="auto"/>
            <w:noWrap/>
            <w:vAlign w:val="center"/>
            <w:hideMark/>
          </w:tcPr>
          <w:p w14:paraId="30354712"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with ACTs</w:t>
            </w:r>
          </w:p>
        </w:tc>
      </w:tr>
      <w:tr w:rsidR="007E1F9B" w:rsidRPr="004C2A45" w14:paraId="3FC529C6"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6689B8C1"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13</w:t>
            </w:r>
          </w:p>
        </w:tc>
        <w:tc>
          <w:tcPr>
            <w:tcW w:w="1135" w:type="dxa"/>
            <w:tcBorders>
              <w:top w:val="nil"/>
              <w:left w:val="nil"/>
              <w:bottom w:val="single" w:sz="4" w:space="0" w:color="auto"/>
              <w:right w:val="single" w:sz="4" w:space="0" w:color="auto"/>
            </w:tcBorders>
            <w:shd w:val="clear" w:color="auto" w:fill="auto"/>
            <w:vAlign w:val="center"/>
            <w:hideMark/>
          </w:tcPr>
          <w:p w14:paraId="4C81AB70"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Trf</w:t>
            </w:r>
            <w:r w:rsidRPr="008B64B1">
              <w:rPr>
                <w:rFonts w:eastAsia="Times New Roman"/>
                <w:b/>
                <w:bCs/>
                <w:color w:val="000000"/>
                <w:sz w:val="28"/>
                <w:szCs w:val="28"/>
                <w:vertAlign w:val="subscript"/>
                <w:lang w:eastAsia="en-ZA"/>
              </w:rPr>
              <w:t>1h</w:t>
            </w:r>
          </w:p>
        </w:tc>
        <w:tc>
          <w:tcPr>
            <w:tcW w:w="9026" w:type="dxa"/>
            <w:tcBorders>
              <w:top w:val="nil"/>
              <w:left w:val="nil"/>
              <w:bottom w:val="single" w:sz="4" w:space="0" w:color="auto"/>
              <w:right w:val="single" w:sz="4" w:space="0" w:color="auto"/>
            </w:tcBorders>
            <w:shd w:val="clear" w:color="auto" w:fill="auto"/>
            <w:noWrap/>
            <w:vAlign w:val="center"/>
            <w:hideMark/>
          </w:tcPr>
          <w:p w14:paraId="259AD409"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failure with ACTs</w:t>
            </w:r>
          </w:p>
        </w:tc>
      </w:tr>
      <w:tr w:rsidR="007E1F9B" w:rsidRPr="004C2A45" w14:paraId="7F2CD106"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09E055DE"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14</w:t>
            </w:r>
          </w:p>
        </w:tc>
        <w:tc>
          <w:tcPr>
            <w:tcW w:w="1135" w:type="dxa"/>
            <w:tcBorders>
              <w:top w:val="nil"/>
              <w:left w:val="nil"/>
              <w:bottom w:val="single" w:sz="4" w:space="0" w:color="auto"/>
              <w:right w:val="single" w:sz="4" w:space="0" w:color="auto"/>
            </w:tcBorders>
            <w:shd w:val="clear" w:color="auto" w:fill="auto"/>
            <w:vAlign w:val="center"/>
            <w:hideMark/>
          </w:tcPr>
          <w:p w14:paraId="7E4ADD5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Ia</w:t>
            </w:r>
            <w:r w:rsidRPr="008B64B1">
              <w:rPr>
                <w:rFonts w:eastAsia="Times New Roman"/>
                <w:b/>
                <w:bCs/>
                <w:color w:val="000000"/>
                <w:sz w:val="28"/>
                <w:szCs w:val="28"/>
                <w:vertAlign w:val="subscript"/>
                <w:lang w:eastAsia="en-ZA"/>
              </w:rPr>
              <w:t>h</w:t>
            </w:r>
          </w:p>
        </w:tc>
        <w:tc>
          <w:tcPr>
            <w:tcW w:w="9026" w:type="dxa"/>
            <w:tcBorders>
              <w:top w:val="nil"/>
              <w:left w:val="nil"/>
              <w:bottom w:val="single" w:sz="4" w:space="0" w:color="auto"/>
              <w:right w:val="single" w:sz="4" w:space="0" w:color="auto"/>
            </w:tcBorders>
            <w:shd w:val="clear" w:color="auto" w:fill="auto"/>
            <w:noWrap/>
            <w:vAlign w:val="center"/>
            <w:hideMark/>
          </w:tcPr>
          <w:p w14:paraId="19196B0F"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infected/infectious/asymptomatic/detectable by MC</w:t>
            </w:r>
          </w:p>
        </w:tc>
      </w:tr>
      <w:tr w:rsidR="007E1F9B" w:rsidRPr="004C2A45" w14:paraId="7587A768"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55BC452"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15</w:t>
            </w:r>
          </w:p>
        </w:tc>
        <w:tc>
          <w:tcPr>
            <w:tcW w:w="1135" w:type="dxa"/>
            <w:tcBorders>
              <w:top w:val="nil"/>
              <w:left w:val="nil"/>
              <w:bottom w:val="single" w:sz="4" w:space="0" w:color="auto"/>
              <w:right w:val="single" w:sz="4" w:space="0" w:color="auto"/>
            </w:tcBorders>
            <w:shd w:val="clear" w:color="auto" w:fill="auto"/>
            <w:vAlign w:val="center"/>
            <w:hideMark/>
          </w:tcPr>
          <w:p w14:paraId="5C87626B"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Ism</w:t>
            </w:r>
            <w:r w:rsidRPr="008B64B1">
              <w:rPr>
                <w:rFonts w:eastAsia="Times New Roman"/>
                <w:b/>
                <w:bCs/>
                <w:color w:val="000000"/>
                <w:sz w:val="28"/>
                <w:szCs w:val="28"/>
                <w:vertAlign w:val="subscript"/>
                <w:lang w:eastAsia="en-ZA"/>
              </w:rPr>
              <w:t>h</w:t>
            </w:r>
          </w:p>
        </w:tc>
        <w:tc>
          <w:tcPr>
            <w:tcW w:w="9026" w:type="dxa"/>
            <w:tcBorders>
              <w:top w:val="nil"/>
              <w:left w:val="nil"/>
              <w:bottom w:val="single" w:sz="4" w:space="0" w:color="auto"/>
              <w:right w:val="single" w:sz="4" w:space="0" w:color="auto"/>
            </w:tcBorders>
            <w:shd w:val="clear" w:color="auto" w:fill="auto"/>
            <w:noWrap/>
            <w:vAlign w:val="center"/>
            <w:hideMark/>
          </w:tcPr>
          <w:p w14:paraId="50D77A9D"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infected/potentially infectious/asymptomatic/sub-microscopic infection/not detectable by MC</w:t>
            </w:r>
          </w:p>
        </w:tc>
      </w:tr>
      <w:tr w:rsidR="007E1F9B" w:rsidRPr="004C2A45" w14:paraId="713E09E0"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02E40D5"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16</w:t>
            </w:r>
          </w:p>
        </w:tc>
        <w:tc>
          <w:tcPr>
            <w:tcW w:w="1135" w:type="dxa"/>
            <w:tcBorders>
              <w:top w:val="nil"/>
              <w:left w:val="nil"/>
              <w:bottom w:val="single" w:sz="4" w:space="0" w:color="auto"/>
              <w:right w:val="single" w:sz="4" w:space="0" w:color="auto"/>
            </w:tcBorders>
            <w:shd w:val="clear" w:color="auto" w:fill="auto"/>
            <w:vAlign w:val="center"/>
            <w:hideMark/>
          </w:tcPr>
          <w:p w14:paraId="397A158E"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Isd</w:t>
            </w:r>
            <w:r w:rsidRPr="008B64B1">
              <w:rPr>
                <w:rFonts w:eastAsia="Times New Roman"/>
                <w:b/>
                <w:bCs/>
                <w:color w:val="000000"/>
                <w:sz w:val="28"/>
                <w:szCs w:val="28"/>
                <w:vertAlign w:val="subscript"/>
                <w:lang w:eastAsia="en-ZA"/>
              </w:rPr>
              <w:t>h</w:t>
            </w:r>
          </w:p>
        </w:tc>
        <w:tc>
          <w:tcPr>
            <w:tcW w:w="9026" w:type="dxa"/>
            <w:tcBorders>
              <w:top w:val="nil"/>
              <w:left w:val="nil"/>
              <w:bottom w:val="single" w:sz="4" w:space="0" w:color="auto"/>
              <w:right w:val="single" w:sz="4" w:space="0" w:color="auto"/>
            </w:tcBorders>
            <w:shd w:val="clear" w:color="auto" w:fill="auto"/>
            <w:noWrap/>
            <w:vAlign w:val="center"/>
            <w:hideMark/>
          </w:tcPr>
          <w:p w14:paraId="1B99AAE6"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infected/ infectious/symptomatic/severe disease/detectable by MC</w:t>
            </w:r>
          </w:p>
        </w:tc>
      </w:tr>
      <w:tr w:rsidR="007E1F9B" w:rsidRPr="004C2A45" w14:paraId="496E390E"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40DCBC9"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17</w:t>
            </w:r>
          </w:p>
        </w:tc>
        <w:tc>
          <w:tcPr>
            <w:tcW w:w="1135" w:type="dxa"/>
            <w:tcBorders>
              <w:top w:val="nil"/>
              <w:left w:val="nil"/>
              <w:bottom w:val="single" w:sz="4" w:space="0" w:color="auto"/>
              <w:right w:val="single" w:sz="4" w:space="0" w:color="auto"/>
            </w:tcBorders>
            <w:shd w:val="clear" w:color="auto" w:fill="auto"/>
            <w:vAlign w:val="center"/>
            <w:hideMark/>
          </w:tcPr>
          <w:p w14:paraId="504FD022"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w:t>
            </w:r>
            <w:r w:rsidRPr="008B64B1">
              <w:rPr>
                <w:rFonts w:eastAsia="Times New Roman"/>
                <w:b/>
                <w:bCs/>
                <w:color w:val="000000"/>
                <w:sz w:val="28"/>
                <w:szCs w:val="28"/>
                <w:vertAlign w:val="subscript"/>
                <w:lang w:eastAsia="en-ZA"/>
              </w:rPr>
              <w:t>2h</w:t>
            </w:r>
          </w:p>
        </w:tc>
        <w:tc>
          <w:tcPr>
            <w:tcW w:w="9026" w:type="dxa"/>
            <w:tcBorders>
              <w:top w:val="nil"/>
              <w:left w:val="nil"/>
              <w:bottom w:val="single" w:sz="4" w:space="0" w:color="auto"/>
              <w:right w:val="single" w:sz="4" w:space="0" w:color="auto"/>
            </w:tcBorders>
            <w:shd w:val="clear" w:color="auto" w:fill="auto"/>
            <w:noWrap/>
            <w:vAlign w:val="center"/>
            <w:hideMark/>
          </w:tcPr>
          <w:p w14:paraId="20F09AC5"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with QUININE</w:t>
            </w:r>
          </w:p>
        </w:tc>
      </w:tr>
      <w:tr w:rsidR="007E1F9B" w:rsidRPr="004C2A45" w14:paraId="2CF431AF"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248F9E7C"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18</w:t>
            </w:r>
          </w:p>
        </w:tc>
        <w:tc>
          <w:tcPr>
            <w:tcW w:w="1135" w:type="dxa"/>
            <w:tcBorders>
              <w:top w:val="nil"/>
              <w:left w:val="nil"/>
              <w:bottom w:val="single" w:sz="4" w:space="0" w:color="auto"/>
              <w:right w:val="single" w:sz="4" w:space="0" w:color="auto"/>
            </w:tcBorders>
            <w:shd w:val="clear" w:color="auto" w:fill="auto"/>
            <w:vAlign w:val="center"/>
            <w:hideMark/>
          </w:tcPr>
          <w:p w14:paraId="34BFD11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Trf</w:t>
            </w:r>
            <w:r w:rsidRPr="008B64B1">
              <w:rPr>
                <w:rFonts w:eastAsia="Times New Roman"/>
                <w:b/>
                <w:bCs/>
                <w:color w:val="000000"/>
                <w:sz w:val="28"/>
                <w:szCs w:val="28"/>
                <w:vertAlign w:val="subscript"/>
                <w:lang w:eastAsia="en-ZA"/>
              </w:rPr>
              <w:t>2h</w:t>
            </w:r>
          </w:p>
        </w:tc>
        <w:tc>
          <w:tcPr>
            <w:tcW w:w="9026" w:type="dxa"/>
            <w:tcBorders>
              <w:top w:val="nil"/>
              <w:left w:val="nil"/>
              <w:bottom w:val="single" w:sz="4" w:space="0" w:color="auto"/>
              <w:right w:val="single" w:sz="4" w:space="0" w:color="auto"/>
            </w:tcBorders>
            <w:shd w:val="clear" w:color="auto" w:fill="auto"/>
            <w:noWrap/>
            <w:vAlign w:val="center"/>
            <w:hideMark/>
          </w:tcPr>
          <w:p w14:paraId="3DC440BC"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failure with QUININE</w:t>
            </w:r>
          </w:p>
        </w:tc>
      </w:tr>
      <w:tr w:rsidR="007E1F9B" w:rsidRPr="004C2A45" w14:paraId="2853FA8A"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2F22C1B2"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19</w:t>
            </w:r>
          </w:p>
        </w:tc>
        <w:tc>
          <w:tcPr>
            <w:tcW w:w="1135" w:type="dxa"/>
            <w:tcBorders>
              <w:top w:val="nil"/>
              <w:left w:val="nil"/>
              <w:bottom w:val="single" w:sz="4" w:space="0" w:color="auto"/>
              <w:right w:val="single" w:sz="4" w:space="0" w:color="auto"/>
            </w:tcBorders>
            <w:shd w:val="clear" w:color="auto" w:fill="auto"/>
            <w:vAlign w:val="center"/>
            <w:hideMark/>
          </w:tcPr>
          <w:p w14:paraId="636D8934"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L</w:t>
            </w:r>
            <w:r w:rsidRPr="008B64B1">
              <w:rPr>
                <w:rFonts w:eastAsia="Times New Roman"/>
                <w:b/>
                <w:bCs/>
                <w:color w:val="000000"/>
                <w:sz w:val="28"/>
                <w:szCs w:val="28"/>
                <w:vertAlign w:val="subscript"/>
                <w:lang w:eastAsia="en-ZA"/>
              </w:rPr>
              <w:t>v</w:t>
            </w:r>
          </w:p>
        </w:tc>
        <w:tc>
          <w:tcPr>
            <w:tcW w:w="9026" w:type="dxa"/>
            <w:tcBorders>
              <w:top w:val="nil"/>
              <w:left w:val="nil"/>
              <w:bottom w:val="single" w:sz="4" w:space="0" w:color="auto"/>
              <w:right w:val="single" w:sz="4" w:space="0" w:color="auto"/>
            </w:tcBorders>
            <w:shd w:val="clear" w:color="auto" w:fill="auto"/>
            <w:noWrap/>
            <w:vAlign w:val="center"/>
            <w:hideMark/>
          </w:tcPr>
          <w:p w14:paraId="7C356AED"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mosquito larva</w:t>
            </w:r>
            <w:r>
              <w:rPr>
                <w:rFonts w:eastAsia="Times New Roman"/>
                <w:color w:val="000000"/>
                <w:sz w:val="20"/>
                <w:szCs w:val="20"/>
                <w:lang w:eastAsia="en-ZA"/>
              </w:rPr>
              <w:t xml:space="preserve"> and pupa</w:t>
            </w:r>
            <w:r w:rsidRPr="008B64B1">
              <w:rPr>
                <w:rFonts w:eastAsia="Times New Roman"/>
                <w:color w:val="000000"/>
                <w:sz w:val="20"/>
                <w:szCs w:val="20"/>
                <w:lang w:eastAsia="en-ZA"/>
              </w:rPr>
              <w:t xml:space="preserve"> (immature</w:t>
            </w:r>
            <w:r>
              <w:rPr>
                <w:rFonts w:eastAsia="Times New Roman"/>
                <w:color w:val="000000"/>
                <w:sz w:val="20"/>
                <w:szCs w:val="20"/>
                <w:lang w:eastAsia="en-ZA"/>
              </w:rPr>
              <w:t xml:space="preserve"> mosquitoes</w:t>
            </w:r>
            <w:r w:rsidRPr="008B64B1">
              <w:rPr>
                <w:rFonts w:eastAsia="Times New Roman"/>
                <w:color w:val="000000"/>
                <w:sz w:val="20"/>
                <w:szCs w:val="20"/>
                <w:lang w:eastAsia="en-ZA"/>
              </w:rPr>
              <w:t>) population</w:t>
            </w:r>
          </w:p>
        </w:tc>
      </w:tr>
      <w:tr w:rsidR="007E1F9B" w:rsidRPr="004C2A45" w14:paraId="798AFA08"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38BF3E19"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20</w:t>
            </w:r>
          </w:p>
        </w:tc>
        <w:tc>
          <w:tcPr>
            <w:tcW w:w="1135" w:type="dxa"/>
            <w:tcBorders>
              <w:top w:val="nil"/>
              <w:left w:val="nil"/>
              <w:bottom w:val="single" w:sz="4" w:space="0" w:color="auto"/>
              <w:right w:val="single" w:sz="4" w:space="0" w:color="auto"/>
            </w:tcBorders>
            <w:shd w:val="clear" w:color="auto" w:fill="auto"/>
            <w:vAlign w:val="center"/>
            <w:hideMark/>
          </w:tcPr>
          <w:p w14:paraId="1BBE273E"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S</w:t>
            </w:r>
            <w:r w:rsidRPr="008B64B1">
              <w:rPr>
                <w:rFonts w:eastAsia="Times New Roman"/>
                <w:b/>
                <w:bCs/>
                <w:color w:val="000000"/>
                <w:sz w:val="28"/>
                <w:szCs w:val="28"/>
                <w:vertAlign w:val="subscript"/>
                <w:lang w:eastAsia="en-ZA"/>
              </w:rPr>
              <w:t>m</w:t>
            </w:r>
          </w:p>
        </w:tc>
        <w:tc>
          <w:tcPr>
            <w:tcW w:w="9026" w:type="dxa"/>
            <w:tcBorders>
              <w:top w:val="nil"/>
              <w:left w:val="nil"/>
              <w:bottom w:val="single" w:sz="4" w:space="0" w:color="auto"/>
              <w:right w:val="single" w:sz="4" w:space="0" w:color="auto"/>
            </w:tcBorders>
            <w:shd w:val="clear" w:color="auto" w:fill="auto"/>
            <w:noWrap/>
            <w:vAlign w:val="center"/>
            <w:hideMark/>
          </w:tcPr>
          <w:p w14:paraId="68F4270D" w14:textId="77777777" w:rsidR="007E1F9B" w:rsidRPr="008B64B1" w:rsidRDefault="007E1F9B" w:rsidP="007E1F9B">
            <w:pPr>
              <w:spacing w:after="0" w:line="240" w:lineRule="auto"/>
              <w:rPr>
                <w:rFonts w:eastAsia="Times New Roman"/>
                <w:color w:val="000000"/>
                <w:sz w:val="20"/>
                <w:szCs w:val="20"/>
                <w:lang w:eastAsia="en-ZA"/>
              </w:rPr>
            </w:pPr>
            <w:r>
              <w:rPr>
                <w:rFonts w:eastAsia="Times New Roman"/>
                <w:color w:val="000000"/>
                <w:sz w:val="20"/>
                <w:szCs w:val="20"/>
                <w:lang w:eastAsia="en-ZA"/>
              </w:rPr>
              <w:t>mosquitoes</w:t>
            </w:r>
            <w:r w:rsidRPr="008B64B1">
              <w:rPr>
                <w:rFonts w:eastAsia="Times New Roman"/>
                <w:color w:val="000000"/>
                <w:sz w:val="20"/>
                <w:szCs w:val="20"/>
                <w:lang w:eastAsia="en-ZA"/>
              </w:rPr>
              <w:t xml:space="preserve"> susceptible  to human infection  </w:t>
            </w:r>
          </w:p>
        </w:tc>
      </w:tr>
      <w:tr w:rsidR="007E1F9B" w:rsidRPr="004C2A45" w14:paraId="47658854"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63A6FCB7"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21</w:t>
            </w:r>
          </w:p>
        </w:tc>
        <w:tc>
          <w:tcPr>
            <w:tcW w:w="1135" w:type="dxa"/>
            <w:tcBorders>
              <w:top w:val="nil"/>
              <w:left w:val="nil"/>
              <w:bottom w:val="single" w:sz="4" w:space="0" w:color="auto"/>
              <w:right w:val="single" w:sz="4" w:space="0" w:color="auto"/>
            </w:tcBorders>
            <w:shd w:val="clear" w:color="auto" w:fill="auto"/>
            <w:vAlign w:val="center"/>
            <w:hideMark/>
          </w:tcPr>
          <w:p w14:paraId="1839E368"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E</w:t>
            </w:r>
            <w:r w:rsidRPr="008B64B1">
              <w:rPr>
                <w:rFonts w:eastAsia="Times New Roman"/>
                <w:b/>
                <w:bCs/>
                <w:color w:val="000000"/>
                <w:sz w:val="28"/>
                <w:szCs w:val="28"/>
                <w:vertAlign w:val="subscript"/>
                <w:lang w:eastAsia="en-ZA"/>
              </w:rPr>
              <w:t>m</w:t>
            </w:r>
          </w:p>
        </w:tc>
        <w:tc>
          <w:tcPr>
            <w:tcW w:w="9026" w:type="dxa"/>
            <w:tcBorders>
              <w:top w:val="nil"/>
              <w:left w:val="nil"/>
              <w:bottom w:val="single" w:sz="4" w:space="0" w:color="auto"/>
              <w:right w:val="single" w:sz="4" w:space="0" w:color="auto"/>
            </w:tcBorders>
            <w:shd w:val="clear" w:color="auto" w:fill="auto"/>
            <w:noWrap/>
            <w:vAlign w:val="center"/>
            <w:hideMark/>
          </w:tcPr>
          <w:p w14:paraId="7FD5C7F9"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 xml:space="preserve">infected/not infectious </w:t>
            </w:r>
            <w:r>
              <w:rPr>
                <w:rFonts w:eastAsia="Times New Roman"/>
                <w:color w:val="000000"/>
                <w:sz w:val="20"/>
                <w:szCs w:val="20"/>
                <w:lang w:eastAsia="en-ZA"/>
              </w:rPr>
              <w:t>mosquitoes</w:t>
            </w:r>
            <w:r w:rsidRPr="008B64B1">
              <w:rPr>
                <w:rFonts w:eastAsia="Times New Roman"/>
                <w:color w:val="000000"/>
                <w:sz w:val="20"/>
                <w:szCs w:val="20"/>
                <w:lang w:eastAsia="en-ZA"/>
              </w:rPr>
              <w:t xml:space="preserve"> after  a blood meal/biting from an infectious human</w:t>
            </w:r>
          </w:p>
        </w:tc>
      </w:tr>
      <w:tr w:rsidR="007E1F9B" w:rsidRPr="004C2A45" w14:paraId="42BCA5AC"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1D2BD583"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22</w:t>
            </w:r>
          </w:p>
        </w:tc>
        <w:tc>
          <w:tcPr>
            <w:tcW w:w="1135" w:type="dxa"/>
            <w:tcBorders>
              <w:top w:val="nil"/>
              <w:left w:val="nil"/>
              <w:bottom w:val="single" w:sz="4" w:space="0" w:color="auto"/>
              <w:right w:val="single" w:sz="4" w:space="0" w:color="auto"/>
            </w:tcBorders>
            <w:shd w:val="clear" w:color="auto" w:fill="auto"/>
            <w:vAlign w:val="center"/>
            <w:hideMark/>
          </w:tcPr>
          <w:p w14:paraId="35AAB1A5"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w:t>
            </w:r>
            <w:r w:rsidRPr="008B64B1">
              <w:rPr>
                <w:rFonts w:eastAsia="Times New Roman"/>
                <w:b/>
                <w:bCs/>
                <w:color w:val="000000"/>
                <w:sz w:val="28"/>
                <w:szCs w:val="28"/>
                <w:vertAlign w:val="subscript"/>
                <w:lang w:eastAsia="en-ZA"/>
              </w:rPr>
              <w:t>m</w:t>
            </w:r>
          </w:p>
        </w:tc>
        <w:tc>
          <w:tcPr>
            <w:tcW w:w="9026" w:type="dxa"/>
            <w:tcBorders>
              <w:top w:val="nil"/>
              <w:left w:val="nil"/>
              <w:bottom w:val="single" w:sz="4" w:space="0" w:color="auto"/>
              <w:right w:val="single" w:sz="4" w:space="0" w:color="auto"/>
            </w:tcBorders>
            <w:shd w:val="clear" w:color="auto" w:fill="auto"/>
            <w:noWrap/>
            <w:vAlign w:val="center"/>
            <w:hideMark/>
          </w:tcPr>
          <w:p w14:paraId="706DE37A"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 xml:space="preserve">gametocytes develop to become sporozoites thus making </w:t>
            </w:r>
            <w:r>
              <w:rPr>
                <w:rFonts w:eastAsia="Times New Roman"/>
                <w:color w:val="000000"/>
                <w:sz w:val="20"/>
                <w:szCs w:val="20"/>
                <w:lang w:eastAsia="en-ZA"/>
              </w:rPr>
              <w:t>mosquitoes</w:t>
            </w:r>
            <w:r w:rsidRPr="008B64B1">
              <w:rPr>
                <w:rFonts w:eastAsia="Times New Roman"/>
                <w:color w:val="000000"/>
                <w:sz w:val="20"/>
                <w:szCs w:val="20"/>
                <w:lang w:eastAsia="en-ZA"/>
              </w:rPr>
              <w:t xml:space="preserve"> infected and infectious  </w:t>
            </w:r>
          </w:p>
        </w:tc>
      </w:tr>
    </w:tbl>
    <w:p w14:paraId="5A2C961E" w14:textId="77777777" w:rsidR="007E1F9B" w:rsidRPr="004C2A45" w:rsidRDefault="007E1F9B" w:rsidP="007E1F9B">
      <w:pPr>
        <w:rPr>
          <w:rFonts w:eastAsia="Times New Roman"/>
          <w:b/>
          <w:szCs w:val="24"/>
        </w:rPr>
        <w:sectPr w:rsidR="007E1F9B" w:rsidRPr="004C2A45" w:rsidSect="002B6379">
          <w:headerReference w:type="default" r:id="rId16"/>
          <w:footerReference w:type="default" r:id="rId17"/>
          <w:type w:val="continuous"/>
          <w:pgSz w:w="11906" w:h="16838"/>
          <w:pgMar w:top="1440" w:right="1080" w:bottom="1440" w:left="1080" w:header="708" w:footer="708" w:gutter="0"/>
          <w:cols w:space="708"/>
          <w:docGrid w:linePitch="360"/>
        </w:sectPr>
      </w:pPr>
    </w:p>
    <w:p w14:paraId="7B87E68B" w14:textId="77777777" w:rsidR="007E1F9B" w:rsidRPr="004C2A45" w:rsidRDefault="007E1F9B" w:rsidP="007E1F9B">
      <w:pPr>
        <w:jc w:val="center"/>
        <w:rPr>
          <w:rFonts w:eastAsia="Times New Roman"/>
          <w:b/>
          <w:szCs w:val="24"/>
        </w:rPr>
      </w:pPr>
      <w:r w:rsidRPr="004C2A45">
        <w:rPr>
          <w:rFonts w:eastAsia="Times New Roman"/>
          <w:b/>
          <w:szCs w:val="24"/>
        </w:rPr>
        <w:lastRenderedPageBreak/>
        <w:t>Base model equations</w:t>
      </w:r>
    </w:p>
    <w:p w14:paraId="27A4670C" w14:textId="77777777" w:rsidR="007E1F9B" w:rsidRPr="004C2A45" w:rsidRDefault="007E1F9B" w:rsidP="008F1408">
      <w:pPr>
        <w:jc w:val="both"/>
        <w:rPr>
          <w:rFonts w:eastAsia="Times New Roman"/>
          <w:b/>
          <w:szCs w:val="24"/>
        </w:rPr>
      </w:pPr>
      <w:r w:rsidRPr="004C2A45">
        <w:rPr>
          <w:rFonts w:eastAsia="Times New Roman"/>
          <w:b/>
          <w:szCs w:val="24"/>
        </w:rPr>
        <w:t>Human population</w:t>
      </w:r>
    </w:p>
    <w:p w14:paraId="6911F745"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dS</m:t>
                </m:r>
              </m:e>
              <m:sub>
                <m:r>
                  <m:rPr>
                    <m:sty m:val="p"/>
                  </m:rPr>
                  <w:rPr>
                    <w:rFonts w:ascii="Cambria Math" w:hAnsi="Cambria Math"/>
                    <w:szCs w:val="24"/>
                  </w:rPr>
                  <m:t>hn</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N</m:t>
            </m:r>
          </m:e>
          <m:sub>
            <m:r>
              <m:rPr>
                <m:sty m:val="p"/>
              </m:rPr>
              <w:rPr>
                <w:rFonts w:ascii="Cambria Math" w:hAnsi="Cambria Math"/>
                <w:szCs w:val="24"/>
              </w:rPr>
              <m:t>h</m:t>
            </m:r>
          </m:sub>
        </m:sSub>
        <m:sSub>
          <m:sSubPr>
            <m:ctrlPr>
              <w:rPr>
                <w:rFonts w:ascii="Cambria Math" w:hAnsi="Cambria Math"/>
                <w:szCs w:val="24"/>
              </w:rPr>
            </m:ctrlPr>
          </m:sSubPr>
          <m:e>
            <m:r>
              <m:rPr>
                <m:sty m:val="p"/>
              </m:rPr>
              <w:rPr>
                <w:rFonts w:ascii="Cambria Math" w:hAnsi="Cambria Math"/>
                <w:szCs w:val="24"/>
              </w:rPr>
              <m:t>*b</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n</m:t>
            </m:r>
          </m:sub>
        </m:sSub>
        <m:r>
          <m:rPr>
            <m:sty m:val="p"/>
          </m:rPr>
          <w:rPr>
            <w:rFonts w:ascii="Cambria Math" w:eastAsia="Times New Roman" w:hAnsi="Cambria Math"/>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m</m:t>
                </m:r>
              </m:e>
              <m:sub>
                <m:r>
                  <w:rPr>
                    <w:rFonts w:ascii="Cambria Math" w:hAnsi="Cambria Math"/>
                    <w:szCs w:val="24"/>
                  </w:rPr>
                  <m:t>1</m:t>
                </m:r>
              </m:sub>
            </m:sSub>
            <m:r>
              <m:rPr>
                <m:sty m:val="p"/>
              </m:rPr>
              <w:rPr>
                <w:rFonts w:ascii="Cambria Math" w:hAnsi="Cambria Math"/>
                <w:szCs w:val="24"/>
              </w:rPr>
              <m:t>*λ</m:t>
            </m:r>
          </m:e>
          <m:sub>
            <m:r>
              <m:rPr>
                <m:sty m:val="p"/>
              </m:rPr>
              <w:rPr>
                <w:rFonts w:ascii="Cambria Math" w:hAnsi="Cambria Math"/>
                <w:szCs w:val="24"/>
              </w:rPr>
              <m:t>mh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 </m:t>
            </m:r>
          </m:sub>
        </m:sSub>
      </m:oMath>
      <w:r w:rsidR="007E1F9B" w:rsidRPr="00C1299E">
        <w:rPr>
          <w:rFonts w:eastAsia="Times New Roman"/>
          <w:szCs w:val="24"/>
        </w:rPr>
        <w:t xml:space="preserve"> </w:t>
      </w:r>
    </w:p>
    <w:p w14:paraId="71480FF1" w14:textId="391B4DBD" w:rsidR="007E1F9B" w:rsidRPr="00C1299E" w:rsidRDefault="00F52C24" w:rsidP="002B6379">
      <w:pPr>
        <w:spacing w:line="240"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dS</m:t>
                </m:r>
              </m:e>
              <m:sub>
                <m:r>
                  <m:rPr>
                    <m:sty m:val="p"/>
                  </m:rPr>
                  <w:rPr>
                    <w:rFonts w:ascii="Cambria Math" w:hAnsi="Cambria Math"/>
                    <w:szCs w:val="24"/>
                  </w:rPr>
                  <m:t>hnn</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N</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b</m:t>
            </m:r>
          </m:e>
          <m:sub>
            <m:r>
              <m:rPr>
                <m:sty m:val="p"/>
              </m:rPr>
              <w:rPr>
                <w:rFonts w:ascii="Cambria Math" w:hAnsi="Cambria Math"/>
                <w:szCs w:val="24"/>
              </w:rPr>
              <m:t>h</m:t>
            </m:r>
          </m:sub>
        </m:sSub>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n</m:t>
                </m:r>
              </m:sub>
            </m:sSub>
          </m:e>
        </m:d>
        <m:r>
          <m:rPr>
            <m:sty m:val="p"/>
          </m:rPr>
          <w:rPr>
            <w:rFonts w:ascii="Cambria Math" w:hAnsi="Cambria Math"/>
            <w:szCs w:val="24"/>
          </w:rPr>
          <m:t>*</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m</m:t>
            </m:r>
          </m:sub>
        </m:sSub>
        <m:r>
          <m:rPr>
            <m:sty m:val="p"/>
          </m:rPr>
          <w:rPr>
            <w:rFonts w:ascii="Cambria Math" w:eastAsia="Times New Roman" w:hAnsi="Cambria Math"/>
            <w:szCs w:val="24"/>
          </w:rPr>
          <m:t>+</m:t>
        </m:r>
        <m:sSub>
          <m:sSubPr>
            <m:ctrlPr>
              <w:rPr>
                <w:rFonts w:ascii="Cambria Math" w:hAnsi="Cambria Math"/>
                <w:szCs w:val="24"/>
              </w:rPr>
            </m:ctrlPr>
          </m:sSubPr>
          <m:e>
            <m:sSub>
              <m:sSubPr>
                <m:ctrlPr>
                  <w:rPr>
                    <w:rFonts w:ascii="Cambria Math" w:hAnsi="Cambria Math"/>
                    <w:szCs w:val="24"/>
                  </w:rPr>
                </m:ctrlPr>
              </m:sSubPr>
              <m:e>
                <m:d>
                  <m:dPr>
                    <m:ctrlPr>
                      <w:rPr>
                        <w:rFonts w:ascii="Cambria Math" w:hAnsi="Cambria Math"/>
                        <w:szCs w:val="24"/>
                      </w:rPr>
                    </m:ctrlPr>
                  </m:dPr>
                  <m:e>
                    <m:r>
                      <m:rPr>
                        <m:sty m:val="p"/>
                      </m:rPr>
                      <w:rPr>
                        <w:rFonts w:ascii="Cambria Math" w:hAnsi="Cambria Math"/>
                        <w:szCs w:val="24"/>
                      </w:rPr>
                      <m:t>1-</m:t>
                    </m:r>
                    <m:d>
                      <m:dPr>
                        <m:ctrlPr>
                          <w:rPr>
                            <w:rFonts w:ascii="Cambria Math" w:hAnsi="Cambria Math"/>
                            <w:szCs w:val="24"/>
                          </w:rPr>
                        </m:ctrlPr>
                      </m:dPr>
                      <m:e>
                        <m:sSub>
                          <m:sSubPr>
                            <m:ctrlPr>
                              <w:rPr>
                                <w:rFonts w:ascii="Cambria Math" w:hAnsi="Cambria Math"/>
                                <w:szCs w:val="24"/>
                              </w:rPr>
                            </m:ctrlPr>
                          </m:sSubPr>
                          <m:e>
                            <m:r>
                              <w:rPr>
                                <w:rFonts w:ascii="Cambria Math" w:hAnsi="Cambria Math"/>
                                <w:szCs w:val="24"/>
                              </w:rPr>
                              <m:t>ah</m:t>
                            </m:r>
                          </m:e>
                          <m:sub>
                            <m:r>
                              <w:rPr>
                                <w:rFonts w:ascii="Cambria Math" w:hAnsi="Cambria Math"/>
                                <w:szCs w:val="24"/>
                              </w:rPr>
                              <m:t>1</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rs</m:t>
                            </m:r>
                          </m:e>
                          <m:sub>
                            <m:r>
                              <w:rPr>
                                <w:rFonts w:ascii="Cambria Math" w:hAnsi="Cambria Math"/>
                                <w:szCs w:val="24"/>
                              </w:rPr>
                              <m:t>1</m:t>
                            </m:r>
                          </m:sub>
                        </m:sSub>
                      </m:e>
                    </m:d>
                  </m:e>
                </m:d>
                <m:r>
                  <m:rPr>
                    <m:sty m:val="p"/>
                  </m:rPr>
                  <w:rPr>
                    <w:rFonts w:ascii="Cambria Math" w:hAnsi="Cambria Math"/>
                    <w:szCs w:val="24"/>
                  </w:rPr>
                  <m:t>*rho</m:t>
                </m:r>
              </m:e>
              <m:sub>
                <m:r>
                  <m:rPr>
                    <m:sty m:val="p"/>
                  </m:rPr>
                  <w:rPr>
                    <w:rFonts w:ascii="Cambria Math" w:hAnsi="Cambria Math"/>
                    <w:szCs w:val="24"/>
                  </w:rPr>
                  <m:t>1</m:t>
                </m:r>
              </m:sub>
            </m:sSub>
            <m:r>
              <m:rPr>
                <m:sty m:val="p"/>
              </m:rPr>
              <w:rPr>
                <w:rFonts w:ascii="Cambria Math" w:hAnsi="Cambria Math"/>
                <w:szCs w:val="24"/>
              </w:rPr>
              <m:t>*Tr1</m:t>
            </m:r>
          </m:e>
          <m:sub>
            <m:r>
              <m:rPr>
                <m:sty m:val="p"/>
              </m:rPr>
              <w:rPr>
                <w:rFonts w:ascii="Cambria Math" w:hAnsi="Cambria Math"/>
                <w:szCs w:val="24"/>
              </w:rPr>
              <m:t xml:space="preserve">h </m:t>
            </m:r>
          </m:sub>
        </m:sSub>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m:t>
            </m:r>
            <m:d>
              <m:dPr>
                <m:ctrlPr>
                  <w:rPr>
                    <w:rFonts w:ascii="Cambria Math" w:hAnsi="Cambria Math"/>
                    <w:szCs w:val="24"/>
                  </w:rPr>
                </m:ctrlPr>
              </m:dPr>
              <m:e>
                <m:sSub>
                  <m:sSubPr>
                    <m:ctrlPr>
                      <w:rPr>
                        <w:rFonts w:ascii="Cambria Math" w:hAnsi="Cambria Math"/>
                        <w:szCs w:val="24"/>
                      </w:rPr>
                    </m:ctrlPr>
                  </m:sSubPr>
                  <m:e>
                    <m:r>
                      <w:rPr>
                        <w:rFonts w:ascii="Cambria Math" w:hAnsi="Cambria Math"/>
                        <w:szCs w:val="24"/>
                      </w:rPr>
                      <m:t>ah</m:t>
                    </m:r>
                  </m:e>
                  <m:sub>
                    <m:r>
                      <w:rPr>
                        <w:rFonts w:ascii="Cambria Math" w:hAnsi="Cambria Math"/>
                        <w:szCs w:val="24"/>
                      </w:rPr>
                      <m:t>2</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rs</m:t>
                    </m:r>
                  </m:e>
                  <m:sub>
                    <m:r>
                      <w:rPr>
                        <w:rFonts w:ascii="Cambria Math" w:hAnsi="Cambria Math"/>
                        <w:szCs w:val="24"/>
                      </w:rPr>
                      <m:t>2</m:t>
                    </m:r>
                  </m:sub>
                </m:sSub>
              </m:e>
            </m:d>
          </m:e>
        </m:d>
        <m: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m:rPr>
                    <m:sty m:val="p"/>
                  </m:rPr>
                  <w:rPr>
                    <w:rFonts w:ascii="Cambria Math" w:hAnsi="Cambria Math"/>
                    <w:szCs w:val="24"/>
                  </w:rPr>
                  <m:t>rho</m:t>
                </m:r>
              </m:e>
              <m:sub>
                <m:r>
                  <m:rPr>
                    <m:sty m:val="p"/>
                  </m:rPr>
                  <w:rPr>
                    <w:rFonts w:ascii="Cambria Math" w:hAnsi="Cambria Math"/>
                    <w:szCs w:val="24"/>
                  </w:rPr>
                  <m:t>2</m:t>
                </m:r>
              </m:sub>
            </m:sSub>
            <m:r>
              <m:rPr>
                <m:sty m:val="p"/>
              </m:rPr>
              <w:rPr>
                <w:rFonts w:ascii="Cambria Math" w:hAnsi="Cambria Math"/>
                <w:szCs w:val="24"/>
              </w:rPr>
              <m:t>*Tr2</m:t>
            </m:r>
          </m:e>
          <m:sub>
            <m:r>
              <m:rPr>
                <m:sty m:val="p"/>
              </m:rPr>
              <w:rPr>
                <w:rFonts w:ascii="Cambria Math" w:hAnsi="Cambria Math"/>
                <w:szCs w:val="24"/>
              </w:rPr>
              <m:t xml:space="preserve">h </m:t>
            </m:r>
          </m:sub>
        </m:sSub>
        <m:r>
          <m:rPr>
            <m:sty m:val="p"/>
          </m:rPr>
          <w:rPr>
            <w:rFonts w:ascii="Cambria Math" w:hAnsi="Cambria Math"/>
            <w:szCs w:val="24"/>
          </w:rPr>
          <m:t>+nr</m:t>
        </m:r>
        <m:sSub>
          <m:sSubPr>
            <m:ctrlPr>
              <w:rPr>
                <w:rFonts w:ascii="Cambria Math" w:hAnsi="Cambria Math"/>
                <w:szCs w:val="24"/>
              </w:rPr>
            </m:ctrlPr>
          </m:sSubPr>
          <m:e>
            <m:r>
              <m:rPr>
                <m:sty m:val="p"/>
              </m:rPr>
              <w:rPr>
                <w:rFonts w:ascii="Cambria Math" w:hAnsi="Cambria Math"/>
                <w:szCs w:val="24"/>
              </w:rPr>
              <m:t>*I</m:t>
            </m:r>
          </m:e>
          <m:sub>
            <m:r>
              <m:rPr>
                <m:sty m:val="p"/>
              </m:rPr>
              <w:rPr>
                <w:rFonts w:ascii="Cambria Math" w:hAnsi="Cambria Math"/>
                <w:szCs w:val="24"/>
              </w:rPr>
              <m:t>sm</m:t>
            </m:r>
          </m:sub>
        </m:sSub>
        <m:sSub>
          <m:sSubPr>
            <m:ctrlPr>
              <w:rPr>
                <w:rFonts w:ascii="Cambria Math" w:hAnsi="Cambria Math"/>
                <w:szCs w:val="24"/>
              </w:rPr>
            </m:ctrlPr>
          </m:sSubPr>
          <m:e>
            <m:r>
              <m:rPr>
                <m:sty m:val="p"/>
              </m:rPr>
              <w:rPr>
                <w:rFonts w:ascii="Cambria Math" w:hAnsi="Cambria Math"/>
                <w:szCs w:val="24"/>
              </w:rPr>
              <m:t>+ hlsp*Tr3</m:t>
            </m:r>
          </m:e>
          <m:sub>
            <m:r>
              <m:rPr>
                <m:sty m:val="p"/>
              </m:rPr>
              <w:rPr>
                <w:rFonts w:ascii="Cambria Math" w:hAnsi="Cambria Math"/>
                <w:szCs w:val="24"/>
              </w:rPr>
              <m:t xml:space="preserve">h </m:t>
            </m:r>
          </m:sub>
        </m:sSub>
        <m:r>
          <m:rPr>
            <m:sty m:val="p"/>
          </m:rPr>
          <w:rPr>
            <w:rFonts w:ascii="Cambria Math" w:hAnsi="Cambria Math"/>
            <w:color w:val="000000"/>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 xml:space="preserve">   m</m:t>
                </m:r>
              </m:e>
              <m:sub>
                <m:r>
                  <w:rPr>
                    <w:rFonts w:ascii="Cambria Math" w:hAnsi="Cambria Math"/>
                    <w:szCs w:val="24"/>
                  </w:rPr>
                  <m:t>1</m:t>
                </m:r>
              </m:sub>
            </m:sSub>
            <m:r>
              <m:rPr>
                <m:sty m:val="p"/>
              </m:rPr>
              <w:rPr>
                <w:rFonts w:ascii="Cambria Math" w:hAnsi="Cambria Math"/>
                <w:szCs w:val="24"/>
              </w:rPr>
              <m:t>*λ</m:t>
            </m:r>
          </m:e>
          <m:sub>
            <m:r>
              <m:rPr>
                <m:sty m:val="p"/>
              </m:rPr>
              <w:rPr>
                <w:rFonts w:ascii="Cambria Math" w:hAnsi="Cambria Math"/>
                <w:szCs w:val="24"/>
              </w:rPr>
              <m:t>mh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S</m:t>
            </m:r>
          </m:e>
          <m:sub>
            <m:r>
              <m:rPr>
                <m:sty m:val="p"/>
              </m:rPr>
              <w:rPr>
                <w:rFonts w:ascii="Cambria Math" w:hAnsi="Cambria Math"/>
                <w:szCs w:val="24"/>
              </w:rPr>
              <m:t xml:space="preserve">hnn </m:t>
            </m:r>
          </m:sub>
        </m:sSub>
        <m:r>
          <m:rPr>
            <m:sty m:val="p"/>
          </m:rPr>
          <w:rPr>
            <w:rFonts w:ascii="Cambria Math" w:hAnsi="Cambria Math"/>
            <w:szCs w:val="24"/>
          </w:rPr>
          <m:t>-px*</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 </m:t>
            </m:r>
          </m:sub>
        </m:sSub>
      </m:oMath>
      <w:r w:rsidR="007E1F9B" w:rsidRPr="00C1299E">
        <w:rPr>
          <w:rFonts w:eastAsia="Times New Roman"/>
          <w:szCs w:val="24"/>
        </w:rPr>
        <w:t xml:space="preserve"> </w:t>
      </w:r>
    </w:p>
    <w:p w14:paraId="749896BF"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dL</m:t>
                </m:r>
              </m:e>
              <m:sub>
                <m:r>
                  <m:rPr>
                    <m:sty m:val="p"/>
                  </m:rPr>
                  <w:rPr>
                    <w:rFonts w:ascii="Cambria Math" w:hAnsi="Cambria Math"/>
                    <w:szCs w:val="24"/>
                  </w:rPr>
                  <m:t>1h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m</m:t>
                </m:r>
              </m:e>
              <m:sub>
                <m:r>
                  <w:rPr>
                    <w:rFonts w:ascii="Cambria Math" w:hAnsi="Cambria Math"/>
                    <w:szCs w:val="24"/>
                  </w:rPr>
                  <m:t>1</m:t>
                </m:r>
              </m:sub>
            </m:sSub>
            <m:r>
              <m:rPr>
                <m:sty m:val="p"/>
              </m:rPr>
              <w:rPr>
                <w:rFonts w:ascii="Cambria Math" w:hAnsi="Cambria Math"/>
                <w:szCs w:val="24"/>
              </w:rPr>
              <m:t>*λ</m:t>
            </m:r>
          </m:e>
          <m:sub>
            <m:r>
              <m:rPr>
                <m:sty m:val="p"/>
              </m:rPr>
              <w:rPr>
                <w:rFonts w:ascii="Cambria Math" w:hAnsi="Cambria Math"/>
                <w:szCs w:val="24"/>
              </w:rPr>
              <m:t>mh</m:t>
            </m:r>
          </m:sub>
        </m:sSub>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 </m:t>
            </m:r>
          </m:sub>
        </m:sSub>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1</m:t>
            </m:r>
          </m:sub>
        </m:sSub>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1</m:t>
                </m:r>
              </m:sub>
            </m:sSub>
          </m:e>
        </m:d>
        <m:r>
          <m:rPr>
            <m:sty m:val="p"/>
          </m:rPr>
          <w:rPr>
            <w:rFonts w:ascii="Cambria Math" w:hAnsi="Cambria Math"/>
            <w:color w:val="000000"/>
            <w:szCs w:val="24"/>
          </w:rPr>
          <m:t>*p</m:t>
        </m:r>
        <m:sSub>
          <m:sSubPr>
            <m:ctrlPr>
              <w:rPr>
                <w:rFonts w:ascii="Cambria Math" w:hAnsi="Cambria Math"/>
                <w:color w:val="000000"/>
                <w:szCs w:val="24"/>
              </w:rPr>
            </m:ctrlPr>
          </m:sSubPr>
          <m:e>
            <m:r>
              <m:rPr>
                <m:sty m:val="p"/>
              </m:rPr>
              <w:rPr>
                <w:rFonts w:ascii="Cambria Math" w:hAnsi="Cambria Math"/>
                <w:color w:val="000000"/>
                <w:szCs w:val="24"/>
              </w:rPr>
              <m:t>a</m:t>
            </m:r>
          </m:e>
          <m:sub>
            <m:r>
              <m:rPr>
                <m:sty m:val="p"/>
              </m:rPr>
              <w:rPr>
                <w:rFonts w:ascii="Cambria Math" w:hAnsi="Cambria Math"/>
                <w:color w:val="000000"/>
                <w:szCs w:val="24"/>
              </w:rPr>
              <m:t>1</m:t>
            </m:r>
          </m:sub>
        </m:sSub>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1</m:t>
                </m:r>
              </m:sub>
            </m:sSub>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1-p</m:t>
            </m:r>
            <m:sSub>
              <m:sSubPr>
                <m:ctrlPr>
                  <w:rPr>
                    <w:rFonts w:ascii="Cambria Math" w:hAnsi="Cambria Math"/>
                    <w:color w:val="000000"/>
                    <w:szCs w:val="24"/>
                  </w:rPr>
                </m:ctrlPr>
              </m:sSubPr>
              <m:e>
                <m:r>
                  <m:rPr>
                    <m:sty m:val="p"/>
                  </m:rPr>
                  <w:rPr>
                    <w:rFonts w:ascii="Cambria Math" w:hAnsi="Cambria Math"/>
                    <w:color w:val="000000"/>
                    <w:szCs w:val="24"/>
                  </w:rPr>
                  <m:t>a</m:t>
                </m:r>
              </m:e>
              <m:sub>
                <m:r>
                  <m:rPr>
                    <m:sty m:val="p"/>
                  </m:rPr>
                  <w:rPr>
                    <w:rFonts w:ascii="Cambria Math" w:hAnsi="Cambria Math"/>
                    <w:color w:val="000000"/>
                    <w:szCs w:val="24"/>
                  </w:rPr>
                  <m:t>1</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1h </m:t>
            </m:r>
          </m:sub>
        </m:sSub>
      </m:oMath>
      <w:r w:rsidR="007E1F9B" w:rsidRPr="00C1299E">
        <w:rPr>
          <w:rFonts w:eastAsia="Times New Roman"/>
          <w:szCs w:val="24"/>
        </w:rPr>
        <w:t xml:space="preserve"> </w:t>
      </w:r>
    </w:p>
    <w:p w14:paraId="1CDC0384"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dL</m:t>
                </m:r>
              </m:e>
              <m:sub>
                <m:r>
                  <m:rPr>
                    <m:sty m:val="p"/>
                  </m:rPr>
                  <w:rPr>
                    <w:rFonts w:ascii="Cambria Math" w:hAnsi="Cambria Math"/>
                    <w:szCs w:val="24"/>
                  </w:rPr>
                  <m:t>2h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m</m:t>
                </m:r>
              </m:e>
              <m:sub>
                <m:r>
                  <w:rPr>
                    <w:rFonts w:ascii="Cambria Math" w:hAnsi="Cambria Math"/>
                    <w:szCs w:val="24"/>
                  </w:rPr>
                  <m:t>2</m:t>
                </m:r>
              </m:sub>
            </m:sSub>
            <m:r>
              <m:rPr>
                <m:sty m:val="p"/>
              </m:rPr>
              <w:rPr>
                <w:rFonts w:ascii="Cambria Math" w:hAnsi="Cambria Math"/>
                <w:szCs w:val="24"/>
              </w:rPr>
              <m:t>*λ</m:t>
            </m:r>
          </m:e>
          <m:sub>
            <m:r>
              <m:rPr>
                <m:sty m:val="p"/>
              </m:rPr>
              <w:rPr>
                <w:rFonts w:ascii="Cambria Math" w:hAnsi="Cambria Math"/>
                <w:szCs w:val="24"/>
              </w:rPr>
              <m:t>mh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 </m:t>
            </m:r>
          </m:sub>
        </m:sSub>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2</m:t>
            </m:r>
          </m:sub>
        </m:sSub>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2h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m:t>
        </m:r>
        <m:sSub>
          <m:sSubPr>
            <m:ctrlPr>
              <w:rPr>
                <w:rFonts w:ascii="Cambria Math" w:hAnsi="Cambria Math"/>
                <w:color w:val="000000"/>
                <w:szCs w:val="24"/>
              </w:rPr>
            </m:ctrlPr>
          </m:sSubPr>
          <m:e>
            <m:r>
              <m:rPr>
                <m:sty m:val="p"/>
              </m:rPr>
              <w:rPr>
                <w:rFonts w:ascii="Cambria Math" w:hAnsi="Cambria Math"/>
                <w:color w:val="000000"/>
                <w:szCs w:val="24"/>
              </w:rPr>
              <m:t>pa</m:t>
            </m:r>
          </m:e>
          <m:sub>
            <m:r>
              <m:rPr>
                <m:sty m:val="p"/>
              </m:rPr>
              <w:rPr>
                <w:rFonts w:ascii="Cambria Math" w:hAnsi="Cambria Math"/>
                <w:color w:val="000000"/>
                <w:szCs w:val="24"/>
              </w:rPr>
              <m:t>2</m:t>
            </m:r>
          </m:sub>
        </m:sSub>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2h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pa</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2h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2h</m:t>
            </m:r>
          </m:sub>
        </m:sSub>
      </m:oMath>
      <w:r w:rsidR="007E1F9B" w:rsidRPr="00C1299E">
        <w:rPr>
          <w:rFonts w:eastAsia="Times New Roman"/>
          <w:szCs w:val="24"/>
        </w:rPr>
        <w:t xml:space="preserve"> </w:t>
      </w:r>
    </w:p>
    <w:p w14:paraId="3F7FA89C" w14:textId="66C0C349" w:rsidR="007E1F9B" w:rsidRPr="00C1299E" w:rsidRDefault="00F52C24" w:rsidP="00C1299E">
      <w:pPr>
        <w:spacing w:line="240"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dIc</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pc</m:t>
            </m:r>
          </m:e>
          <m:sub>
            <m:r>
              <m:rPr>
                <m:sty m:val="p"/>
              </m:rPr>
              <w:rPr>
                <w:rFonts w:ascii="Cambria Math" w:hAnsi="Cambria Math"/>
                <w:szCs w:val="24"/>
              </w:rPr>
              <m:t>1</m:t>
            </m:r>
          </m:sub>
        </m:sSub>
        <m:r>
          <m:rPr>
            <m:sty m:val="p"/>
          </m:rPr>
          <w:rPr>
            <w:rFonts w:ascii="Cambria Math" w:hAnsi="Cambria Math"/>
            <w:szCs w:val="24"/>
          </w:rPr>
          <m:t>*γ*</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1h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pc</m:t>
            </m:r>
          </m:e>
          <m:sub>
            <m:r>
              <m:rPr>
                <m:sty m:val="p"/>
              </m:rPr>
              <w:rPr>
                <w:rFonts w:ascii="Cambria Math" w:hAnsi="Cambria Math"/>
                <w:szCs w:val="24"/>
              </w:rPr>
              <m:t>2</m:t>
            </m:r>
          </m:sub>
        </m:sSub>
        <m:r>
          <m:rPr>
            <m:sty m:val="p"/>
          </m:rPr>
          <w:rPr>
            <w:rFonts w:ascii="Cambria Math" w:hAnsi="Cambria Math"/>
            <w:szCs w:val="24"/>
          </w:rPr>
          <m:t>*γ*</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2h </m:t>
            </m:r>
          </m:sub>
        </m:sSub>
        <m:r>
          <m:rPr>
            <m:sty m:val="p"/>
          </m:rPr>
          <w:rPr>
            <w:rFonts w:ascii="Cambria Math" w:hAnsi="Cambria Math"/>
            <w:szCs w:val="24"/>
          </w:rPr>
          <m:t>+ppc*γ*</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3h </m:t>
            </m:r>
          </m:sub>
        </m:sSub>
        <m:r>
          <m:rPr>
            <m:sty m:val="p"/>
          </m:rPr>
          <w:rPr>
            <w:rFonts w:ascii="Cambria Math" w:hAnsi="Cambria Math"/>
            <w:szCs w:val="24"/>
          </w:rPr>
          <m:t>+q*</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 xml:space="preserve">h </m:t>
            </m:r>
          </m:sub>
        </m:sSub>
        <m:r>
          <m:rPr>
            <m:sty m:val="p"/>
          </m:rPr>
          <w:rPr>
            <w:rFonts w:ascii="Cambria Math" w:hAnsi="Cambria Math"/>
            <w:szCs w:val="24"/>
          </w:rPr>
          <m:t>+ superInf*</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 xml:space="preserve">h </m:t>
            </m:r>
          </m:sub>
        </m:sSub>
        <m:r>
          <m:rPr>
            <m:sty m:val="p"/>
          </m:rPr>
          <w:rPr>
            <w:rFonts w:ascii="Cambria Math" w:hAnsi="Cambria Math"/>
            <w:szCs w:val="24"/>
          </w:rPr>
          <m:t xml:space="preserve"> + superInf*</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pt</m:t>
            </m:r>
          </m:e>
          <m:sub>
            <m:r>
              <m:rPr>
                <m:sty m:val="p"/>
              </m:rPr>
              <w:rPr>
                <w:rFonts w:ascii="Cambria Math" w:hAnsi="Cambria Math"/>
                <w:szCs w:val="24"/>
              </w:rPr>
              <m:t>1</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τ</m:t>
            </m:r>
          </m:e>
          <m:sub>
            <m:r>
              <m:rPr>
                <m:sty m:val="p"/>
              </m:rPr>
              <w:rPr>
                <w:rFonts w:ascii="Cambria Math" w:hAnsi="Cambria Math"/>
                <w:szCs w:val="24"/>
              </w:rPr>
              <m:t>1</m:t>
            </m:r>
          </m:sub>
        </m:sSub>
        <m:r>
          <m:rPr>
            <m:sty m:val="p"/>
          </m:rPr>
          <w:rPr>
            <w:rFonts w:ascii="Cambria Math" w:hAnsi="Cambria Math"/>
            <w:szCs w:val="24"/>
          </w:rPr>
          <m:t>*pst*</m:t>
        </m:r>
        <m:sSub>
          <m:sSubPr>
            <m:ctrlPr>
              <w:rPr>
                <w:rFonts w:ascii="Cambria Math" w:hAnsi="Cambria Math"/>
                <w:szCs w:val="24"/>
              </w:rPr>
            </m:ctrlPr>
          </m:sSubPr>
          <m:e>
            <m:r>
              <m:rPr>
                <m:sty m:val="p"/>
              </m:rPr>
              <w:rPr>
                <w:rFonts w:ascii="Cambria Math" w:hAnsi="Cambria Math"/>
                <w:szCs w:val="24"/>
              </w:rPr>
              <m:t>RDTMicSens*Ic</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 xml:space="preserve">1-pst </m:t>
            </m:r>
          </m:e>
        </m:d>
        <m:r>
          <m:rPr>
            <m:sty m:val="p"/>
          </m:rPr>
          <w:rPr>
            <w:rFonts w:ascii="Cambria Math" w:hAnsi="Cambria Math"/>
            <w:szCs w:val="24"/>
          </w:rPr>
          <m:t>*ps* ss*</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1- pst</m:t>
            </m:r>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m:t>
            </m:r>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ppc</m:t>
            </m:r>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hAnsi="Cambria Math"/>
                    <w:szCs w:val="24"/>
                  </w:rPr>
                </m:ctrlPr>
              </m:sSubPr>
              <m:e>
                <m:r>
                  <m:rPr>
                    <m:sty m:val="p"/>
                  </m:rPr>
                  <w:rPr>
                    <w:rFonts w:ascii="Cambria Math" w:hAnsi="Cambria Math"/>
                    <w:szCs w:val="24"/>
                  </w:rPr>
                  <m:t>pst</m:t>
                </m:r>
              </m:e>
              <m:sub>
                <m:r>
                  <m:rPr>
                    <m:sty m:val="p"/>
                  </m:rPr>
                  <w:rPr>
                    <w:rFonts w:ascii="Cambria Math" w:hAnsi="Cambria Math"/>
                    <w:szCs w:val="24"/>
                  </w:rPr>
                  <m:t>1</m:t>
                </m:r>
              </m:sub>
            </m:sSub>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m:t>
            </m:r>
          </m:e>
        </m:d>
        <m:r>
          <m:rPr>
            <m:sty m:val="p"/>
          </m:rPr>
          <w:rPr>
            <w:rFonts w:ascii="Cambria Math" w:hAnsi="Cambria Math"/>
            <w:szCs w:val="24"/>
          </w:rPr>
          <m:t>*ppc*AC*</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1F74315B" w14:textId="027431E4" w:rsidR="007E1F9B" w:rsidRPr="00C1299E" w:rsidRDefault="00F52C24" w:rsidP="00C1299E">
      <w:pPr>
        <w:spacing w:line="240" w:lineRule="auto"/>
        <w:jc w:val="both"/>
        <w:rPr>
          <w:rFonts w:eastAsia="Times New Roman"/>
          <w:color w:val="000000"/>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dTr1</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pt</m:t>
            </m:r>
          </m:e>
          <m:sub>
            <m:r>
              <m:rPr>
                <m:sty m:val="p"/>
              </m:rPr>
              <w:rPr>
                <w:rFonts w:ascii="Cambria Math" w:hAnsi="Cambria Math"/>
                <w:szCs w:val="24"/>
              </w:rPr>
              <m:t>1</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τ</m:t>
            </m:r>
          </m:e>
          <m:sub>
            <m:r>
              <m:rPr>
                <m:sty m:val="p"/>
              </m:rPr>
              <w:rPr>
                <w:rFonts w:ascii="Cambria Math" w:hAnsi="Cambria Math"/>
                <w:szCs w:val="24"/>
              </w:rPr>
              <m:t>1</m:t>
            </m:r>
          </m:sub>
        </m:sSub>
        <m:r>
          <m:rPr>
            <m:sty m:val="p"/>
          </m:rPr>
          <w:rPr>
            <w:rFonts w:ascii="Cambria Math" w:hAnsi="Cambria Math"/>
            <w:szCs w:val="24"/>
          </w:rPr>
          <m:t>*pst*RDTMicSens*</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 tfr1*</m:t>
        </m:r>
        <m:sSub>
          <m:sSubPr>
            <m:ctrlPr>
              <w:rPr>
                <w:rFonts w:ascii="Cambria Math" w:hAnsi="Cambria Math"/>
                <w:szCs w:val="24"/>
              </w:rPr>
            </m:ctrlPr>
          </m:sSubPr>
          <m:e>
            <m:r>
              <m:rPr>
                <m:sty m:val="p"/>
              </m:rPr>
              <w:rPr>
                <w:rFonts w:ascii="Cambria Math" w:hAnsi="Cambria Math"/>
                <w:szCs w:val="24"/>
              </w:rPr>
              <m:t>Trf1</m:t>
            </m:r>
          </m:e>
          <m:sub>
            <m:r>
              <m:rPr>
                <m:sty m:val="p"/>
              </m:rPr>
              <w:rPr>
                <w:rFonts w:ascii="Cambria Math" w:hAnsi="Cambria Math"/>
                <w:szCs w:val="24"/>
              </w:rPr>
              <m:t xml:space="preserve">h </m:t>
            </m:r>
          </m:sub>
        </m:sSub>
        <m:r>
          <m:rPr>
            <m:sty m:val="p"/>
          </m:rPr>
          <w:rPr>
            <w:rFonts w:ascii="Cambria Math" w:hAnsi="Cambria Math"/>
            <w:szCs w:val="24"/>
          </w:rPr>
          <m:t>+ RDTMicSens*AC*</m:t>
        </m:r>
        <m:d>
          <m:dPr>
            <m:ctrlPr>
              <w:rPr>
                <w:rFonts w:ascii="Cambria Math" w:hAnsi="Cambria Math"/>
                <w:szCs w:val="24"/>
              </w:rPr>
            </m:ctrlPr>
          </m:dPr>
          <m:e>
            <m:r>
              <m:rPr>
                <m:sty m:val="p"/>
              </m:rPr>
              <w:rPr>
                <w:rFonts w:ascii="Cambria Math" w:hAnsi="Cambria Math"/>
                <w:szCs w:val="24"/>
              </w:rPr>
              <m:t>1 - pt3</m:t>
            </m:r>
          </m:e>
        </m:d>
        <m:r>
          <m:rPr>
            <m:sty m:val="p"/>
          </m:rPr>
          <w:rPr>
            <w:rFonts w:ascii="Cambria Math" w:hAnsi="Cambria Math"/>
            <w:szCs w:val="24"/>
          </w:rPr>
          <m:t xml:space="preserve">*IancP- </m:t>
        </m:r>
        <m:sSub>
          <m:sSubPr>
            <m:ctrlPr>
              <w:rPr>
                <w:rFonts w:ascii="Cambria Math" w:hAnsi="Cambria Math"/>
                <w:szCs w:val="24"/>
              </w:rPr>
            </m:ctrlPr>
          </m:sSubPr>
          <m:e>
            <m:sSub>
              <m:sSubPr>
                <m:ctrlPr>
                  <w:rPr>
                    <w:rFonts w:ascii="Cambria Math" w:hAnsi="Cambria Math"/>
                    <w:szCs w:val="24"/>
                  </w:rPr>
                </m:ctrlPr>
              </m:sSubPr>
              <m:e>
                <m:d>
                  <m:dPr>
                    <m:ctrlPr>
                      <w:rPr>
                        <w:rFonts w:ascii="Cambria Math" w:hAnsi="Cambria Math"/>
                        <w:szCs w:val="24"/>
                      </w:rPr>
                    </m:ctrlPr>
                  </m:dPr>
                  <m:e>
                    <m:r>
                      <m:rPr>
                        <m:sty m:val="p"/>
                      </m:rPr>
                      <w:rPr>
                        <w:rFonts w:ascii="Cambria Math" w:hAnsi="Cambria Math"/>
                        <w:szCs w:val="24"/>
                      </w:rPr>
                      <m:t xml:space="preserve">1-   </m:t>
                    </m:r>
                    <m:d>
                      <m:dPr>
                        <m:ctrlPr>
                          <w:rPr>
                            <w:rFonts w:ascii="Cambria Math" w:hAnsi="Cambria Math"/>
                            <w:szCs w:val="24"/>
                          </w:rPr>
                        </m:ctrlPr>
                      </m:dPr>
                      <m:e>
                        <m:sSub>
                          <m:sSubPr>
                            <m:ctrlPr>
                              <w:rPr>
                                <w:rFonts w:ascii="Cambria Math" w:hAnsi="Cambria Math"/>
                                <w:szCs w:val="24"/>
                              </w:rPr>
                            </m:ctrlPr>
                          </m:sSubPr>
                          <m:e>
                            <m:r>
                              <w:rPr>
                                <w:rFonts w:ascii="Cambria Math" w:hAnsi="Cambria Math"/>
                                <w:szCs w:val="24"/>
                              </w:rPr>
                              <m:t>ah</m:t>
                            </m:r>
                          </m:e>
                          <m:sub>
                            <m:r>
                              <m:rPr>
                                <m:sty m:val="p"/>
                              </m:rPr>
                              <w:rPr>
                                <w:rFonts w:ascii="Cambria Math" w:hAnsi="Cambria Math"/>
                                <w:szCs w:val="24"/>
                              </w:rPr>
                              <m:t>1</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rs</m:t>
                            </m:r>
                          </m:e>
                          <m:sub>
                            <m:r>
                              <m:rPr>
                                <m:sty m:val="p"/>
                              </m:rPr>
                              <w:rPr>
                                <w:rFonts w:ascii="Cambria Math" w:hAnsi="Cambria Math"/>
                                <w:szCs w:val="24"/>
                              </w:rPr>
                              <m:t>1</m:t>
                            </m:r>
                          </m:sub>
                        </m:sSub>
                      </m:e>
                    </m:d>
                  </m:e>
                </m:d>
                <m:r>
                  <m:rPr>
                    <m:sty m:val="p"/>
                  </m:rPr>
                  <w:rPr>
                    <w:rFonts w:ascii="Cambria Math" w:hAnsi="Cambria Math"/>
                    <w:szCs w:val="24"/>
                  </w:rPr>
                  <m:t>*rho</m:t>
                </m:r>
              </m:e>
              <m:sub>
                <m:r>
                  <m:rPr>
                    <m:sty m:val="p"/>
                  </m:rPr>
                  <w:rPr>
                    <w:rFonts w:ascii="Cambria Math" w:hAnsi="Cambria Math"/>
                    <w:szCs w:val="24"/>
                  </w:rPr>
                  <m:t>1</m:t>
                </m:r>
              </m:sub>
            </m:sSub>
            <m:r>
              <m:rPr>
                <m:sty m:val="p"/>
              </m:rPr>
              <w:rPr>
                <w:rFonts w:ascii="Cambria Math" w:hAnsi="Cambria Math"/>
                <w:szCs w:val="24"/>
              </w:rPr>
              <m:t>*Tr1</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1</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1</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Tr1</m:t>
            </m:r>
          </m:e>
          <m:sub>
            <m:r>
              <m:rPr>
                <m:sty m:val="p"/>
              </m:rPr>
              <w:rPr>
                <w:rFonts w:ascii="Cambria Math" w:hAnsi="Cambria Math"/>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Tr1</m:t>
            </m:r>
          </m:e>
          <m:sub>
            <m:r>
              <m:rPr>
                <m:sty m:val="p"/>
              </m:rPr>
              <w:rPr>
                <w:rFonts w:ascii="Cambria Math" w:hAnsi="Cambria Math"/>
                <w:szCs w:val="24"/>
              </w:rPr>
              <m:t xml:space="preserve">h </m:t>
            </m:r>
          </m:sub>
        </m:sSub>
      </m:oMath>
      <w:r w:rsidR="007E1F9B" w:rsidRPr="00C1299E">
        <w:rPr>
          <w:rFonts w:eastAsia="Times New Roman"/>
          <w:color w:val="000000"/>
          <w:szCs w:val="24"/>
        </w:rPr>
        <w:t xml:space="preserve"> </w:t>
      </w:r>
    </w:p>
    <w:p w14:paraId="47962AE1" w14:textId="77777777" w:rsidR="007E1F9B" w:rsidRPr="00C1299E" w:rsidRDefault="00F52C24" w:rsidP="008F1408">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dTrf1</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d>
          <m:dPr>
            <m:ctrlPr>
              <w:rPr>
                <w:rFonts w:ascii="Cambria Math"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1</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1</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Tr1</m:t>
            </m:r>
          </m:e>
          <m:sub>
            <m:r>
              <m:rPr>
                <m:sty m:val="p"/>
              </m:rPr>
              <w:rPr>
                <w:rFonts w:ascii="Cambria Math" w:hAnsi="Cambria Math"/>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tfr1*Trf1</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Trf1</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66F7C3C4" w14:textId="57AFDC22" w:rsidR="007E1F9B" w:rsidRPr="00C1299E" w:rsidRDefault="00F52C24" w:rsidP="008F1408">
      <w:pPr>
        <w:spacing w:line="240" w:lineRule="auto"/>
        <w:jc w:val="both"/>
        <w:rPr>
          <w:rFonts w:eastAsia="Times New Roman"/>
          <w:color w:val="000000"/>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dIa</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N</m:t>
            </m:r>
          </m:e>
          <m:sub>
            <m:r>
              <m:rPr>
                <m:sty m:val="p"/>
              </m:rPr>
              <w:rPr>
                <w:rFonts w:ascii="Cambria Math" w:hAnsi="Cambria Math"/>
                <w:szCs w:val="24"/>
              </w:rPr>
              <m:t>h</m:t>
            </m:r>
          </m:sub>
        </m:sSub>
        <m: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b</m:t>
            </m:r>
          </m:e>
          <m:sub>
            <m:r>
              <m:rPr>
                <m:sty m:val="p"/>
              </m:rPr>
              <w:rPr>
                <w:rFonts w:ascii="Cambria Math" w:hAnsi="Cambria Math"/>
                <w:szCs w:val="24"/>
              </w:rPr>
              <m:t>h</m:t>
            </m:r>
          </m:sub>
        </m:sSub>
        <m:d>
          <m:dPr>
            <m:ctrlPr>
              <w:rPr>
                <w:rFonts w:ascii="Cambria Math" w:hAnsi="Cambria Math"/>
                <w:szCs w:val="24"/>
              </w:rPr>
            </m:ctrlPr>
          </m:dPr>
          <m:e>
            <m:r>
              <m:rPr>
                <m:sty m:val="p"/>
              </m:rPr>
              <w:rPr>
                <w:rFonts w:ascii="Cambria Math" w:hAnsi="Cambria Math"/>
                <w:szCs w:val="24"/>
              </w:rPr>
              <m:t xml:space="preserve">1- </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n</m:t>
                </m:r>
              </m:sub>
            </m:sSub>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m</m:t>
                </m:r>
              </m:sub>
            </m:sSub>
          </m:e>
        </m:d>
        <m:r>
          <m:rPr>
            <m:sty m:val="p"/>
          </m:rPr>
          <w:rPr>
            <w:rFonts w:ascii="Cambria Math" w:hAnsi="Cambria Math"/>
            <w:szCs w:val="24"/>
          </w:rPr>
          <m:t xml:space="preserve"> + </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hAnsi="Cambria Math"/>
                    <w:szCs w:val="24"/>
                  </w:rPr>
                </m:ctrlPr>
              </m:sSubPr>
              <m:e>
                <m:r>
                  <m:rPr>
                    <m:sty m:val="p"/>
                  </m:rPr>
                  <w:rPr>
                    <w:rFonts w:ascii="Cambria Math" w:hAnsi="Cambria Math"/>
                    <w:szCs w:val="24"/>
                  </w:rPr>
                  <m:t>pc</m:t>
                </m:r>
              </m:e>
              <m:sub>
                <m:r>
                  <m:rPr>
                    <m:sty m:val="p"/>
                  </m:rPr>
                  <w:rPr>
                    <w:rFonts w:ascii="Cambria Math" w:hAnsi="Cambria Math"/>
                    <w:szCs w:val="24"/>
                  </w:rPr>
                  <m:t>1</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pa</m:t>
            </m:r>
          </m:e>
          <m:sub>
            <m:r>
              <m:rPr>
                <m:sty m:val="p"/>
              </m:rPr>
              <w:rPr>
                <w:rFonts w:ascii="Cambria Math" w:hAnsi="Cambria Math"/>
                <w:szCs w:val="24"/>
              </w:rPr>
              <m:t>1</m:t>
            </m:r>
          </m:sub>
        </m:sSub>
        <m:r>
          <m:rPr>
            <m:sty m:val="p"/>
          </m:rPr>
          <w:rPr>
            <w:rFonts w:ascii="Cambria Math" w:eastAsia="Times New Roman"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hAnsi="Cambria Math"/>
                    <w:szCs w:val="24"/>
                  </w:rPr>
                </m:ctrlPr>
              </m:sSubPr>
              <m:e>
                <m:r>
                  <m:rPr>
                    <m:sty m:val="p"/>
                  </m:rPr>
                  <w:rPr>
                    <w:rFonts w:ascii="Cambria Math" w:hAnsi="Cambria Math"/>
                    <w:szCs w:val="24"/>
                  </w:rPr>
                  <m:t>pc</m:t>
                </m:r>
              </m:e>
              <m:sub>
                <m:r>
                  <m:rPr>
                    <m:sty m:val="p"/>
                  </m:rPr>
                  <w:rPr>
                    <w:rFonts w:ascii="Cambria Math" w:hAnsi="Cambria Math"/>
                    <w:szCs w:val="24"/>
                  </w:rPr>
                  <m:t>2</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pa</m:t>
            </m:r>
          </m:e>
          <m:sub>
            <m:r>
              <m:rPr>
                <m:sty m:val="p"/>
              </m:rPr>
              <w:rPr>
                <w:rFonts w:ascii="Cambria Math" w:hAnsi="Cambria Math"/>
                <w:szCs w:val="24"/>
              </w:rPr>
              <m:t>2</m:t>
            </m:r>
          </m:sub>
        </m:sSub>
        <m:r>
          <m:rPr>
            <m:sty m:val="p"/>
          </m:rPr>
          <w:rPr>
            <w:rFonts w:ascii="Cambria Math" w:hAnsi="Cambria Math"/>
            <w:color w:val="000000"/>
            <w:szCs w:val="24"/>
          </w:rPr>
          <m:t>*γ*</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2h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1-ppc</m:t>
            </m:r>
          </m:e>
        </m:d>
        <m:r>
          <m:rPr>
            <m:sty m:val="p"/>
          </m:rPr>
          <w:rPr>
            <w:rFonts w:ascii="Cambria Math" w:hAnsi="Cambria Math"/>
            <w:szCs w:val="24"/>
          </w:rPr>
          <m:t>*ppa*γ*</m:t>
        </m:r>
        <m:sSub>
          <m:sSubPr>
            <m:ctrlPr>
              <w:rPr>
                <w:rFonts w:ascii="Cambria Math" w:hAnsi="Cambria Math"/>
                <w:szCs w:val="24"/>
              </w:rPr>
            </m:ctrlPr>
          </m:sSubPr>
          <m:e>
            <m:r>
              <m:rPr>
                <m:sty m:val="p"/>
              </m:rPr>
              <w:rPr>
                <w:rFonts w:ascii="Cambria Math" w:hAnsi="Cambria Math"/>
                <w:szCs w:val="24"/>
              </w:rPr>
              <m:t xml:space="preserve"> L</m:t>
            </m:r>
          </m:e>
          <m:sub>
            <m:r>
              <m:rPr>
                <m:sty m:val="p"/>
              </m:rPr>
              <w:rPr>
                <w:rFonts w:ascii="Cambria Math" w:hAnsi="Cambria Math"/>
                <w:szCs w:val="24"/>
              </w:rPr>
              <m:t xml:space="preserve">3h </m:t>
            </m:r>
          </m:sub>
        </m:sSub>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pst</m:t>
            </m:r>
          </m:e>
        </m:d>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1-ps</m:t>
            </m:r>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ppc</m:t>
            </m:r>
          </m:e>
        </m:d>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Ic</m:t>
            </m:r>
          </m:e>
          <m:sub>
            <m:r>
              <m:rPr>
                <m:sty m:val="p"/>
              </m:rPr>
              <w:rPr>
                <w:rFonts w:ascii="Cambria Math" w:hAnsi="Cambria Math"/>
                <w:color w:val="000000"/>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x</m:t>
            </m:r>
          </m:e>
          <m:sub>
            <m:r>
              <m:rPr>
                <m:sty m:val="p"/>
              </m:rPr>
              <w:rPr>
                <w:rFonts w:ascii="Cambria Math" w:hAnsi="Cambria Math"/>
                <w:szCs w:val="24"/>
              </w:rPr>
              <m:t>1</m:t>
            </m:r>
          </m:sub>
        </m:sSub>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 q*</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 xml:space="preserve">h </m:t>
            </m:r>
          </m:sub>
        </m:sSub>
        <m:r>
          <m:rPr>
            <m:sty m:val="p"/>
          </m:rPr>
          <w:rPr>
            <w:rFonts w:ascii="Cambria Math" w:hAnsi="Cambria Math"/>
            <w:szCs w:val="24"/>
          </w:rPr>
          <m:t>-v*</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 xml:space="preserve">h  </m:t>
            </m:r>
          </m:sub>
        </m:sSub>
        <m:r>
          <m:rPr>
            <m:sty m:val="p"/>
          </m:rPr>
          <w:rPr>
            <w:rFonts w:ascii="Cambria Math" w:eastAsia="Times New Roman" w:hAnsi="Cambria Math"/>
            <w:szCs w:val="24"/>
          </w:rPr>
          <m:t>- AC*px*ac1*Ia -</m:t>
        </m:r>
        <m:r>
          <m:rPr>
            <m:sty m:val="p"/>
          </m:rPr>
          <w:rPr>
            <w:rFonts w:ascii="Cambria Math" w:hAnsi="Cambria Math"/>
            <w:color w:val="000000"/>
            <w:szCs w:val="24"/>
          </w:rPr>
          <m:t xml:space="preserve"> superInf*</m:t>
        </m:r>
        <m:sSub>
          <m:sSubPr>
            <m:ctrlPr>
              <w:rPr>
                <w:rFonts w:ascii="Cambria Math" w:hAnsi="Cambria Math"/>
                <w:color w:val="000000"/>
                <w:szCs w:val="24"/>
              </w:rPr>
            </m:ctrlPr>
          </m:sSubPr>
          <m:e>
            <m:r>
              <m:rPr>
                <m:sty m:val="p"/>
              </m:rPr>
              <w:rPr>
                <w:rFonts w:ascii="Cambria Math" w:hAnsi="Cambria Math"/>
                <w:color w:val="000000"/>
                <w:szCs w:val="24"/>
              </w:rPr>
              <m:t>Ia</m:t>
            </m:r>
          </m:e>
          <m:sub>
            <m:r>
              <m:rPr>
                <m:sty m:val="p"/>
              </m:rPr>
              <w:rPr>
                <w:rFonts w:ascii="Cambria Math" w:hAnsi="Cambria Math"/>
                <w:color w:val="000000"/>
                <w:szCs w:val="24"/>
              </w:rPr>
              <m:t xml:space="preserve">h </m:t>
            </m:r>
          </m:sub>
        </m:sSub>
        <m:r>
          <m:rPr>
            <m:sty m:val="p"/>
          </m:rPr>
          <w:rPr>
            <w:rFonts w:ascii="Cambria Math" w:hAnsi="Cambria Math"/>
            <w:color w:val="000000"/>
            <w:szCs w:val="24"/>
          </w:rPr>
          <m:t xml:space="preserve"> </m:t>
        </m:r>
        <m:r>
          <m:rPr>
            <m:sty m:val="b"/>
          </m:rPr>
          <w:rPr>
            <w:rFonts w:ascii="Cambria Math" w:hAnsi="Cambria Math"/>
            <w:color w:val="000000"/>
            <w:szCs w:val="24"/>
          </w:rPr>
          <m:t>-</m:t>
        </m:r>
        <m:sSub>
          <m:sSubPr>
            <m:ctrlPr>
              <w:rPr>
                <w:rFonts w:ascii="Cambria Math" w:hAnsi="Cambria Math"/>
                <w:color w:val="000000"/>
                <w:szCs w:val="24"/>
              </w:rPr>
            </m:ctrlPr>
          </m:sSubPr>
          <m:e>
            <m:r>
              <m:rPr>
                <m:sty m:val="p"/>
              </m:rPr>
              <w:rPr>
                <w:rFonts w:ascii="Cambria Math" w:hAnsi="Cambria Math"/>
                <w:color w:val="000000"/>
                <w:szCs w:val="24"/>
              </w:rPr>
              <m:t>μ</m:t>
            </m:r>
          </m:e>
          <m:sub>
            <m:r>
              <m:rPr>
                <m:sty m:val="p"/>
              </m:rPr>
              <w:rPr>
                <w:rFonts w:ascii="Cambria Math" w:hAnsi="Cambria Math"/>
                <w:color w:val="000000"/>
                <w:szCs w:val="24"/>
              </w:rPr>
              <m:t>h</m:t>
            </m:r>
          </m:sub>
        </m:sSub>
        <m:r>
          <m:rPr>
            <m:sty m:val="p"/>
          </m:rPr>
          <w:rPr>
            <w:rFonts w:ascii="Cambria Math" w:hAnsi="Cambria Math"/>
            <w:color w:val="000000"/>
            <w:szCs w:val="24"/>
          </w:rPr>
          <m:t>*</m:t>
        </m:r>
        <m:sSub>
          <m:sSubPr>
            <m:ctrlPr>
              <w:rPr>
                <w:rFonts w:ascii="Cambria Math" w:hAnsi="Cambria Math"/>
                <w:color w:val="000000"/>
                <w:szCs w:val="24"/>
              </w:rPr>
            </m:ctrlPr>
          </m:sSubPr>
          <m:e>
            <m:r>
              <m:rPr>
                <m:sty m:val="p"/>
              </m:rPr>
              <w:rPr>
                <w:rFonts w:ascii="Cambria Math" w:hAnsi="Cambria Math"/>
                <w:color w:val="000000"/>
                <w:szCs w:val="24"/>
              </w:rPr>
              <m:t>Ia</m:t>
            </m:r>
          </m:e>
          <m:sub>
            <m:r>
              <m:rPr>
                <m:sty m:val="p"/>
              </m:rPr>
              <w:rPr>
                <w:rFonts w:ascii="Cambria Math" w:hAnsi="Cambria Math"/>
                <w:color w:val="000000"/>
                <w:szCs w:val="24"/>
              </w:rPr>
              <m:t xml:space="preserve">h </m:t>
            </m:r>
          </m:sub>
        </m:sSub>
      </m:oMath>
      <w:r w:rsidR="007E1F9B" w:rsidRPr="00C1299E">
        <w:rPr>
          <w:rFonts w:eastAsia="Times New Roman"/>
          <w:color w:val="000000"/>
          <w:szCs w:val="24"/>
        </w:rPr>
        <w:t xml:space="preserve"> </w:t>
      </w:r>
    </w:p>
    <w:p w14:paraId="4A1E21BA" w14:textId="77777777" w:rsidR="007E1F9B" w:rsidRPr="00C1299E" w:rsidRDefault="00F52C24" w:rsidP="002B6379">
      <w:pPr>
        <w:spacing w:line="240"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dIsd</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pst</m:t>
            </m:r>
          </m:e>
        </m:d>
        <m:r>
          <m:rPr>
            <m:sty m:val="p"/>
          </m:rPr>
          <w:rPr>
            <w:rFonts w:ascii="Cambria Math" w:hAnsi="Cambria Math"/>
            <w:szCs w:val="24"/>
          </w:rPr>
          <m:t>*ps*ss*</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ptq</m:t>
            </m:r>
          </m:e>
          <m:sub>
            <m:r>
              <m:rPr>
                <m:sty m:val="p"/>
              </m:rPr>
              <w:rPr>
                <w:rFonts w:ascii="Cambria Math" w:hAnsi="Cambria Math"/>
                <w:color w:val="000000"/>
                <w:szCs w:val="24"/>
              </w:rPr>
              <m:t>2</m:t>
            </m:r>
          </m:sub>
        </m:sSub>
        <m:r>
          <m:rPr>
            <m:sty m:val="p"/>
          </m:rPr>
          <w:rPr>
            <w:rFonts w:ascii="Cambria Math" w:hAnsi="Cambria Math"/>
            <w:color w:val="000000"/>
            <w:szCs w:val="24"/>
          </w:rPr>
          <m:t>*ss*</m:t>
        </m:r>
        <m:sSub>
          <m:sSubPr>
            <m:ctrlPr>
              <w:rPr>
                <w:rFonts w:ascii="Cambria Math" w:hAnsi="Cambria Math"/>
                <w:szCs w:val="24"/>
              </w:rPr>
            </m:ctrlPr>
          </m:sSubPr>
          <m:e>
            <m:r>
              <m:rPr>
                <m:sty m:val="p"/>
              </m:rPr>
              <w:rPr>
                <w:rFonts w:ascii="Cambria Math" w:hAnsi="Cambria Math"/>
                <w:szCs w:val="24"/>
              </w:rPr>
              <m:t>Isd</m:t>
            </m:r>
          </m:e>
          <m:sub>
            <m:r>
              <m:rPr>
                <m:sty m:val="p"/>
              </m:rPr>
              <w:rPr>
                <w:rFonts w:ascii="Cambria Math" w:hAnsi="Cambria Math"/>
                <w:szCs w:val="24"/>
              </w:rPr>
              <m:t xml:space="preserve">h </m:t>
            </m:r>
          </m:sub>
        </m:sSub>
        <m:r>
          <m:rPr>
            <m:sty m:val="p"/>
          </m:rPr>
          <w:rPr>
            <w:rFonts w:ascii="Cambria Math" w:hAnsi="Cambria Math"/>
            <w:color w:val="000000"/>
            <w:szCs w:val="24"/>
          </w:rPr>
          <m:t>-</m:t>
        </m:r>
        <m:sSub>
          <m:sSubPr>
            <m:ctrlPr>
              <w:rPr>
                <w:rFonts w:ascii="Cambria Math" w:hAnsi="Cambria Math"/>
                <w:color w:val="000000"/>
                <w:szCs w:val="24"/>
              </w:rPr>
            </m:ctrlPr>
          </m:sSubPr>
          <m:e>
            <m:r>
              <m:rPr>
                <m:sty m:val="p"/>
              </m:rPr>
              <w:rPr>
                <w:rFonts w:ascii="Cambria Math" w:hAnsi="Cambria Math"/>
                <w:color w:val="000000"/>
                <w:szCs w:val="24"/>
              </w:rPr>
              <m:t>μ</m:t>
            </m:r>
          </m:e>
          <m:sub>
            <m:r>
              <m:rPr>
                <m:sty m:val="p"/>
              </m:rPr>
              <w:rPr>
                <w:rFonts w:ascii="Cambria Math" w:hAnsi="Cambria Math"/>
                <w:color w:val="000000"/>
                <w:szCs w:val="24"/>
              </w:rPr>
              <m:t>h</m:t>
            </m:r>
          </m:sub>
        </m:sSub>
        <m:r>
          <m:rPr>
            <m:sty m:val="p"/>
          </m:rPr>
          <w:rPr>
            <w:rFonts w:ascii="Cambria Math" w:hAnsi="Cambria Math"/>
            <w:color w:val="000000"/>
            <w:szCs w:val="24"/>
          </w:rPr>
          <m:t>*</m:t>
        </m:r>
        <m:sSub>
          <m:sSubPr>
            <m:ctrlPr>
              <w:rPr>
                <w:rFonts w:ascii="Cambria Math" w:hAnsi="Cambria Math"/>
                <w:szCs w:val="24"/>
              </w:rPr>
            </m:ctrlPr>
          </m:sSubPr>
          <m:e>
            <m:r>
              <m:rPr>
                <m:sty m:val="p"/>
              </m:rPr>
              <w:rPr>
                <w:rFonts w:ascii="Cambria Math" w:hAnsi="Cambria Math"/>
                <w:szCs w:val="24"/>
              </w:rPr>
              <m:t>Isd</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0100A927"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dTr2</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ptq</m:t>
            </m:r>
          </m:e>
          <m:sub>
            <m:r>
              <m:rPr>
                <m:sty m:val="p"/>
              </m:rPr>
              <w:rPr>
                <w:rFonts w:ascii="Cambria Math" w:hAnsi="Cambria Math"/>
                <w:color w:val="000000"/>
                <w:szCs w:val="24"/>
              </w:rPr>
              <m:t>2</m:t>
            </m:r>
          </m:sub>
        </m:sSub>
        <m:r>
          <m:rPr>
            <m:sty m:val="p"/>
          </m:rPr>
          <w:rPr>
            <w:rFonts w:ascii="Cambria Math" w:hAnsi="Cambria Math"/>
            <w:color w:val="000000"/>
            <w:szCs w:val="24"/>
          </w:rPr>
          <m:t>*ss*</m:t>
        </m:r>
        <m:sSub>
          <m:sSubPr>
            <m:ctrlPr>
              <w:rPr>
                <w:rFonts w:ascii="Cambria Math" w:hAnsi="Cambria Math"/>
                <w:szCs w:val="24"/>
              </w:rPr>
            </m:ctrlPr>
          </m:sSubPr>
          <m:e>
            <m:r>
              <m:rPr>
                <m:sty m:val="p"/>
              </m:rPr>
              <w:rPr>
                <w:rFonts w:ascii="Cambria Math" w:hAnsi="Cambria Math"/>
                <w:szCs w:val="24"/>
              </w:rPr>
              <m:t>Isd</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1-</m:t>
            </m:r>
            <m:d>
              <m:dPr>
                <m:ctrlPr>
                  <w:rPr>
                    <w:rFonts w:ascii="Cambria Math" w:hAnsi="Cambria Math"/>
                    <w:szCs w:val="24"/>
                  </w:rPr>
                </m:ctrlPr>
              </m:dPr>
              <m:e>
                <m:sSub>
                  <m:sSubPr>
                    <m:ctrlPr>
                      <w:rPr>
                        <w:rFonts w:ascii="Cambria Math" w:hAnsi="Cambria Math"/>
                        <w:szCs w:val="24"/>
                      </w:rPr>
                    </m:ctrlPr>
                  </m:sSubPr>
                  <m:e>
                    <m:r>
                      <w:rPr>
                        <w:rFonts w:ascii="Cambria Math" w:hAnsi="Cambria Math"/>
                        <w:szCs w:val="24"/>
                      </w:rPr>
                      <m:t>ah</m:t>
                    </m:r>
                  </m:e>
                  <m:sub>
                    <m:r>
                      <w:rPr>
                        <w:rFonts w:ascii="Cambria Math" w:hAnsi="Cambria Math"/>
                        <w:szCs w:val="24"/>
                      </w:rPr>
                      <m:t>2</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rs</m:t>
                    </m:r>
                  </m:e>
                  <m:sub>
                    <m:r>
                      <w:rPr>
                        <w:rFonts w:ascii="Cambria Math" w:hAnsi="Cambria Math"/>
                        <w:szCs w:val="24"/>
                      </w:rPr>
                      <m:t>2</m:t>
                    </m:r>
                  </m:sub>
                </m:sSub>
              </m:e>
            </m:d>
          </m:e>
        </m:d>
        <m: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m:rPr>
                    <m:sty m:val="p"/>
                  </m:rPr>
                  <w:rPr>
                    <w:rFonts w:ascii="Cambria Math" w:hAnsi="Cambria Math"/>
                    <w:szCs w:val="24"/>
                  </w:rPr>
                  <m:t>rho</m:t>
                </m:r>
              </m:e>
              <m:sub>
                <m:r>
                  <m:rPr>
                    <m:sty m:val="p"/>
                  </m:rPr>
                  <w:rPr>
                    <w:rFonts w:ascii="Cambria Math" w:hAnsi="Cambria Math"/>
                    <w:szCs w:val="24"/>
                  </w:rPr>
                  <m:t>2</m:t>
                </m:r>
              </m:sub>
            </m:sSub>
            <m:r>
              <m:rPr>
                <m:sty m:val="p"/>
              </m:rPr>
              <w:rPr>
                <w:rFonts w:ascii="Cambria Math" w:hAnsi="Cambria Math"/>
                <w:szCs w:val="24"/>
              </w:rPr>
              <m:t>*Tr2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d>
              <m:dPr>
                <m:ctrlPr>
                  <w:rPr>
                    <w:rFonts w:ascii="Cambria Math" w:eastAsia="Times New Roman"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2</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2</m:t>
                    </m:r>
                  </m:sub>
                </m:sSub>
              </m:e>
            </m:d>
            <m:r>
              <m:rPr>
                <m:sty m:val="p"/>
              </m:rPr>
              <w:rPr>
                <w:rFonts w:ascii="Cambria Math" w:hAnsi="Cambria Math"/>
                <w:szCs w:val="24"/>
              </w:rPr>
              <m:t>*Tr2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Tr2</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1165E2B6"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dTrf2</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d>
              <m:dPr>
                <m:ctrlPr>
                  <w:rPr>
                    <w:rFonts w:ascii="Cambria Math" w:eastAsia="Times New Roman"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2</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2</m:t>
                    </m:r>
                  </m:sub>
                </m:sSub>
              </m:e>
            </m:d>
            <m:r>
              <m:rPr>
                <m:sty m:val="p"/>
              </m:rPr>
              <w:rPr>
                <w:rFonts w:ascii="Cambria Math" w:hAnsi="Cambria Math"/>
                <w:szCs w:val="24"/>
              </w:rPr>
              <m:t>*Tr2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Trf2</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0CB713AC" w14:textId="50530C7A" w:rsidR="007E1F9B" w:rsidRPr="00C1299E" w:rsidRDefault="00F52C24" w:rsidP="002B6379">
      <w:pPr>
        <w:spacing w:line="240"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dIsm</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r>
          <m:rPr>
            <m:sty m:val="p"/>
          </m:rPr>
          <w:rPr>
            <w:rFonts w:ascii="Cambria Math" w:hAnsi="Cambria Math"/>
            <w:color w:val="000000"/>
            <w:szCs w:val="24"/>
          </w:rPr>
          <m:t>v*</m:t>
        </m:r>
        <m:sSub>
          <m:sSubPr>
            <m:ctrlPr>
              <w:rPr>
                <w:rFonts w:ascii="Cambria Math" w:hAnsi="Cambria Math"/>
                <w:color w:val="000000"/>
                <w:szCs w:val="24"/>
              </w:rPr>
            </m:ctrlPr>
          </m:sSubPr>
          <m:e>
            <m:r>
              <m:rPr>
                <m:sty m:val="p"/>
              </m:rPr>
              <w:rPr>
                <w:rFonts w:ascii="Cambria Math" w:hAnsi="Cambria Math"/>
                <w:color w:val="000000"/>
                <w:szCs w:val="24"/>
              </w:rPr>
              <m:t>Ia</m:t>
            </m:r>
          </m:e>
          <m:sub>
            <m:r>
              <m:rPr>
                <m:sty m:val="p"/>
              </m:rPr>
              <w:rPr>
                <w:rFonts w:ascii="Cambria Math" w:hAnsi="Cambria Math"/>
                <w:color w:val="000000"/>
                <w:szCs w:val="24"/>
              </w:rPr>
              <m:t xml:space="preserve">h </m:t>
            </m:r>
          </m:sub>
        </m:sSub>
        <m:r>
          <m:rPr>
            <m:sty m:val="p"/>
          </m:rPr>
          <w:rPr>
            <w:rFonts w:ascii="Cambria Math" w:hAnsi="Cambria Math"/>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1</m:t>
                </m:r>
              </m:sub>
            </m:sSub>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1-p</m:t>
            </m:r>
            <m:sSub>
              <m:sSubPr>
                <m:ctrlPr>
                  <w:rPr>
                    <w:rFonts w:ascii="Cambria Math" w:hAnsi="Cambria Math"/>
                    <w:color w:val="000000"/>
                    <w:szCs w:val="24"/>
                  </w:rPr>
                </m:ctrlPr>
              </m:sSubPr>
              <m:e>
                <m:r>
                  <m:rPr>
                    <m:sty m:val="p"/>
                  </m:rPr>
                  <w:rPr>
                    <w:rFonts w:ascii="Cambria Math" w:hAnsi="Cambria Math"/>
                    <w:color w:val="000000"/>
                    <w:szCs w:val="24"/>
                  </w:rPr>
                  <m:t>a</m:t>
                </m:r>
              </m:e>
              <m:sub>
                <m:r>
                  <m:rPr>
                    <m:sty m:val="p"/>
                  </m:rPr>
                  <w:rPr>
                    <w:rFonts w:ascii="Cambria Math" w:hAnsi="Cambria Math"/>
                    <w:color w:val="000000"/>
                    <w:szCs w:val="24"/>
                  </w:rPr>
                  <m:t>1</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pa</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2h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 ppc</m:t>
            </m:r>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ppa</m:t>
                </m:r>
              </m:e>
              <m:sub>
                <m:r>
                  <m:rPr>
                    <m:sty m:val="p"/>
                  </m:rPr>
                  <w:rPr>
                    <w:rFonts w:ascii="Cambria Math" w:hAnsi="Cambria Math"/>
                    <w:color w:val="000000"/>
                    <w:szCs w:val="24"/>
                  </w:rPr>
                  <m:t xml:space="preserve"> </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 xml:space="preserve"> L</m:t>
            </m:r>
          </m:e>
          <m:sub>
            <m:r>
              <m:rPr>
                <m:sty m:val="p"/>
              </m:rPr>
              <w:rPr>
                <w:rFonts w:ascii="Cambria Math" w:hAnsi="Cambria Math"/>
                <w:color w:val="000000"/>
                <w:szCs w:val="24"/>
              </w:rPr>
              <m:t xml:space="preserve">3h </m:t>
            </m:r>
          </m:sub>
        </m:sSub>
        <m:r>
          <m:rPr>
            <m:sty m:val="p"/>
          </m:rPr>
          <w:rPr>
            <w:rFonts w:ascii="Cambria Math" w:hAnsi="Cambria Math"/>
            <w:szCs w:val="24"/>
          </w:rPr>
          <m:t xml:space="preserve"> -  </m:t>
        </m:r>
        <m:sSub>
          <m:sSubPr>
            <m:ctrlPr>
              <w:rPr>
                <w:rFonts w:ascii="Cambria Math" w:hAnsi="Cambria Math"/>
                <w:szCs w:val="24"/>
              </w:rPr>
            </m:ctrlPr>
          </m:sSubPr>
          <m:e>
            <m:r>
              <m:rPr>
                <m:sty m:val="p"/>
              </m:rPr>
              <w:rPr>
                <w:rFonts w:ascii="Cambria Math" w:hAnsi="Cambria Math"/>
                <w:szCs w:val="24"/>
              </w:rPr>
              <m:t>x</m:t>
            </m:r>
          </m:e>
          <m:sub>
            <m:r>
              <m:rPr>
                <m:sty m:val="p"/>
              </m:rPr>
              <w:rPr>
                <w:rFonts w:ascii="Cambria Math" w:hAnsi="Cambria Math"/>
                <w:szCs w:val="24"/>
              </w:rPr>
              <m:t>1</m:t>
            </m:r>
          </m:sub>
        </m:sSub>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                nr*</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 AC*px*ac2*Ism- superInf*</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667A6B43"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r>
              <m:rPr>
                <m:sty m:val="p"/>
              </m:rPr>
              <w:rPr>
                <w:rFonts w:ascii="Cambria Math" w:hAnsi="Cambria Math"/>
                <w:szCs w:val="24"/>
              </w:rPr>
              <m:t>d</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hnnp</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m:t>
            </m:r>
          </m:e>
          <m:sub>
            <m:r>
              <m:rPr>
                <m:sty m:val="p"/>
              </m:rPr>
              <w:rPr>
                <w:rFonts w:ascii="Cambria Math" w:hAnsi="Cambria Math"/>
                <w:szCs w:val="24"/>
              </w:rPr>
              <m:t>x</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m</m:t>
            </m:r>
          </m:e>
          <m:sub>
            <m:r>
              <w:rPr>
                <w:rFonts w:ascii="Cambria Math" w:hAnsi="Cambria Math"/>
                <w:szCs w:val="24"/>
              </w:rPr>
              <m:t>1</m:t>
            </m:r>
          </m:sub>
        </m:sSub>
        <m:r>
          <m:rPr>
            <m:sty m:val="p"/>
          </m:rPr>
          <w:rPr>
            <w:rFonts w:ascii="Cambria Math" w:hAnsi="Cambria Math"/>
            <w:szCs w:val="24"/>
          </w:rPr>
          <m:t>*γ</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hnnp</m:t>
            </m:r>
          </m:sub>
        </m:sSub>
        <m:r>
          <m:rPr>
            <m:sty m:val="p"/>
          </m:rPr>
          <w:rPr>
            <w:rFonts w:ascii="Cambria Math" w:hAnsi="Cambria Math"/>
            <w:szCs w:val="24"/>
          </w:rPr>
          <m:t>-AC*</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hnnp</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hnnp</m:t>
            </m:r>
          </m:sub>
        </m:sSub>
      </m:oMath>
      <w:r w:rsidR="007E1F9B" w:rsidRPr="00C1299E">
        <w:rPr>
          <w:rFonts w:eastAsia="Times New Roman"/>
          <w:szCs w:val="24"/>
        </w:rPr>
        <w:t xml:space="preserve"> </w:t>
      </w:r>
    </w:p>
    <w:p w14:paraId="0171CD43"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dL</m:t>
                </m:r>
              </m:e>
              <m:sub>
                <m:r>
                  <m:rPr>
                    <m:sty m:val="p"/>
                  </m:rPr>
                  <w:rPr>
                    <w:rFonts w:ascii="Cambria Math" w:hAnsi="Cambria Math"/>
                    <w:szCs w:val="24"/>
                  </w:rPr>
                  <m:t>3h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m</m:t>
                </m:r>
              </m:e>
              <m:sub>
                <m:r>
                  <w:rPr>
                    <w:rFonts w:ascii="Cambria Math" w:hAnsi="Cambria Math"/>
                    <w:szCs w:val="24"/>
                  </w:rPr>
                  <m:t>1</m:t>
                </m:r>
              </m:sub>
            </m:sSub>
            <m:r>
              <m:rPr>
                <m:sty m:val="p"/>
              </m:rPr>
              <w:rPr>
                <w:rFonts w:ascii="Cambria Math" w:hAnsi="Cambria Math"/>
                <w:szCs w:val="24"/>
              </w:rPr>
              <m:t>*λ</m:t>
            </m:r>
          </m:e>
          <m:sub>
            <m:r>
              <m:rPr>
                <m:sty m:val="p"/>
              </m:rPr>
              <w:rPr>
                <w:rFonts w:ascii="Cambria Math" w:hAnsi="Cambria Math"/>
                <w:szCs w:val="24"/>
              </w:rPr>
              <m:t>mh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hnnp </m:t>
            </m:r>
          </m:sub>
        </m:sSub>
        <m:r>
          <m:rPr>
            <m:sty m:val="p"/>
          </m:rPr>
          <w:rPr>
            <w:rFonts w:ascii="Cambria Math" w:hAnsi="Cambria Math"/>
            <w:szCs w:val="24"/>
          </w:rPr>
          <m:t>-</m:t>
        </m:r>
        <m:r>
          <m:rPr>
            <m:sty m:val="p"/>
          </m:rPr>
          <w:rPr>
            <w:rFonts w:ascii="Cambria Math" w:hAnsi="Cambria Math"/>
            <w:color w:val="000000"/>
            <w:szCs w:val="24"/>
          </w:rPr>
          <m:t>ppc*γ*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3h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 ppc</m:t>
            </m:r>
          </m:e>
        </m:d>
        <m:r>
          <m:rPr>
            <m:sty m:val="p"/>
          </m:rPr>
          <w:rPr>
            <w:rFonts w:ascii="Cambria Math" w:hAnsi="Cambria Math"/>
            <w:color w:val="000000"/>
            <w:szCs w:val="24"/>
          </w:rPr>
          <m:t>*ppa*γ*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3h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 ppc</m:t>
            </m:r>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1-ppa</m:t>
            </m:r>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3h </m:t>
            </m:r>
          </m:sub>
        </m:sSub>
        <m:r>
          <m:rPr>
            <m:sty m:val="p"/>
          </m:rPr>
          <w:rPr>
            <w:rFonts w:ascii="Cambria Math" w:hAnsi="Cambria Math"/>
            <w:color w:val="000000"/>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3h </m:t>
            </m:r>
          </m:sub>
        </m:sSub>
      </m:oMath>
      <w:r w:rsidR="007E1F9B" w:rsidRPr="00C1299E">
        <w:rPr>
          <w:rFonts w:eastAsia="Times New Roman"/>
          <w:szCs w:val="24"/>
        </w:rPr>
        <w:t xml:space="preserve"> </w:t>
      </w:r>
    </w:p>
    <w:p w14:paraId="05DC2BF4"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dIancN</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=A</m:t>
        </m:r>
        <m:sSub>
          <m:sSubPr>
            <m:ctrlPr>
              <w:rPr>
                <w:rFonts w:ascii="Cambria Math" w:hAnsi="Cambria Math"/>
                <w:szCs w:val="24"/>
              </w:rPr>
            </m:ctrlPr>
          </m:sSubPr>
          <m:e>
            <m:r>
              <m:rPr>
                <m:sty m:val="p"/>
              </m:rPr>
              <w:rPr>
                <w:rFonts w:ascii="Cambria Math" w:hAnsi="Cambria Math"/>
                <w:szCs w:val="24"/>
              </w:rPr>
              <m:t>C*S</m:t>
            </m:r>
          </m:e>
          <m:sub>
            <m:r>
              <m:rPr>
                <m:sty m:val="p"/>
              </m:rPr>
              <w:rPr>
                <w:rFonts w:ascii="Cambria Math" w:hAnsi="Cambria Math"/>
                <w:szCs w:val="24"/>
              </w:rPr>
              <m:t xml:space="preserve">hnnp </m:t>
            </m:r>
          </m:sub>
        </m:sSub>
        <m:r>
          <m:rPr>
            <m:sty m:val="p"/>
          </m:rPr>
          <w:rPr>
            <w:rFonts w:ascii="Cambria Math" w:hAnsi="Cambria Math"/>
            <w:szCs w:val="24"/>
          </w:rPr>
          <m:t>-AC*</m:t>
        </m:r>
        <m:sSub>
          <m:sSubPr>
            <m:ctrlPr>
              <w:rPr>
                <w:rFonts w:ascii="Cambria Math" w:hAnsi="Cambria Math"/>
                <w:color w:val="000000"/>
                <w:szCs w:val="24"/>
              </w:rPr>
            </m:ctrlPr>
          </m:sSubPr>
          <m:e>
            <m:r>
              <m:rPr>
                <m:sty m:val="p"/>
              </m:rPr>
              <w:rPr>
                <w:rFonts w:ascii="Cambria Math" w:hAnsi="Cambria Math"/>
                <w:color w:val="000000"/>
                <w:szCs w:val="24"/>
              </w:rPr>
              <m:t>pt</m:t>
            </m:r>
          </m:e>
          <m:sub>
            <m:r>
              <m:rPr>
                <m:sty m:val="p"/>
              </m:rPr>
              <w:rPr>
                <w:rFonts w:ascii="Cambria Math" w:hAnsi="Cambria Math"/>
                <w:color w:val="000000"/>
                <w:szCs w:val="24"/>
              </w:rPr>
              <m:t>3</m:t>
            </m:r>
          </m:sub>
        </m:sSub>
        <m:r>
          <m:rPr>
            <m:sty m:val="p"/>
          </m:rPr>
          <w:rPr>
            <w:rFonts w:ascii="Cambria Math" w:hAnsi="Cambria Math"/>
            <w:color w:val="000000"/>
            <w:szCs w:val="24"/>
          </w:rPr>
          <m:t>*</m:t>
        </m:r>
        <m:sSub>
          <m:sSubPr>
            <m:ctrlPr>
              <w:rPr>
                <w:rFonts w:ascii="Cambria Math" w:hAnsi="Cambria Math"/>
                <w:szCs w:val="24"/>
              </w:rPr>
            </m:ctrlPr>
          </m:sSubPr>
          <m:e>
            <m:r>
              <m:rPr>
                <m:sty m:val="p"/>
              </m:rPr>
              <w:rPr>
                <w:rFonts w:ascii="Cambria Math" w:hAnsi="Cambria Math"/>
                <w:szCs w:val="24"/>
              </w:rPr>
              <m:t>IancN</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IancN</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6A8EF459" w14:textId="29A712E0"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dIancP</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pst</m:t>
            </m:r>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m:t>
            </m:r>
          </m:e>
        </m:d>
        <m:r>
          <m:rPr>
            <m:sty m:val="p"/>
          </m:rPr>
          <w:rPr>
            <w:rFonts w:ascii="Cambria Math" w:hAnsi="Cambria Math"/>
            <w:szCs w:val="24"/>
          </w:rPr>
          <m:t>*ppc*AC*</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 AC*px*ac1*Ia + AC*px*ac2*Ism - AC*pt3*IancP - RDTMicSens*AC*                  (1 - pt3)*IancP-</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IancP</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0940F553" w14:textId="77777777" w:rsidR="007E1F9B" w:rsidRPr="00C1299E" w:rsidRDefault="00F52C24"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dTr3</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=AC*</m:t>
        </m:r>
        <m:sSub>
          <m:sSubPr>
            <m:ctrlPr>
              <w:rPr>
                <w:rFonts w:ascii="Cambria Math" w:hAnsi="Cambria Math"/>
                <w:color w:val="000000"/>
                <w:szCs w:val="24"/>
              </w:rPr>
            </m:ctrlPr>
          </m:sSubPr>
          <m:e>
            <m:r>
              <m:rPr>
                <m:sty m:val="p"/>
              </m:rPr>
              <w:rPr>
                <w:rFonts w:ascii="Cambria Math" w:hAnsi="Cambria Math"/>
                <w:color w:val="000000"/>
                <w:szCs w:val="24"/>
              </w:rPr>
              <m:t>pt</m:t>
            </m:r>
          </m:e>
          <m:sub>
            <m:r>
              <m:rPr>
                <m:sty m:val="p"/>
              </m:rPr>
              <w:rPr>
                <w:rFonts w:ascii="Cambria Math" w:hAnsi="Cambria Math"/>
                <w:color w:val="000000"/>
                <w:szCs w:val="24"/>
              </w:rPr>
              <m:t>3</m:t>
            </m:r>
          </m:sub>
        </m:sSub>
        <m:r>
          <m:rPr>
            <m:sty m:val="p"/>
          </m:rPr>
          <w:rPr>
            <w:rFonts w:ascii="Cambria Math" w:hAnsi="Cambria Math"/>
            <w:color w:val="000000"/>
            <w:szCs w:val="24"/>
          </w:rPr>
          <m:t>*</m:t>
        </m:r>
        <m:sSub>
          <m:sSubPr>
            <m:ctrlPr>
              <w:rPr>
                <w:rFonts w:ascii="Cambria Math" w:hAnsi="Cambria Math"/>
                <w:szCs w:val="24"/>
              </w:rPr>
            </m:ctrlPr>
          </m:sSubPr>
          <m:e>
            <m:r>
              <m:rPr>
                <m:sty m:val="p"/>
              </m:rPr>
              <w:rPr>
                <w:rFonts w:ascii="Cambria Math" w:hAnsi="Cambria Math"/>
                <w:szCs w:val="24"/>
              </w:rPr>
              <m:t>IancN</m:t>
            </m:r>
          </m:e>
          <m:sub>
            <m:r>
              <m:rPr>
                <m:sty m:val="p"/>
              </m:rPr>
              <w:rPr>
                <w:rFonts w:ascii="Cambria Math" w:hAnsi="Cambria Math"/>
                <w:szCs w:val="24"/>
              </w:rPr>
              <m:t xml:space="preserve">h </m:t>
            </m:r>
          </m:sub>
        </m:sSub>
        <m:r>
          <m:rPr>
            <m:sty m:val="p"/>
          </m:rPr>
          <w:rPr>
            <w:rFonts w:ascii="Cambria Math" w:hAnsi="Cambria Math"/>
            <w:szCs w:val="24"/>
          </w:rPr>
          <m:t>+AC*</m:t>
        </m:r>
        <m:sSub>
          <m:sSubPr>
            <m:ctrlPr>
              <w:rPr>
                <w:rFonts w:ascii="Cambria Math" w:hAnsi="Cambria Math"/>
                <w:color w:val="000000"/>
                <w:szCs w:val="24"/>
              </w:rPr>
            </m:ctrlPr>
          </m:sSubPr>
          <m:e>
            <m:r>
              <m:rPr>
                <m:sty m:val="p"/>
              </m:rPr>
              <w:rPr>
                <w:rFonts w:ascii="Cambria Math" w:hAnsi="Cambria Math"/>
                <w:color w:val="000000"/>
                <w:szCs w:val="24"/>
              </w:rPr>
              <m:t>pt</m:t>
            </m:r>
          </m:e>
          <m:sub>
            <m:r>
              <m:rPr>
                <m:sty m:val="p"/>
              </m:rPr>
              <w:rPr>
                <w:rFonts w:ascii="Cambria Math" w:hAnsi="Cambria Math"/>
                <w:color w:val="000000"/>
                <w:szCs w:val="24"/>
              </w:rPr>
              <m:t>3</m:t>
            </m:r>
          </m:sub>
        </m:sSub>
        <m:r>
          <m:rPr>
            <m:sty m:val="p"/>
          </m:rPr>
          <w:rPr>
            <w:rFonts w:ascii="Cambria Math" w:hAnsi="Cambria Math"/>
            <w:color w:val="000000"/>
            <w:szCs w:val="24"/>
          </w:rPr>
          <m:t>*</m:t>
        </m:r>
        <m:sSub>
          <m:sSubPr>
            <m:ctrlPr>
              <w:rPr>
                <w:rFonts w:ascii="Cambria Math" w:hAnsi="Cambria Math"/>
                <w:szCs w:val="24"/>
              </w:rPr>
            </m:ctrlPr>
          </m:sSubPr>
          <m:e>
            <m:r>
              <m:rPr>
                <m:sty m:val="p"/>
              </m:rPr>
              <w:rPr>
                <w:rFonts w:ascii="Cambria Math" w:hAnsi="Cambria Math"/>
                <w:szCs w:val="24"/>
              </w:rPr>
              <m:t>IancP</m:t>
            </m:r>
          </m:e>
          <m:sub>
            <m:r>
              <m:rPr>
                <m:sty m:val="p"/>
              </m:rPr>
              <w:rPr>
                <w:rFonts w:ascii="Cambria Math" w:hAnsi="Cambria Math"/>
                <w:szCs w:val="24"/>
              </w:rPr>
              <m:t xml:space="preserve">h </m:t>
            </m:r>
          </m:sub>
        </m:sSub>
        <m:r>
          <m:rPr>
            <m:sty m:val="p"/>
          </m:rPr>
          <w:rPr>
            <w:rFonts w:ascii="Cambria Math" w:hAnsi="Cambria Math"/>
            <w:szCs w:val="24"/>
          </w:rPr>
          <m:t>+AC*</m:t>
        </m:r>
        <m:sSub>
          <m:sSubPr>
            <m:ctrlPr>
              <w:rPr>
                <w:rFonts w:ascii="Cambria Math" w:hAnsi="Cambria Math"/>
                <w:szCs w:val="24"/>
              </w:rPr>
            </m:ctrlPr>
          </m:sSubPr>
          <m:e>
            <m:r>
              <m:rPr>
                <m:sty m:val="p"/>
              </m:rPr>
              <w:rPr>
                <w:rFonts w:ascii="Cambria Math" w:hAnsi="Cambria Math"/>
                <w:szCs w:val="24"/>
              </w:rPr>
              <m:t>Trf3</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d>
              <m:dPr>
                <m:ctrlPr>
                  <w:rPr>
                    <w:rFonts w:ascii="Cambria Math" w:eastAsia="Times New Roman"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3</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3</m:t>
                    </m:r>
                  </m:sub>
                </m:sSub>
              </m:e>
            </m:d>
            <m:r>
              <m:rPr>
                <m:sty m:val="p"/>
              </m:rPr>
              <w:rPr>
                <w:rFonts w:ascii="Cambria Math" w:hAnsi="Cambria Math"/>
                <w:szCs w:val="24"/>
              </w:rPr>
              <m:t>*Tr3</m:t>
            </m:r>
          </m:e>
          <m:sub>
            <m:r>
              <m:rPr>
                <m:sty m:val="p"/>
              </m:rPr>
              <w:rPr>
                <w:rFonts w:ascii="Cambria Math" w:hAnsi="Cambria Math"/>
                <w:szCs w:val="24"/>
              </w:rPr>
              <m:t xml:space="preserve">h </m:t>
            </m:r>
          </m:sub>
        </m:sSub>
        <m:r>
          <m:rPr>
            <m:sty m:val="p"/>
          </m:rPr>
          <w:rPr>
            <w:rFonts w:ascii="Cambria Math" w:hAnsi="Cambria Math"/>
            <w:szCs w:val="24"/>
          </w:rPr>
          <m:t>-hlsp*</m:t>
        </m:r>
        <m:sSub>
          <m:sSubPr>
            <m:ctrlPr>
              <w:rPr>
                <w:rFonts w:ascii="Cambria Math" w:hAnsi="Cambria Math"/>
                <w:szCs w:val="24"/>
              </w:rPr>
            </m:ctrlPr>
          </m:sSubPr>
          <m:e>
            <m:r>
              <m:rPr>
                <m:sty m:val="p"/>
              </m:rPr>
              <w:rPr>
                <w:rFonts w:ascii="Cambria Math" w:hAnsi="Cambria Math"/>
                <w:szCs w:val="24"/>
              </w:rPr>
              <m:t>Tr3</m:t>
            </m:r>
          </m:e>
          <m:sub>
            <m:r>
              <m:rPr>
                <m:sty m:val="p"/>
              </m:rPr>
              <w:rPr>
                <w:rFonts w:ascii="Cambria Math" w:hAnsi="Cambria Math"/>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Tr3</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1C103677" w14:textId="77777777" w:rsidR="007E1F9B" w:rsidRPr="00C1299E" w:rsidRDefault="00F52C24" w:rsidP="002B6379">
      <w:pPr>
        <w:spacing w:line="276" w:lineRule="auto"/>
        <w:jc w:val="both"/>
        <w:rPr>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dTrf3</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d>
              <m:dPr>
                <m:ctrlPr>
                  <w:rPr>
                    <w:rFonts w:ascii="Cambria Math" w:eastAsia="Times New Roman"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3</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3</m:t>
                    </m:r>
                  </m:sub>
                </m:sSub>
              </m:e>
            </m:d>
            <m:r>
              <m:rPr>
                <m:sty m:val="p"/>
              </m:rPr>
              <w:rPr>
                <w:rFonts w:ascii="Cambria Math" w:hAnsi="Cambria Math"/>
                <w:szCs w:val="24"/>
              </w:rPr>
              <m:t>*Tr3</m:t>
            </m:r>
          </m:e>
          <m:sub>
            <m:r>
              <m:rPr>
                <m:sty m:val="p"/>
              </m:rPr>
              <w:rPr>
                <w:rFonts w:ascii="Cambria Math" w:hAnsi="Cambria Math"/>
                <w:szCs w:val="24"/>
              </w:rPr>
              <m:t xml:space="preserve">h </m:t>
            </m:r>
          </m:sub>
        </m:sSub>
        <m:r>
          <m:rPr>
            <m:sty m:val="p"/>
          </m:rPr>
          <w:rPr>
            <w:rFonts w:ascii="Cambria Math" w:hAnsi="Cambria Math"/>
            <w:szCs w:val="24"/>
          </w:rPr>
          <m:t>- AC*</m:t>
        </m:r>
        <m:sSub>
          <m:sSubPr>
            <m:ctrlPr>
              <w:rPr>
                <w:rFonts w:ascii="Cambria Math" w:hAnsi="Cambria Math"/>
                <w:szCs w:val="24"/>
              </w:rPr>
            </m:ctrlPr>
          </m:sSubPr>
          <m:e>
            <m:r>
              <m:rPr>
                <m:sty m:val="p"/>
              </m:rPr>
              <w:rPr>
                <w:rFonts w:ascii="Cambria Math" w:hAnsi="Cambria Math"/>
                <w:szCs w:val="24"/>
              </w:rPr>
              <m:t>Trf3</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Trf3</m:t>
            </m:r>
          </m:e>
          <m:sub>
            <m:r>
              <m:rPr>
                <m:sty m:val="p"/>
              </m:rPr>
              <w:rPr>
                <w:rFonts w:ascii="Cambria Math" w:hAnsi="Cambria Math"/>
                <w:szCs w:val="24"/>
              </w:rPr>
              <m:t xml:space="preserve">h </m:t>
            </m:r>
          </m:sub>
        </m:sSub>
      </m:oMath>
      <w:r w:rsidR="007E1F9B" w:rsidRPr="00C1299E">
        <w:rPr>
          <w:szCs w:val="24"/>
        </w:rPr>
        <w:t xml:space="preserve"> </w:t>
      </w:r>
    </w:p>
    <w:p w14:paraId="71194941" w14:textId="77777777" w:rsidR="00AE2607" w:rsidRPr="00C1299E" w:rsidRDefault="00AE2607" w:rsidP="002B6379">
      <w:pPr>
        <w:jc w:val="both"/>
        <w:rPr>
          <w:rFonts w:eastAsia="Times New Roman"/>
          <w:szCs w:val="24"/>
        </w:rPr>
      </w:pPr>
    </w:p>
    <w:p w14:paraId="721C4908" w14:textId="77777777" w:rsidR="00AE2607" w:rsidRPr="00C1299E" w:rsidRDefault="00AE2607" w:rsidP="002B6379">
      <w:pPr>
        <w:jc w:val="both"/>
        <w:rPr>
          <w:rFonts w:eastAsia="Times New Roman"/>
          <w:szCs w:val="24"/>
        </w:rPr>
        <w:sectPr w:rsidR="00AE2607" w:rsidRPr="00C1299E" w:rsidSect="002B6379">
          <w:headerReference w:type="default" r:id="rId18"/>
          <w:footerReference w:type="default" r:id="rId19"/>
          <w:type w:val="continuous"/>
          <w:pgSz w:w="16838" w:h="11906" w:orient="landscape"/>
          <w:pgMar w:top="1440" w:right="1080" w:bottom="1440" w:left="1080" w:header="708" w:footer="708" w:gutter="0"/>
          <w:cols w:space="708"/>
          <w:docGrid w:linePitch="360"/>
        </w:sectPr>
      </w:pPr>
    </w:p>
    <w:p w14:paraId="35062762" w14:textId="77777777" w:rsidR="007E1F9B" w:rsidRPr="00C1299E" w:rsidRDefault="007E1F9B" w:rsidP="002B6379">
      <w:pPr>
        <w:jc w:val="both"/>
        <w:rPr>
          <w:rFonts w:eastAsia="Times New Roman"/>
          <w:b/>
          <w:szCs w:val="24"/>
        </w:rPr>
      </w:pPr>
      <w:r w:rsidRPr="00C1299E">
        <w:rPr>
          <w:b/>
          <w:szCs w:val="24"/>
        </w:rPr>
        <w:lastRenderedPageBreak/>
        <w:t xml:space="preserve">Mosquito </w:t>
      </w:r>
      <w:r w:rsidRPr="00C1299E">
        <w:rPr>
          <w:rFonts w:eastAsia="Times New Roman"/>
          <w:b/>
          <w:szCs w:val="24"/>
        </w:rPr>
        <w:t>population</w:t>
      </w:r>
    </w:p>
    <w:p w14:paraId="1FF20749" w14:textId="77777777" w:rsidR="00AE2607" w:rsidRPr="00C1299E" w:rsidRDefault="00F52C24" w:rsidP="002B6379">
      <w:pPr>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dL</m:t>
                </m:r>
              </m:e>
              <m:sub>
                <m:r>
                  <m:rPr>
                    <m:sty m:val="p"/>
                  </m:rPr>
                  <w:rPr>
                    <w:rFonts w:ascii="Cambria Math" w:hAnsi="Cambria Math"/>
                    <w:szCs w:val="24"/>
                  </w:rPr>
                  <m:t>v</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m:t>
            </m:r>
          </m:e>
          <m:sub>
            <m:r>
              <m:rPr>
                <m:sty m:val="p"/>
              </m:rPr>
              <w:rPr>
                <w:rFonts w:ascii="Cambria Math" w:hAnsi="Cambria Math"/>
                <w:szCs w:val="24"/>
              </w:rPr>
              <m:t>v</m:t>
            </m:r>
          </m:sub>
        </m:sSub>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 xml:space="preserve">1- </m:t>
            </m:r>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v</m:t>
                    </m:r>
                  </m:sub>
                </m:sSub>
              </m:num>
              <m:den>
                <m:r>
                  <m:rPr>
                    <m:sty m:val="p"/>
                  </m:rPr>
                  <w:rPr>
                    <w:rFonts w:ascii="Cambria Math" w:hAnsi="Cambria Math"/>
                    <w:szCs w:val="24"/>
                  </w:rPr>
                  <m:t>Kv*</m:t>
                </m:r>
                <m:d>
                  <m:dPr>
                    <m:ctrlPr>
                      <w:rPr>
                        <w:rFonts w:ascii="Cambria Math" w:hAnsi="Cambria Math"/>
                        <w:szCs w:val="24"/>
                      </w:rPr>
                    </m:ctrlPr>
                  </m:dPr>
                  <m:e>
                    <m:r>
                      <m:rPr>
                        <m:sty m:val="p"/>
                      </m:rPr>
                      <w:rPr>
                        <w:rFonts w:ascii="Cambria Math" w:hAnsi="Cambria Math"/>
                        <w:szCs w:val="24"/>
                      </w:rPr>
                      <m:t>Rf+1</m:t>
                    </m:r>
                  </m:e>
                </m:d>
              </m:den>
            </m:f>
          </m:e>
        </m:d>
        <m:r>
          <m:rPr>
            <m:sty m:val="p"/>
          </m:rPr>
          <w:rPr>
            <w:rFonts w:ascii="Cambria Math" w:hAnsi="Cambria Math"/>
            <w:szCs w:val="24"/>
          </w:rPr>
          <m:t>*</m:t>
        </m:r>
        <m:d>
          <m:dPr>
            <m:ctrlPr>
              <w:rPr>
                <w:rFonts w:ascii="Cambria Math" w:hAnsi="Cambria Math"/>
                <w:szCs w:val="24"/>
              </w:rPr>
            </m:ctrlPr>
          </m:dPr>
          <m:e>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E</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I</m:t>
                </m:r>
              </m:e>
              <m:sub>
                <m:r>
                  <m:rPr>
                    <m:sty m:val="p"/>
                  </m:rPr>
                  <w:rPr>
                    <w:rFonts w:ascii="Cambria Math" w:hAnsi="Cambria Math"/>
                    <w:szCs w:val="24"/>
                  </w:rPr>
                  <m:t xml:space="preserve">m </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θ</m:t>
            </m:r>
          </m:e>
          <m:sub>
            <m:r>
              <m:rPr>
                <m:sty m:val="p"/>
              </m:rPr>
              <w:rPr>
                <w:rFonts w:ascii="Cambria Math" w:hAnsi="Cambria Math"/>
                <w:szCs w:val="24"/>
              </w:rPr>
              <m:t>v</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v</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l</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v</m:t>
            </m:r>
          </m:sub>
        </m:sSub>
      </m:oMath>
      <w:r w:rsidR="007E1F9B" w:rsidRPr="00C1299E">
        <w:rPr>
          <w:rFonts w:eastAsia="Times New Roman"/>
          <w:szCs w:val="24"/>
        </w:rPr>
        <w:t xml:space="preserve"> </w:t>
      </w:r>
    </w:p>
    <w:p w14:paraId="65893781" w14:textId="77777777" w:rsidR="00AE2607" w:rsidRPr="00C1299E" w:rsidRDefault="00F52C24" w:rsidP="002B6379">
      <w:pPr>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dS</m:t>
                </m:r>
              </m:e>
              <m:sub>
                <m:r>
                  <m:rPr>
                    <m:sty m:val="p"/>
                  </m:rPr>
                  <w:rPr>
                    <w:rFonts w:ascii="Cambria Math" w:hAnsi="Cambria Math"/>
                    <w:szCs w:val="24"/>
                  </w:rPr>
                  <m:t>m</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θ</m:t>
            </m:r>
          </m:e>
          <m:sub>
            <m:r>
              <m:rPr>
                <m:sty m:val="p"/>
              </m:rPr>
              <w:rPr>
                <w:rFonts w:ascii="Cambria Math" w:hAnsi="Cambria Math"/>
                <w:szCs w:val="24"/>
              </w:rPr>
              <m:t>v</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v</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λ</m:t>
            </m:r>
          </m:e>
          <m:sub>
            <m:r>
              <m:rPr>
                <m:sty m:val="p"/>
              </m:rPr>
              <w:rPr>
                <w:rFonts w:ascii="Cambria Math" w:hAnsi="Cambria Math"/>
                <w:szCs w:val="24"/>
              </w:rPr>
              <m:t>hm</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m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μ</m:t>
            </m:r>
          </m:e>
          <m:sub>
            <m:r>
              <m:rPr>
                <m:sty m:val="p"/>
              </m:rPr>
              <w:rPr>
                <w:rFonts w:ascii="Cambria Math" w:hAnsi="Cambria Math"/>
                <w:szCs w:val="24"/>
              </w:rPr>
              <m:t>m</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m </m:t>
            </m:r>
          </m:sub>
        </m:sSub>
      </m:oMath>
      <w:r w:rsidR="00AE2607" w:rsidRPr="00C1299E">
        <w:rPr>
          <w:rFonts w:eastAsia="Times New Roman"/>
          <w:szCs w:val="24"/>
        </w:rPr>
        <w:t xml:space="preserve"> </w:t>
      </w:r>
    </w:p>
    <w:p w14:paraId="5C233F48" w14:textId="77777777" w:rsidR="00AE2607" w:rsidRPr="00C1299E" w:rsidRDefault="00F52C24" w:rsidP="002B6379">
      <w:pPr>
        <w:jc w:val="both"/>
        <w:rPr>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dE</m:t>
                </m:r>
              </m:e>
              <m:sub>
                <m:r>
                  <m:rPr>
                    <m:sty m:val="p"/>
                  </m:rPr>
                  <w:rPr>
                    <w:rFonts w:ascii="Cambria Math" w:hAnsi="Cambria Math"/>
                    <w:szCs w:val="24"/>
                  </w:rPr>
                  <m:t>m</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λ</m:t>
            </m:r>
          </m:e>
          <m:sub>
            <m:r>
              <m:rPr>
                <m:sty m:val="p"/>
              </m:rPr>
              <w:rPr>
                <w:rFonts w:ascii="Cambria Math" w:hAnsi="Cambria Math"/>
                <w:szCs w:val="24"/>
              </w:rPr>
              <m:t>hm</m:t>
            </m:r>
          </m:sub>
        </m:sSub>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σ</m:t>
            </m:r>
          </m:e>
          <m:sub>
            <m:r>
              <m:rPr>
                <m:sty m:val="p"/>
              </m:rPr>
              <w:rPr>
                <w:rFonts w:ascii="Cambria Math" w:hAnsi="Cambria Math"/>
                <w:szCs w:val="24"/>
              </w:rPr>
              <m:t>v</m:t>
            </m:r>
          </m:sub>
        </m:sSub>
        <m:sSub>
          <m:sSubPr>
            <m:ctrlPr>
              <w:rPr>
                <w:rFonts w:ascii="Cambria Math" w:hAnsi="Cambria Math"/>
                <w:szCs w:val="24"/>
              </w:rPr>
            </m:ctrlPr>
          </m:sSubPr>
          <m:e>
            <m:r>
              <m:rPr>
                <m:sty m:val="p"/>
              </m:rPr>
              <w:rPr>
                <w:rFonts w:ascii="Cambria Math" w:hAnsi="Cambria Math"/>
                <w:szCs w:val="24"/>
              </w:rPr>
              <m:t>*E</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m</m:t>
            </m:r>
          </m:sub>
        </m:sSub>
        <m:sSub>
          <m:sSubPr>
            <m:ctrlPr>
              <w:rPr>
                <w:rFonts w:ascii="Cambria Math" w:hAnsi="Cambria Math"/>
                <w:szCs w:val="24"/>
              </w:rPr>
            </m:ctrlPr>
          </m:sSubPr>
          <m:e>
            <m:r>
              <m:rPr>
                <m:sty m:val="p"/>
              </m:rPr>
              <w:rPr>
                <w:rFonts w:ascii="Cambria Math" w:hAnsi="Cambria Math"/>
                <w:szCs w:val="24"/>
              </w:rPr>
              <m:t>*E</m:t>
            </m:r>
          </m:e>
          <m:sub>
            <m:r>
              <m:rPr>
                <m:sty m:val="p"/>
              </m:rPr>
              <w:rPr>
                <w:rFonts w:ascii="Cambria Math" w:hAnsi="Cambria Math"/>
                <w:szCs w:val="24"/>
              </w:rPr>
              <m:t xml:space="preserve">m </m:t>
            </m:r>
          </m:sub>
        </m:sSub>
      </m:oMath>
      <w:r w:rsidR="00AE2607" w:rsidRPr="00C1299E">
        <w:rPr>
          <w:szCs w:val="24"/>
        </w:rPr>
        <w:t xml:space="preserve"> </w:t>
      </w:r>
    </w:p>
    <w:p w14:paraId="4F3F8AD1" w14:textId="77777777" w:rsidR="00AE2607" w:rsidRPr="00C1299E" w:rsidRDefault="00F52C24" w:rsidP="002B6379">
      <w:pPr>
        <w:jc w:val="both"/>
        <w:rPr>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m:t>
                </m:r>
              </m:e>
              <m:sub>
                <m:r>
                  <m:rPr>
                    <m:sty m:val="p"/>
                  </m:rPr>
                  <w:rPr>
                    <w:rFonts w:ascii="Cambria Math" w:hAnsi="Cambria Math"/>
                    <w:szCs w:val="24"/>
                  </w:rPr>
                  <m:t>m</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σ</m:t>
            </m:r>
          </m:e>
          <m:sub>
            <m:r>
              <m:rPr>
                <m:sty m:val="p"/>
              </m:rPr>
              <w:rPr>
                <w:rFonts w:ascii="Cambria Math" w:hAnsi="Cambria Math"/>
                <w:szCs w:val="24"/>
              </w:rPr>
              <m:t>v</m:t>
            </m:r>
          </m:sub>
        </m:sSub>
        <m:sSub>
          <m:sSubPr>
            <m:ctrlPr>
              <w:rPr>
                <w:rFonts w:ascii="Cambria Math" w:hAnsi="Cambria Math"/>
                <w:szCs w:val="24"/>
              </w:rPr>
            </m:ctrlPr>
          </m:sSubPr>
          <m:e>
            <m:r>
              <m:rPr>
                <m:sty m:val="p"/>
              </m:rPr>
              <w:rPr>
                <w:rFonts w:ascii="Cambria Math" w:hAnsi="Cambria Math"/>
                <w:szCs w:val="24"/>
              </w:rPr>
              <m:t>*E</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m</m:t>
            </m:r>
          </m:sub>
        </m:sSub>
        <m:sSub>
          <m:sSubPr>
            <m:ctrlPr>
              <w:rPr>
                <w:rFonts w:ascii="Cambria Math" w:hAnsi="Cambria Math"/>
                <w:szCs w:val="24"/>
              </w:rPr>
            </m:ctrlPr>
          </m:sSubPr>
          <m:e>
            <m:r>
              <m:rPr>
                <m:sty m:val="p"/>
              </m:rPr>
              <w:rPr>
                <w:rFonts w:ascii="Cambria Math" w:hAnsi="Cambria Math"/>
                <w:szCs w:val="24"/>
              </w:rPr>
              <m:t>*I</m:t>
            </m:r>
          </m:e>
          <m:sub>
            <m:r>
              <m:rPr>
                <m:sty m:val="p"/>
              </m:rPr>
              <w:rPr>
                <w:rFonts w:ascii="Cambria Math" w:hAnsi="Cambria Math"/>
                <w:szCs w:val="24"/>
              </w:rPr>
              <m:t xml:space="preserve">m </m:t>
            </m:r>
          </m:sub>
        </m:sSub>
      </m:oMath>
      <w:r w:rsidR="00AE2607" w:rsidRPr="00C1299E">
        <w:rPr>
          <w:szCs w:val="24"/>
        </w:rPr>
        <w:t xml:space="preserve"> </w:t>
      </w:r>
    </w:p>
    <w:p w14:paraId="7B2C175D" w14:textId="77777777" w:rsidR="00AE2607" w:rsidRDefault="00AE2607" w:rsidP="002B6379">
      <w:pPr>
        <w:jc w:val="both"/>
        <w:rPr>
          <w:rFonts w:eastAsia="Times New Roman"/>
          <w:sz w:val="28"/>
          <w:szCs w:val="28"/>
        </w:rPr>
      </w:pPr>
    </w:p>
    <w:p w14:paraId="48219E43" w14:textId="7E37061A" w:rsidR="007E1F9B" w:rsidRDefault="007E1F9B" w:rsidP="007E1F9B">
      <w:pPr>
        <w:jc w:val="both"/>
        <w:rPr>
          <w:rFonts w:eastAsia="Times New Roman"/>
          <w:sz w:val="28"/>
          <w:szCs w:val="28"/>
        </w:rPr>
      </w:pPr>
    </w:p>
    <w:p w14:paraId="20C3095F" w14:textId="77777777" w:rsidR="00AE2607" w:rsidRDefault="00AE2607" w:rsidP="007E1F9B">
      <w:pPr>
        <w:jc w:val="both"/>
        <w:rPr>
          <w:rFonts w:eastAsia="Times New Roman"/>
          <w:sz w:val="28"/>
          <w:szCs w:val="28"/>
        </w:rPr>
      </w:pPr>
    </w:p>
    <w:p w14:paraId="754B3429" w14:textId="77777777" w:rsidR="00AE2607" w:rsidRDefault="00AE2607" w:rsidP="007E1F9B">
      <w:pPr>
        <w:jc w:val="both"/>
        <w:rPr>
          <w:rFonts w:eastAsia="Times New Roman"/>
          <w:sz w:val="28"/>
          <w:szCs w:val="28"/>
        </w:rPr>
      </w:pPr>
    </w:p>
    <w:p w14:paraId="611D0101" w14:textId="77777777" w:rsidR="00AE2607" w:rsidRDefault="00AE2607" w:rsidP="007E1F9B">
      <w:pPr>
        <w:jc w:val="both"/>
        <w:rPr>
          <w:rFonts w:eastAsia="Times New Roman"/>
          <w:sz w:val="28"/>
          <w:szCs w:val="28"/>
        </w:rPr>
      </w:pPr>
    </w:p>
    <w:p w14:paraId="30BC63CC" w14:textId="77777777" w:rsidR="00AE2607" w:rsidRDefault="00AE2607" w:rsidP="007E1F9B">
      <w:pPr>
        <w:jc w:val="both"/>
        <w:rPr>
          <w:rFonts w:eastAsia="Times New Roman"/>
          <w:sz w:val="28"/>
          <w:szCs w:val="28"/>
        </w:rPr>
      </w:pPr>
    </w:p>
    <w:p w14:paraId="464D5A2F" w14:textId="77777777" w:rsidR="00AE2607" w:rsidRDefault="00AE2607" w:rsidP="007E1F9B">
      <w:pPr>
        <w:jc w:val="both"/>
        <w:rPr>
          <w:rFonts w:eastAsia="Times New Roman"/>
          <w:sz w:val="28"/>
          <w:szCs w:val="28"/>
        </w:rPr>
      </w:pPr>
    </w:p>
    <w:p w14:paraId="20898515" w14:textId="77777777" w:rsidR="00AE2607" w:rsidRDefault="00AE2607" w:rsidP="007E1F9B">
      <w:pPr>
        <w:jc w:val="both"/>
        <w:rPr>
          <w:rFonts w:eastAsia="Times New Roman"/>
          <w:sz w:val="28"/>
          <w:szCs w:val="28"/>
        </w:rPr>
      </w:pPr>
    </w:p>
    <w:p w14:paraId="56C33F75" w14:textId="77777777" w:rsidR="00AE2607" w:rsidRDefault="00AE2607" w:rsidP="007E1F9B">
      <w:pPr>
        <w:jc w:val="both"/>
        <w:rPr>
          <w:rFonts w:eastAsia="Times New Roman"/>
          <w:sz w:val="28"/>
          <w:szCs w:val="28"/>
        </w:rPr>
      </w:pPr>
    </w:p>
    <w:p w14:paraId="16284057" w14:textId="77777777" w:rsidR="00AE2607" w:rsidRDefault="00AE2607" w:rsidP="007E1F9B">
      <w:pPr>
        <w:jc w:val="both"/>
        <w:rPr>
          <w:rFonts w:eastAsia="Times New Roman"/>
          <w:sz w:val="28"/>
          <w:szCs w:val="28"/>
        </w:rPr>
        <w:sectPr w:rsidR="00AE2607" w:rsidSect="002B6379">
          <w:headerReference w:type="default" r:id="rId20"/>
          <w:footerReference w:type="default" r:id="rId21"/>
          <w:type w:val="continuous"/>
          <w:pgSz w:w="11906" w:h="16838"/>
          <w:pgMar w:top="1440" w:right="1080" w:bottom="1440" w:left="1080" w:header="708" w:footer="708" w:gutter="0"/>
          <w:cols w:space="708"/>
          <w:docGrid w:linePitch="360"/>
        </w:sectPr>
      </w:pPr>
    </w:p>
    <w:p w14:paraId="14704990" w14:textId="77777777" w:rsidR="007E1F9B" w:rsidRPr="004C2A45" w:rsidRDefault="007E1F9B" w:rsidP="007E1F9B">
      <w:pPr>
        <w:tabs>
          <w:tab w:val="left" w:pos="1537"/>
        </w:tabs>
        <w:rPr>
          <w:rFonts w:eastAsia="Times New Roman"/>
          <w:b/>
          <w:szCs w:val="24"/>
        </w:rPr>
      </w:pPr>
      <w:r w:rsidRPr="00ED3D33">
        <w:rPr>
          <w:b/>
          <w:szCs w:val="24"/>
        </w:rPr>
        <w:lastRenderedPageBreak/>
        <w:t>Table 2: Table of Parameters</w:t>
      </w:r>
      <w:r>
        <w:rPr>
          <w:b/>
          <w:szCs w:val="24"/>
        </w:rPr>
        <w:t xml:space="preserve"> and derived equations</w:t>
      </w:r>
      <w:r w:rsidRPr="004C2A45">
        <w:rPr>
          <w:rFonts w:eastAsia="Times New Roman"/>
          <w:b/>
          <w:szCs w:val="24"/>
        </w:rPr>
        <w:t xml:space="preserve"> used in the vector model  </w:t>
      </w:r>
    </w:p>
    <w:tbl>
      <w:tblPr>
        <w:tblW w:w="14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6492"/>
        <w:gridCol w:w="4998"/>
        <w:gridCol w:w="985"/>
        <w:gridCol w:w="922"/>
      </w:tblGrid>
      <w:tr w:rsidR="007E1F9B" w:rsidRPr="003A620E" w14:paraId="1D572846" w14:textId="77777777" w:rsidTr="00C1299E">
        <w:tc>
          <w:tcPr>
            <w:tcW w:w="1271" w:type="dxa"/>
            <w:shd w:val="clear" w:color="auto" w:fill="auto"/>
            <w:vAlign w:val="center"/>
          </w:tcPr>
          <w:p w14:paraId="32C2E870" w14:textId="77777777" w:rsidR="007E1F9B" w:rsidRPr="003A620E" w:rsidRDefault="007E1F9B" w:rsidP="007E1F9B">
            <w:pPr>
              <w:tabs>
                <w:tab w:val="left" w:pos="1537"/>
              </w:tabs>
              <w:spacing w:after="0" w:line="240" w:lineRule="auto"/>
              <w:jc w:val="center"/>
              <w:rPr>
                <w:szCs w:val="24"/>
              </w:rPr>
            </w:pPr>
            <w:r w:rsidRPr="003A620E">
              <w:rPr>
                <w:szCs w:val="24"/>
              </w:rPr>
              <w:t>Parameter</w:t>
            </w:r>
          </w:p>
        </w:tc>
        <w:tc>
          <w:tcPr>
            <w:tcW w:w="6492" w:type="dxa"/>
            <w:shd w:val="clear" w:color="auto" w:fill="auto"/>
            <w:vAlign w:val="center"/>
          </w:tcPr>
          <w:p w14:paraId="7A5BE355" w14:textId="77777777" w:rsidR="007E1F9B" w:rsidRPr="003A620E" w:rsidRDefault="007E1F9B" w:rsidP="007E1F9B">
            <w:pPr>
              <w:tabs>
                <w:tab w:val="left" w:pos="1537"/>
              </w:tabs>
              <w:spacing w:after="0" w:line="240" w:lineRule="auto"/>
              <w:jc w:val="center"/>
              <w:rPr>
                <w:szCs w:val="24"/>
              </w:rPr>
            </w:pPr>
            <w:r w:rsidRPr="003A620E">
              <w:rPr>
                <w:szCs w:val="24"/>
              </w:rPr>
              <w:t>Equation</w:t>
            </w:r>
          </w:p>
        </w:tc>
        <w:tc>
          <w:tcPr>
            <w:tcW w:w="4998" w:type="dxa"/>
            <w:shd w:val="clear" w:color="auto" w:fill="auto"/>
            <w:vAlign w:val="center"/>
          </w:tcPr>
          <w:p w14:paraId="322D1B22" w14:textId="77777777" w:rsidR="007E1F9B" w:rsidRPr="003A620E" w:rsidRDefault="007E1F9B" w:rsidP="007E1F9B">
            <w:pPr>
              <w:tabs>
                <w:tab w:val="left" w:pos="1537"/>
              </w:tabs>
              <w:spacing w:after="0" w:line="240" w:lineRule="auto"/>
              <w:jc w:val="center"/>
              <w:rPr>
                <w:szCs w:val="24"/>
              </w:rPr>
            </w:pPr>
            <w:r w:rsidRPr="003A620E">
              <w:rPr>
                <w:szCs w:val="24"/>
              </w:rPr>
              <w:t>Definition</w:t>
            </w:r>
          </w:p>
        </w:tc>
        <w:tc>
          <w:tcPr>
            <w:tcW w:w="985" w:type="dxa"/>
            <w:shd w:val="clear" w:color="auto" w:fill="auto"/>
            <w:vAlign w:val="center"/>
          </w:tcPr>
          <w:p w14:paraId="0776A685" w14:textId="77777777" w:rsidR="007E1F9B" w:rsidRPr="003A620E" w:rsidRDefault="007E1F9B" w:rsidP="007E1F9B">
            <w:pPr>
              <w:tabs>
                <w:tab w:val="left" w:pos="1537"/>
              </w:tabs>
              <w:spacing w:after="0" w:line="240" w:lineRule="auto"/>
              <w:jc w:val="center"/>
              <w:rPr>
                <w:szCs w:val="24"/>
              </w:rPr>
            </w:pPr>
            <w:r w:rsidRPr="003A620E">
              <w:rPr>
                <w:szCs w:val="24"/>
              </w:rPr>
              <w:t>Units</w:t>
            </w:r>
          </w:p>
        </w:tc>
        <w:tc>
          <w:tcPr>
            <w:tcW w:w="922" w:type="dxa"/>
            <w:shd w:val="clear" w:color="auto" w:fill="auto"/>
            <w:vAlign w:val="center"/>
          </w:tcPr>
          <w:p w14:paraId="6DDEF483" w14:textId="77777777" w:rsidR="007E1F9B" w:rsidRPr="003A620E" w:rsidRDefault="007E1F9B" w:rsidP="007E1F9B">
            <w:pPr>
              <w:tabs>
                <w:tab w:val="left" w:pos="1537"/>
              </w:tabs>
              <w:spacing w:after="0" w:line="240" w:lineRule="auto"/>
              <w:jc w:val="center"/>
              <w:rPr>
                <w:szCs w:val="24"/>
              </w:rPr>
            </w:pPr>
            <w:r w:rsidRPr="003A620E">
              <w:rPr>
                <w:szCs w:val="24"/>
              </w:rPr>
              <w:t>Source</w:t>
            </w:r>
          </w:p>
        </w:tc>
      </w:tr>
      <w:tr w:rsidR="007E1F9B" w:rsidRPr="003A620E" w14:paraId="53010EDC" w14:textId="77777777" w:rsidTr="00C1299E">
        <w:tc>
          <w:tcPr>
            <w:tcW w:w="1271" w:type="dxa"/>
            <w:shd w:val="clear" w:color="auto" w:fill="auto"/>
            <w:vAlign w:val="center"/>
          </w:tcPr>
          <w:p w14:paraId="33B0C173" w14:textId="77777777" w:rsidR="007E1F9B" w:rsidRPr="003A620E" w:rsidRDefault="00F52C24" w:rsidP="007E1F9B">
            <w:pPr>
              <w:tabs>
                <w:tab w:val="left" w:pos="1537"/>
              </w:tabs>
              <w:spacing w:after="0" w:line="240" w:lineRule="auto"/>
              <w:jc w:val="center"/>
              <w:rPr>
                <w:szCs w:val="24"/>
              </w:rPr>
            </w:pPr>
            <m:oMath>
              <m:sSub>
                <m:sSubPr>
                  <m:ctrlPr>
                    <w:rPr>
                      <w:rFonts w:ascii="Cambria Math" w:hAnsi="Cambria Math"/>
                      <w:szCs w:val="24"/>
                    </w:rPr>
                  </m:ctrlPr>
                </m:sSubPr>
                <m:e>
                  <m:r>
                    <m:rPr>
                      <m:sty m:val="p"/>
                    </m:rPr>
                    <w:rPr>
                      <w:rFonts w:ascii="Cambria Math" w:hAnsi="Cambria Math"/>
                      <w:szCs w:val="24"/>
                    </w:rPr>
                    <m:t>∅</m:t>
                  </m:r>
                </m:e>
                <m:sub>
                  <m:r>
                    <m:rPr>
                      <m:sty m:val="p"/>
                    </m:rPr>
                    <w:rPr>
                      <w:rFonts w:ascii="Cambria Math" w:hAnsi="Cambria Math"/>
                      <w:szCs w:val="24"/>
                    </w:rPr>
                    <m:t>v</m:t>
                  </m:r>
                </m:sub>
              </m:sSub>
            </m:oMath>
            <w:r w:rsidR="007E1F9B" w:rsidRPr="003A620E">
              <w:rPr>
                <w:szCs w:val="24"/>
              </w:rPr>
              <w:t>,EFD</w:t>
            </w:r>
          </w:p>
        </w:tc>
        <w:tc>
          <w:tcPr>
            <w:tcW w:w="6492" w:type="dxa"/>
            <w:shd w:val="clear" w:color="auto" w:fill="auto"/>
            <w:vAlign w:val="center"/>
          </w:tcPr>
          <w:p w14:paraId="1EFA1F36" w14:textId="77777777" w:rsidR="007E1F9B" w:rsidRPr="003A620E" w:rsidRDefault="007E1F9B" w:rsidP="007E1F9B">
            <w:pPr>
              <w:tabs>
                <w:tab w:val="left" w:pos="1537"/>
              </w:tabs>
              <w:spacing w:after="0" w:line="240" w:lineRule="auto"/>
              <w:jc w:val="center"/>
              <w:rPr>
                <w:szCs w:val="24"/>
              </w:rPr>
            </w:pPr>
            <m:oMathPara>
              <m:oMath>
                <m:r>
                  <w:rPr>
                    <w:rFonts w:ascii="Cambria Math" w:hAnsi="Cambria Math"/>
                    <w:szCs w:val="24"/>
                  </w:rPr>
                  <m:t xml:space="preserve">-0.153* </m:t>
                </m:r>
                <m:sSup>
                  <m:sSupPr>
                    <m:ctrlPr>
                      <w:rPr>
                        <w:rFonts w:ascii="Cambria Math" w:hAnsi="Cambria Math"/>
                        <w:i/>
                        <w:szCs w:val="24"/>
                      </w:rPr>
                    </m:ctrlPr>
                  </m:sSupPr>
                  <m:e>
                    <m:r>
                      <w:rPr>
                        <w:rFonts w:ascii="Cambria Math" w:hAnsi="Cambria Math"/>
                        <w:szCs w:val="24"/>
                      </w:rPr>
                      <m:t>Temp</m:t>
                    </m:r>
                  </m:e>
                  <m:sup>
                    <m:r>
                      <w:rPr>
                        <w:rFonts w:ascii="Cambria Math" w:hAnsi="Cambria Math"/>
                        <w:szCs w:val="24"/>
                      </w:rPr>
                      <m:t>2</m:t>
                    </m:r>
                  </m:sup>
                </m:sSup>
                <m:r>
                  <w:rPr>
                    <w:rFonts w:ascii="Cambria Math" w:hAnsi="Cambria Math"/>
                    <w:szCs w:val="24"/>
                  </w:rPr>
                  <m:t>+8.61*Temp - 97.7</m:t>
                </m:r>
              </m:oMath>
            </m:oMathPara>
          </w:p>
        </w:tc>
        <w:tc>
          <w:tcPr>
            <w:tcW w:w="4998" w:type="dxa"/>
            <w:shd w:val="clear" w:color="auto" w:fill="auto"/>
            <w:vAlign w:val="center"/>
          </w:tcPr>
          <w:p w14:paraId="7C8C2A90" w14:textId="77777777" w:rsidR="007E1F9B" w:rsidRPr="003A620E" w:rsidRDefault="007E1F9B" w:rsidP="007E1F9B">
            <w:pPr>
              <w:tabs>
                <w:tab w:val="left" w:pos="1537"/>
              </w:tabs>
              <w:spacing w:after="0" w:line="240" w:lineRule="auto"/>
              <w:jc w:val="center"/>
              <w:rPr>
                <w:szCs w:val="24"/>
              </w:rPr>
            </w:pPr>
            <w:r w:rsidRPr="003A620E">
              <w:rPr>
                <w:szCs w:val="24"/>
              </w:rPr>
              <w:t>Temperature dependent egg deposition rate, Number of eggs laid per female mosquito</w:t>
            </w:r>
          </w:p>
        </w:tc>
        <w:tc>
          <w:tcPr>
            <w:tcW w:w="985" w:type="dxa"/>
            <w:shd w:val="clear" w:color="auto" w:fill="auto"/>
            <w:vAlign w:val="center"/>
          </w:tcPr>
          <w:p w14:paraId="2849CF40" w14:textId="77777777" w:rsidR="007E1F9B" w:rsidRPr="003A620E" w:rsidRDefault="007E1F9B" w:rsidP="007E1F9B">
            <w:pPr>
              <w:tabs>
                <w:tab w:val="left" w:pos="1537"/>
              </w:tabs>
              <w:spacing w:after="0" w:line="240" w:lineRule="auto"/>
              <w:jc w:val="center"/>
              <w:rPr>
                <w:szCs w:val="24"/>
              </w:rPr>
            </w:pPr>
            <w:r w:rsidRPr="003A620E">
              <w:rPr>
                <w:szCs w:val="24"/>
              </w:rPr>
              <w:t>days</w:t>
            </w:r>
            <w:r w:rsidRPr="003A620E">
              <w:rPr>
                <w:szCs w:val="24"/>
                <w:vertAlign w:val="superscript"/>
              </w:rPr>
              <w:t>-1</w:t>
            </w:r>
          </w:p>
        </w:tc>
        <w:tc>
          <w:tcPr>
            <w:tcW w:w="922" w:type="dxa"/>
            <w:shd w:val="clear" w:color="auto" w:fill="auto"/>
            <w:vAlign w:val="center"/>
          </w:tcPr>
          <w:p w14:paraId="32A08452" w14:textId="2D293135"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sOgolkW2","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7C4A54E5" w14:textId="77777777" w:rsidTr="00C1299E">
        <w:tc>
          <w:tcPr>
            <w:tcW w:w="1271" w:type="dxa"/>
            <w:shd w:val="clear" w:color="auto" w:fill="auto"/>
            <w:vAlign w:val="center"/>
          </w:tcPr>
          <w:p w14:paraId="6AA3FC4A" w14:textId="77777777" w:rsidR="007E1F9B" w:rsidRPr="003A620E" w:rsidRDefault="007E1F9B" w:rsidP="007E1F9B">
            <w:pPr>
              <w:tabs>
                <w:tab w:val="left" w:pos="1537"/>
              </w:tabs>
              <w:spacing w:after="0" w:line="240" w:lineRule="auto"/>
              <w:jc w:val="center"/>
              <w:rPr>
                <w:szCs w:val="24"/>
              </w:rPr>
            </w:pPr>
            <m:oMathPara>
              <m:oMath>
                <m:r>
                  <m:rPr>
                    <m:sty m:val="p"/>
                  </m:rPr>
                  <w:rPr>
                    <w:rFonts w:ascii="Cambria Math" w:hAnsi="Cambria Math"/>
                    <w:szCs w:val="24"/>
                  </w:rPr>
                  <m:t>PEA</m:t>
                </m:r>
              </m:oMath>
            </m:oMathPara>
          </w:p>
        </w:tc>
        <w:tc>
          <w:tcPr>
            <w:tcW w:w="6492" w:type="dxa"/>
            <w:shd w:val="clear" w:color="auto" w:fill="auto"/>
            <w:vAlign w:val="center"/>
          </w:tcPr>
          <w:p w14:paraId="30129214" w14:textId="77777777" w:rsidR="007E1F9B" w:rsidRPr="003A620E" w:rsidRDefault="007E1F9B" w:rsidP="007E1F9B">
            <w:pPr>
              <w:tabs>
                <w:tab w:val="left" w:pos="1537"/>
              </w:tabs>
              <w:spacing w:after="0" w:line="240" w:lineRule="auto"/>
              <w:jc w:val="center"/>
              <w:rPr>
                <w:szCs w:val="24"/>
              </w:rPr>
            </w:pPr>
            <m:oMathPara>
              <m:oMath>
                <m:r>
                  <m:rPr>
                    <m:sty m:val="p"/>
                  </m:rPr>
                  <w:rPr>
                    <w:rFonts w:ascii="Cambria Math" w:hAnsi="Cambria Math"/>
                    <w:szCs w:val="24"/>
                  </w:rPr>
                  <m:t xml:space="preserve">-0.00924* </m:t>
                </m:r>
                <m:sSup>
                  <m:sSupPr>
                    <m:ctrlPr>
                      <w:rPr>
                        <w:rFonts w:ascii="Cambria Math" w:hAnsi="Cambria Math"/>
                        <w:i/>
                        <w:szCs w:val="24"/>
                      </w:rPr>
                    </m:ctrlPr>
                  </m:sSupPr>
                  <m:e>
                    <m:acc>
                      <m:accPr>
                        <m:ctrlPr>
                          <w:rPr>
                            <w:rFonts w:ascii="Cambria Math" w:hAnsi="Cambria Math"/>
                            <w:i/>
                            <w:szCs w:val="24"/>
                          </w:rPr>
                        </m:ctrlPr>
                      </m:accPr>
                      <m:e>
                        <m:r>
                          <w:rPr>
                            <w:rFonts w:ascii="Cambria Math" w:hAnsi="Cambria Math"/>
                            <w:szCs w:val="24"/>
                          </w:rPr>
                          <m:t>Temp</m:t>
                        </m:r>
                      </m:e>
                    </m:acc>
                  </m:e>
                  <m:sup>
                    <m:r>
                      <w:rPr>
                        <w:rFonts w:ascii="Cambria Math" w:hAnsi="Cambria Math"/>
                        <w:szCs w:val="24"/>
                      </w:rPr>
                      <m:t>2</m:t>
                    </m:r>
                  </m:sup>
                </m:sSup>
                <m:r>
                  <m:rPr>
                    <m:sty m:val="p"/>
                  </m:rPr>
                  <w:rPr>
                    <w:rFonts w:ascii="Cambria Math" w:hAnsi="Cambria Math"/>
                    <w:szCs w:val="24"/>
                  </w:rPr>
                  <m:t>+ 0.453*</m:t>
                </m:r>
                <m:acc>
                  <m:accPr>
                    <m:ctrlPr>
                      <w:rPr>
                        <w:rFonts w:ascii="Cambria Math" w:hAnsi="Cambria Math"/>
                        <w:i/>
                        <w:szCs w:val="24"/>
                      </w:rPr>
                    </m:ctrlPr>
                  </m:accPr>
                  <m:e>
                    <m:r>
                      <w:rPr>
                        <w:rFonts w:ascii="Cambria Math" w:hAnsi="Cambria Math"/>
                        <w:szCs w:val="24"/>
                      </w:rPr>
                      <m:t>Temp</m:t>
                    </m:r>
                    <m:r>
                      <m:rPr>
                        <m:sty m:val="p"/>
                      </m:rPr>
                      <w:rPr>
                        <w:rFonts w:ascii="Cambria Math" w:hAnsi="Cambria Math"/>
                        <w:szCs w:val="24"/>
                      </w:rPr>
                      <m:t xml:space="preserve"> </m:t>
                    </m:r>
                  </m:e>
                </m:acc>
                <m:r>
                  <m:rPr>
                    <m:sty m:val="p"/>
                  </m:rPr>
                  <w:rPr>
                    <w:rFonts w:ascii="Cambria Math" w:hAnsi="Cambria Math"/>
                    <w:szCs w:val="24"/>
                  </w:rPr>
                  <m:t>- 4.77</m:t>
                </m:r>
              </m:oMath>
            </m:oMathPara>
          </w:p>
        </w:tc>
        <w:tc>
          <w:tcPr>
            <w:tcW w:w="4998" w:type="dxa"/>
            <w:shd w:val="clear" w:color="auto" w:fill="auto"/>
            <w:vAlign w:val="center"/>
          </w:tcPr>
          <w:p w14:paraId="537AD205" w14:textId="77777777" w:rsidR="007E1F9B" w:rsidRPr="0037033E" w:rsidRDefault="007E1F9B" w:rsidP="007E1F9B">
            <w:pPr>
              <w:tabs>
                <w:tab w:val="left" w:pos="1537"/>
              </w:tabs>
              <w:spacing w:after="0" w:line="240" w:lineRule="auto"/>
              <w:jc w:val="center"/>
              <w:rPr>
                <w:szCs w:val="24"/>
              </w:rPr>
            </w:pPr>
            <w:r w:rsidRPr="0037033E">
              <w:rPr>
                <w:szCs w:val="24"/>
              </w:rPr>
              <w:t>Probability an egg survives to adult mosquito</w:t>
            </w:r>
          </w:p>
        </w:tc>
        <w:tc>
          <w:tcPr>
            <w:tcW w:w="985" w:type="dxa"/>
            <w:shd w:val="clear" w:color="auto" w:fill="auto"/>
            <w:vAlign w:val="center"/>
          </w:tcPr>
          <w:p w14:paraId="29D7F1F8" w14:textId="77777777" w:rsidR="007E1F9B" w:rsidRPr="0037033E" w:rsidRDefault="007E1F9B" w:rsidP="007E1F9B">
            <w:pPr>
              <w:tabs>
                <w:tab w:val="left" w:pos="1537"/>
              </w:tabs>
              <w:spacing w:after="0" w:line="240" w:lineRule="auto"/>
              <w:jc w:val="center"/>
              <w:rPr>
                <w:szCs w:val="24"/>
              </w:rPr>
            </w:pPr>
            <w:r w:rsidRPr="0037033E">
              <w:rPr>
                <w:szCs w:val="24"/>
              </w:rPr>
              <w:t>-</w:t>
            </w:r>
          </w:p>
        </w:tc>
        <w:tc>
          <w:tcPr>
            <w:tcW w:w="922" w:type="dxa"/>
            <w:shd w:val="clear" w:color="auto" w:fill="auto"/>
            <w:vAlign w:val="center"/>
          </w:tcPr>
          <w:p w14:paraId="5C6A7D00" w14:textId="57479E48"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UkDtYXYq","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183EFBD6" w14:textId="77777777" w:rsidTr="00C1299E">
        <w:tc>
          <w:tcPr>
            <w:tcW w:w="1271" w:type="dxa"/>
            <w:shd w:val="clear" w:color="auto" w:fill="auto"/>
            <w:vAlign w:val="center"/>
          </w:tcPr>
          <w:p w14:paraId="4AA7C49C" w14:textId="77777777" w:rsidR="007E1F9B" w:rsidRPr="003A620E" w:rsidRDefault="00F52C24" w:rsidP="007E1F9B">
            <w:pPr>
              <w:tabs>
                <w:tab w:val="left" w:pos="1537"/>
              </w:tabs>
              <w:spacing w:after="0" w:line="240" w:lineRule="auto"/>
              <w:jc w:val="center"/>
              <w:rPr>
                <w:szCs w:val="24"/>
              </w:rPr>
            </w:pPr>
            <m:oMathPara>
              <m:oMath>
                <m:sSub>
                  <m:sSubPr>
                    <m:ctrlPr>
                      <w:rPr>
                        <w:rFonts w:ascii="Cambria Math" w:eastAsia="Times New Roman" w:hAnsi="Cambria Math"/>
                        <w:szCs w:val="24"/>
                      </w:rPr>
                    </m:ctrlPr>
                  </m:sSubPr>
                  <m:e>
                    <m:r>
                      <m:rPr>
                        <m:sty m:val="p"/>
                      </m:rPr>
                      <w:rPr>
                        <w:rFonts w:ascii="Cambria Math" w:eastAsia="Times New Roman" w:hAnsi="Cambria Math"/>
                        <w:szCs w:val="24"/>
                      </w:rPr>
                      <m:t>τ</m:t>
                    </m:r>
                  </m:e>
                  <m:sub>
                    <m:r>
                      <m:rPr>
                        <m:sty m:val="p"/>
                      </m:rPr>
                      <w:rPr>
                        <w:rFonts w:ascii="Cambria Math" w:hAnsi="Cambria Math"/>
                        <w:szCs w:val="24"/>
                      </w:rPr>
                      <m:t>EA</m:t>
                    </m:r>
                  </m:sub>
                </m:sSub>
              </m:oMath>
            </m:oMathPara>
          </w:p>
        </w:tc>
        <w:tc>
          <w:tcPr>
            <w:tcW w:w="6492" w:type="dxa"/>
            <w:shd w:val="clear" w:color="auto" w:fill="auto"/>
            <w:vAlign w:val="center"/>
          </w:tcPr>
          <w:p w14:paraId="212E7269" w14:textId="77777777" w:rsidR="007E1F9B" w:rsidRPr="003A620E" w:rsidRDefault="00F52C24" w:rsidP="007E1F9B">
            <w:pPr>
              <w:tabs>
                <w:tab w:val="left" w:pos="1537"/>
              </w:tabs>
              <w:spacing w:after="0" w:line="240" w:lineRule="auto"/>
              <w:jc w:val="center"/>
              <w:rPr>
                <w:szCs w:val="24"/>
              </w:rPr>
            </w:pPr>
            <m:oMathPara>
              <m:oMath>
                <m:f>
                  <m:fPr>
                    <m:ctrlPr>
                      <w:rPr>
                        <w:rFonts w:ascii="Cambria Math" w:hAnsi="Cambria Math"/>
                        <w:szCs w:val="24"/>
                      </w:rPr>
                    </m:ctrlPr>
                  </m:fPr>
                  <m:num>
                    <m:r>
                      <m:rPr>
                        <m:sty m:val="p"/>
                      </m:rPr>
                      <w:rPr>
                        <w:rFonts w:ascii="Cambria Math" w:hAnsi="Cambria Math"/>
                        <w:szCs w:val="24"/>
                      </w:rPr>
                      <m:t>1</m:t>
                    </m:r>
                  </m:num>
                  <m:den>
                    <m:r>
                      <m:rPr>
                        <m:sty m:val="p"/>
                      </m:rPr>
                      <w:rPr>
                        <w:rFonts w:ascii="Cambria Math" w:hAnsi="Cambria Math"/>
                        <w:szCs w:val="24"/>
                      </w:rPr>
                      <m:t>(-0.00094*</m:t>
                    </m:r>
                    <m:sSup>
                      <m:sSupPr>
                        <m:ctrlPr>
                          <w:rPr>
                            <w:rFonts w:ascii="Cambria Math" w:hAnsi="Cambria Math"/>
                            <w:i/>
                            <w:szCs w:val="24"/>
                          </w:rPr>
                        </m:ctrlPr>
                      </m:sSupPr>
                      <m:e>
                        <m:acc>
                          <m:accPr>
                            <m:ctrlPr>
                              <w:rPr>
                                <w:rFonts w:ascii="Cambria Math" w:hAnsi="Cambria Math"/>
                                <w:i/>
                                <w:szCs w:val="24"/>
                              </w:rPr>
                            </m:ctrlPr>
                          </m:accPr>
                          <m:e>
                            <m:r>
                              <w:rPr>
                                <w:rFonts w:ascii="Cambria Math" w:hAnsi="Cambria Math"/>
                                <w:szCs w:val="24"/>
                              </w:rPr>
                              <m:t>Temp</m:t>
                            </m:r>
                          </m:e>
                        </m:acc>
                      </m:e>
                      <m:sup>
                        <m:r>
                          <w:rPr>
                            <w:rFonts w:ascii="Cambria Math" w:hAnsi="Cambria Math"/>
                            <w:szCs w:val="24"/>
                          </w:rPr>
                          <m:t>2</m:t>
                        </m:r>
                      </m:sup>
                    </m:sSup>
                    <m:r>
                      <m:rPr>
                        <m:sty m:val="p"/>
                      </m:rPr>
                      <w:rPr>
                        <w:rFonts w:ascii="Cambria Math" w:hAnsi="Cambria Math"/>
                        <w:szCs w:val="24"/>
                      </w:rPr>
                      <m:t xml:space="preserve"> + 0.049*</m:t>
                    </m:r>
                    <m:acc>
                      <m:accPr>
                        <m:ctrlPr>
                          <w:rPr>
                            <w:rFonts w:ascii="Cambria Math" w:hAnsi="Cambria Math"/>
                            <w:i/>
                            <w:szCs w:val="24"/>
                          </w:rPr>
                        </m:ctrlPr>
                      </m:accPr>
                      <m:e>
                        <m:r>
                          <w:rPr>
                            <w:rFonts w:ascii="Cambria Math" w:hAnsi="Cambria Math"/>
                            <w:szCs w:val="24"/>
                          </w:rPr>
                          <m:t>Temp</m:t>
                        </m:r>
                        <m:r>
                          <m:rPr>
                            <m:sty m:val="p"/>
                          </m:rPr>
                          <w:rPr>
                            <w:rFonts w:ascii="Cambria Math" w:hAnsi="Cambria Math"/>
                            <w:szCs w:val="24"/>
                          </w:rPr>
                          <m:t xml:space="preserve">  </m:t>
                        </m:r>
                      </m:e>
                    </m:acc>
                    <m:r>
                      <m:rPr>
                        <m:sty m:val="p"/>
                      </m:rPr>
                      <w:rPr>
                        <w:rFonts w:ascii="Cambria Math" w:hAnsi="Cambria Math"/>
                        <w:szCs w:val="24"/>
                      </w:rPr>
                      <m:t>-0.552)</m:t>
                    </m:r>
                  </m:den>
                </m:f>
              </m:oMath>
            </m:oMathPara>
          </w:p>
        </w:tc>
        <w:tc>
          <w:tcPr>
            <w:tcW w:w="4998" w:type="dxa"/>
            <w:shd w:val="clear" w:color="auto" w:fill="auto"/>
            <w:vAlign w:val="center"/>
          </w:tcPr>
          <w:p w14:paraId="0DE7E28A" w14:textId="77777777" w:rsidR="007E1F9B" w:rsidRPr="0037033E" w:rsidRDefault="007E1F9B" w:rsidP="007E1F9B">
            <w:pPr>
              <w:tabs>
                <w:tab w:val="left" w:pos="1537"/>
              </w:tabs>
              <w:spacing w:after="0" w:line="240" w:lineRule="auto"/>
              <w:jc w:val="center"/>
              <w:rPr>
                <w:szCs w:val="24"/>
              </w:rPr>
            </w:pPr>
            <w:r w:rsidRPr="0037033E">
              <w:rPr>
                <w:szCs w:val="24"/>
              </w:rPr>
              <w:t>Development time from egg to adult mosquito</w:t>
            </w:r>
          </w:p>
        </w:tc>
        <w:tc>
          <w:tcPr>
            <w:tcW w:w="985" w:type="dxa"/>
            <w:shd w:val="clear" w:color="auto" w:fill="auto"/>
            <w:vAlign w:val="center"/>
          </w:tcPr>
          <w:p w14:paraId="13EA8B0C"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27E506B4" w14:textId="4593BCD8"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rVmZRZ6w","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44CB0BE3" w14:textId="77777777" w:rsidTr="00C1299E">
        <w:tc>
          <w:tcPr>
            <w:tcW w:w="1271" w:type="dxa"/>
            <w:shd w:val="clear" w:color="auto" w:fill="auto"/>
            <w:vAlign w:val="center"/>
          </w:tcPr>
          <w:p w14:paraId="43500F6B" w14:textId="77777777" w:rsidR="007E1F9B" w:rsidRPr="003A620E" w:rsidRDefault="00F52C24" w:rsidP="007E1F9B">
            <w:pPr>
              <w:tabs>
                <w:tab w:val="left" w:pos="1537"/>
              </w:tabs>
              <w:spacing w:after="0" w:line="240" w:lineRule="auto"/>
              <w:jc w:val="center"/>
              <w:rPr>
                <w:szCs w:val="24"/>
              </w:rPr>
            </w:pPr>
            <m:oMathPara>
              <m:oMath>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l</m:t>
                    </m:r>
                  </m:sub>
                </m:sSub>
              </m:oMath>
            </m:oMathPara>
          </w:p>
        </w:tc>
        <w:tc>
          <w:tcPr>
            <w:tcW w:w="6492" w:type="dxa"/>
            <w:shd w:val="clear" w:color="auto" w:fill="auto"/>
            <w:vAlign w:val="center"/>
          </w:tcPr>
          <w:p w14:paraId="716C4B11" w14:textId="77777777" w:rsidR="007E1F9B" w:rsidRPr="003A620E" w:rsidRDefault="00F52C24" w:rsidP="007E1F9B">
            <w:pPr>
              <w:tabs>
                <w:tab w:val="left" w:pos="1537"/>
              </w:tabs>
              <w:spacing w:after="0" w:line="240" w:lineRule="auto"/>
              <w:jc w:val="center"/>
              <w:rPr>
                <w:szCs w:val="24"/>
              </w:rPr>
            </w:pPr>
            <m:oMathPara>
              <m:oMath>
                <m:f>
                  <m:fPr>
                    <m:ctrlPr>
                      <w:rPr>
                        <w:rFonts w:ascii="Cambria Math" w:hAnsi="Cambria Math"/>
                        <w:i/>
                        <w:szCs w:val="24"/>
                      </w:rPr>
                    </m:ctrlPr>
                  </m:fPr>
                  <m:num>
                    <m:r>
                      <w:rPr>
                        <w:rFonts w:ascii="Cambria Math" w:hAnsi="Cambria Math"/>
                        <w:szCs w:val="24"/>
                      </w:rPr>
                      <m:t>1</m:t>
                    </m:r>
                  </m:num>
                  <m:den>
                    <m:r>
                      <m:rPr>
                        <m:sty m:val="p"/>
                      </m:rPr>
                      <w:rPr>
                        <w:rFonts w:ascii="Cambria Math" w:hAnsi="Cambria Math"/>
                        <w:szCs w:val="24"/>
                      </w:rPr>
                      <m:t>(8.560 + 20.654*</m:t>
                    </m:r>
                    <m:sSup>
                      <m:sSupPr>
                        <m:ctrlPr>
                          <w:rPr>
                            <w:rFonts w:ascii="Cambria Math" w:hAnsi="Cambria Math"/>
                            <w:szCs w:val="24"/>
                          </w:rPr>
                        </m:ctrlPr>
                      </m:sSupPr>
                      <m:e>
                        <m:d>
                          <m:dPr>
                            <m:begChr m:val="["/>
                            <m:endChr m:val="]"/>
                            <m:ctrlPr>
                              <w:rPr>
                                <w:rFonts w:ascii="Cambria Math" w:hAnsi="Cambria Math"/>
                                <w:szCs w:val="24"/>
                              </w:rPr>
                            </m:ctrlPr>
                          </m:dPr>
                          <m:e>
                            <m:sSup>
                              <m:sSupPr>
                                <m:ctrlPr>
                                  <w:rPr>
                                    <w:rFonts w:ascii="Cambria Math" w:hAnsi="Cambria Math"/>
                                    <w:szCs w:val="24"/>
                                  </w:rPr>
                                </m:ctrlPr>
                              </m:sSupPr>
                              <m:e>
                                <m:r>
                                  <m:rPr>
                                    <m:sty m:val="p"/>
                                  </m:rPr>
                                  <w:rPr>
                                    <w:rFonts w:ascii="Cambria Math" w:hAnsi="Cambria Math"/>
                                    <w:szCs w:val="24"/>
                                  </w:rPr>
                                  <m:t xml:space="preserve">1 + </m:t>
                                </m:r>
                                <m:d>
                                  <m:dPr>
                                    <m:ctrlPr>
                                      <w:rPr>
                                        <w:rFonts w:ascii="Cambria Math" w:hAnsi="Cambria Math"/>
                                        <w:szCs w:val="24"/>
                                      </w:rPr>
                                    </m:ctrlPr>
                                  </m:dPr>
                                  <m:e>
                                    <m:f>
                                      <m:fPr>
                                        <m:ctrlPr>
                                          <w:rPr>
                                            <w:rFonts w:ascii="Cambria Math" w:hAnsi="Cambria Math"/>
                                            <w:szCs w:val="24"/>
                                          </w:rPr>
                                        </m:ctrlPr>
                                      </m:fPr>
                                      <m:num>
                                        <m:acc>
                                          <m:accPr>
                                            <m:ctrlPr>
                                              <w:rPr>
                                                <w:rFonts w:ascii="Cambria Math" w:hAnsi="Cambria Math"/>
                                                <w:i/>
                                                <w:szCs w:val="24"/>
                                              </w:rPr>
                                            </m:ctrlPr>
                                          </m:accPr>
                                          <m:e>
                                            <m:r>
                                              <w:rPr>
                                                <w:rFonts w:ascii="Cambria Math" w:hAnsi="Cambria Math"/>
                                                <w:szCs w:val="24"/>
                                              </w:rPr>
                                              <m:t>Temp</m:t>
                                            </m:r>
                                            <m:r>
                                              <m:rPr>
                                                <m:sty m:val="p"/>
                                              </m:rPr>
                                              <w:rPr>
                                                <w:rFonts w:ascii="Cambria Math" w:hAnsi="Cambria Math"/>
                                                <w:szCs w:val="24"/>
                                              </w:rPr>
                                              <m:t xml:space="preserve">  </m:t>
                                            </m:r>
                                          </m:e>
                                        </m:acc>
                                      </m:num>
                                      <m:den>
                                        <m:r>
                                          <m:rPr>
                                            <m:sty m:val="p"/>
                                          </m:rPr>
                                          <w:rPr>
                                            <w:rFonts w:ascii="Cambria Math" w:hAnsi="Cambria Math"/>
                                            <w:szCs w:val="24"/>
                                          </w:rPr>
                                          <m:t>19.759</m:t>
                                        </m:r>
                                      </m:den>
                                    </m:f>
                                  </m:e>
                                </m:d>
                              </m:e>
                              <m:sup>
                                <m:r>
                                  <m:rPr>
                                    <m:sty m:val="p"/>
                                  </m:rPr>
                                  <w:rPr>
                                    <w:rFonts w:ascii="Cambria Math" w:hAnsi="Cambria Math"/>
                                    <w:szCs w:val="24"/>
                                  </w:rPr>
                                  <m:t>6.827</m:t>
                                </m:r>
                              </m:sup>
                            </m:sSup>
                          </m:e>
                        </m:d>
                      </m:e>
                      <m:sup>
                        <m:r>
                          <m:rPr>
                            <m:sty m:val="p"/>
                          </m:rPr>
                          <w:rPr>
                            <w:rFonts w:ascii="Cambria Math" w:hAnsi="Cambria Math"/>
                            <w:szCs w:val="24"/>
                          </w:rPr>
                          <m:t>(-1)</m:t>
                        </m:r>
                      </m:sup>
                    </m:sSup>
                  </m:den>
                </m:f>
              </m:oMath>
            </m:oMathPara>
          </w:p>
        </w:tc>
        <w:tc>
          <w:tcPr>
            <w:tcW w:w="4998" w:type="dxa"/>
            <w:shd w:val="clear" w:color="auto" w:fill="auto"/>
            <w:vAlign w:val="center"/>
          </w:tcPr>
          <w:p w14:paraId="6288CB27" w14:textId="77777777" w:rsidR="007E1F9B" w:rsidRPr="0037033E" w:rsidRDefault="007E1F9B" w:rsidP="007E1F9B">
            <w:pPr>
              <w:tabs>
                <w:tab w:val="left" w:pos="1537"/>
              </w:tabs>
              <w:spacing w:after="0" w:line="240" w:lineRule="auto"/>
              <w:jc w:val="center"/>
              <w:rPr>
                <w:szCs w:val="24"/>
              </w:rPr>
            </w:pPr>
            <w:r w:rsidRPr="0037033E">
              <w:rPr>
                <w:szCs w:val="24"/>
              </w:rPr>
              <w:t>Temperature dependent natural mortality rate of immature vectors</w:t>
            </w:r>
          </w:p>
        </w:tc>
        <w:tc>
          <w:tcPr>
            <w:tcW w:w="985" w:type="dxa"/>
            <w:shd w:val="clear" w:color="auto" w:fill="auto"/>
            <w:vAlign w:val="center"/>
          </w:tcPr>
          <w:p w14:paraId="34E67A4D"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08EE9B5E" w14:textId="083D9138"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PwJcgjSz","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7705B58E" w14:textId="77777777" w:rsidTr="00C1299E">
        <w:tc>
          <w:tcPr>
            <w:tcW w:w="1271" w:type="dxa"/>
            <w:shd w:val="clear" w:color="auto" w:fill="auto"/>
            <w:vAlign w:val="center"/>
          </w:tcPr>
          <w:p w14:paraId="3C93D9C8" w14:textId="77777777" w:rsidR="007E1F9B" w:rsidRPr="003A620E" w:rsidRDefault="00F52C24" w:rsidP="007E1F9B">
            <w:pPr>
              <w:tabs>
                <w:tab w:val="left" w:pos="1537"/>
              </w:tabs>
              <w:spacing w:after="0" w:line="240" w:lineRule="auto"/>
              <w:jc w:val="center"/>
              <w:rPr>
                <w:szCs w:val="24"/>
              </w:rPr>
            </w:pPr>
            <m:oMathPara>
              <m:oMath>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m</m:t>
                    </m:r>
                  </m:sub>
                </m:sSub>
              </m:oMath>
            </m:oMathPara>
          </w:p>
        </w:tc>
        <w:tc>
          <w:tcPr>
            <w:tcW w:w="6492" w:type="dxa"/>
            <w:shd w:val="clear" w:color="auto" w:fill="auto"/>
            <w:vAlign w:val="center"/>
          </w:tcPr>
          <w:p w14:paraId="0F16B117" w14:textId="77777777" w:rsidR="007E1F9B" w:rsidRPr="003A620E" w:rsidRDefault="00F52C24" w:rsidP="007E1F9B">
            <w:pPr>
              <w:tabs>
                <w:tab w:val="left" w:pos="1537"/>
              </w:tabs>
              <w:spacing w:after="0" w:line="240" w:lineRule="auto"/>
              <w:jc w:val="center"/>
              <w:rPr>
                <w:szCs w:val="24"/>
              </w:rPr>
            </w:pPr>
            <m:oMathPara>
              <m:oMath>
                <m:d>
                  <m:dPr>
                    <m:ctrlPr>
                      <w:rPr>
                        <w:rFonts w:ascii="Cambria Math" w:hAnsi="Cambria Math"/>
                        <w:szCs w:val="24"/>
                      </w:rPr>
                    </m:ctrlPr>
                  </m:dPr>
                  <m:e>
                    <m:r>
                      <m:rPr>
                        <m:sty m:val="p"/>
                      </m:rPr>
                      <w:rPr>
                        <w:rFonts w:ascii="Cambria Math" w:hAnsi="Cambria Math"/>
                        <w:szCs w:val="24"/>
                      </w:rPr>
                      <m:t>-</m:t>
                    </m:r>
                    <m:func>
                      <m:funcPr>
                        <m:ctrlPr>
                          <w:rPr>
                            <w:rFonts w:ascii="Cambria Math" w:hAnsi="Cambria Math"/>
                            <w:szCs w:val="24"/>
                          </w:rPr>
                        </m:ctrlPr>
                      </m:funcPr>
                      <m:fName>
                        <m:r>
                          <m:rPr>
                            <m:sty m:val="p"/>
                          </m:rPr>
                          <w:rPr>
                            <w:rFonts w:ascii="Cambria Math" w:hAnsi="Cambria Math"/>
                            <w:szCs w:val="24"/>
                          </w:rPr>
                          <m:t>log</m:t>
                        </m:r>
                      </m:fName>
                      <m:e>
                        <m:r>
                          <w:rPr>
                            <w:rFonts w:ascii="Cambria Math" w:hAnsi="Cambria Math"/>
                            <w:szCs w:val="24"/>
                          </w:rPr>
                          <m:t xml:space="preserve"> </m:t>
                        </m:r>
                        <m:d>
                          <m:dPr>
                            <m:ctrlPr>
                              <w:rPr>
                                <w:rFonts w:ascii="Cambria Math" w:hAnsi="Cambria Math"/>
                                <w:i/>
                                <w:szCs w:val="24"/>
                              </w:rPr>
                            </m:ctrlPr>
                          </m:dPr>
                          <m:e>
                            <m:r>
                              <m:rPr>
                                <m:sty m:val="p"/>
                              </m:rPr>
                              <w:rPr>
                                <w:rFonts w:ascii="Cambria Math" w:hAnsi="Cambria Math"/>
                                <w:szCs w:val="24"/>
                              </w:rPr>
                              <m:t>-0.000828*</m:t>
                            </m:r>
                            <m:sSup>
                              <m:sSupPr>
                                <m:ctrlPr>
                                  <w:rPr>
                                    <w:rFonts w:ascii="Cambria Math" w:hAnsi="Cambria Math"/>
                                    <w:szCs w:val="24"/>
                                  </w:rPr>
                                </m:ctrlPr>
                              </m:sSupPr>
                              <m:e>
                                <m:r>
                                  <w:rPr>
                                    <w:rFonts w:ascii="Cambria Math" w:hAnsi="Cambria Math"/>
                                    <w:szCs w:val="24"/>
                                  </w:rPr>
                                  <m:t>Temp</m:t>
                                </m:r>
                              </m:e>
                              <m:sup>
                                <m:r>
                                  <m:rPr>
                                    <m:sty m:val="p"/>
                                  </m:rPr>
                                  <w:rPr>
                                    <w:rFonts w:ascii="Cambria Math" w:hAnsi="Cambria Math"/>
                                    <w:szCs w:val="24"/>
                                  </w:rPr>
                                  <m:t>2</m:t>
                                </m:r>
                              </m:sup>
                            </m:sSup>
                            <m:r>
                              <m:rPr>
                                <m:sty m:val="p"/>
                              </m:rPr>
                              <w:rPr>
                                <w:rFonts w:ascii="Cambria Math" w:hAnsi="Cambria Math"/>
                                <w:szCs w:val="24"/>
                              </w:rPr>
                              <m:t xml:space="preserve"> + 0.0367*</m:t>
                            </m:r>
                            <m:r>
                              <w:rPr>
                                <w:rFonts w:ascii="Cambria Math" w:hAnsi="Cambria Math"/>
                                <w:szCs w:val="24"/>
                              </w:rPr>
                              <m:t>Temp</m:t>
                            </m:r>
                            <m:r>
                              <m:rPr>
                                <m:sty m:val="p"/>
                              </m:rPr>
                              <w:rPr>
                                <w:rFonts w:ascii="Cambria Math" w:hAnsi="Cambria Math"/>
                                <w:szCs w:val="24"/>
                              </w:rPr>
                              <m:t xml:space="preserve">  + 0.522</m:t>
                            </m:r>
                          </m:e>
                        </m:d>
                      </m:e>
                    </m:func>
                  </m:e>
                </m:d>
              </m:oMath>
            </m:oMathPara>
          </w:p>
        </w:tc>
        <w:tc>
          <w:tcPr>
            <w:tcW w:w="4998" w:type="dxa"/>
            <w:shd w:val="clear" w:color="auto" w:fill="auto"/>
            <w:vAlign w:val="center"/>
          </w:tcPr>
          <w:p w14:paraId="74947441" w14:textId="77777777" w:rsidR="007E1F9B" w:rsidRPr="0037033E" w:rsidRDefault="007E1F9B" w:rsidP="007E1F9B">
            <w:pPr>
              <w:tabs>
                <w:tab w:val="left" w:pos="1537"/>
              </w:tabs>
              <w:spacing w:after="0" w:line="240" w:lineRule="auto"/>
              <w:jc w:val="center"/>
              <w:rPr>
                <w:szCs w:val="24"/>
              </w:rPr>
            </w:pPr>
            <w:r w:rsidRPr="0037033E">
              <w:rPr>
                <w:szCs w:val="24"/>
              </w:rPr>
              <w:t>Temperature dependent natural mortality rate of adult vectors</w:t>
            </w:r>
          </w:p>
        </w:tc>
        <w:tc>
          <w:tcPr>
            <w:tcW w:w="985" w:type="dxa"/>
            <w:shd w:val="clear" w:color="auto" w:fill="auto"/>
            <w:vAlign w:val="center"/>
          </w:tcPr>
          <w:p w14:paraId="7E3CC497"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7C4ED31B" w14:textId="337CCF35"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hR1z9QP3","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792B9310" w14:textId="77777777" w:rsidTr="00C1299E">
        <w:tc>
          <w:tcPr>
            <w:tcW w:w="1271" w:type="dxa"/>
            <w:shd w:val="clear" w:color="auto" w:fill="auto"/>
            <w:vAlign w:val="center"/>
          </w:tcPr>
          <w:p w14:paraId="31130771" w14:textId="77777777" w:rsidR="007E1F9B" w:rsidRPr="003A620E" w:rsidRDefault="00F52C24" w:rsidP="007E1F9B">
            <w:pPr>
              <w:tabs>
                <w:tab w:val="left" w:pos="1537"/>
              </w:tabs>
              <w:spacing w:after="0" w:line="240" w:lineRule="auto"/>
              <w:jc w:val="center"/>
              <w:rPr>
                <w:szCs w:val="24"/>
              </w:rPr>
            </w:pPr>
            <m:oMathPara>
              <m:oMath>
                <m:sSub>
                  <m:sSubPr>
                    <m:ctrlPr>
                      <w:rPr>
                        <w:rFonts w:ascii="Cambria Math" w:hAnsi="Cambria Math"/>
                        <w:szCs w:val="24"/>
                      </w:rPr>
                    </m:ctrlPr>
                  </m:sSubPr>
                  <m:e>
                    <m:r>
                      <m:rPr>
                        <m:sty m:val="p"/>
                      </m:rPr>
                      <w:rPr>
                        <w:rFonts w:ascii="Cambria Math" w:hAnsi="Cambria Math"/>
                        <w:szCs w:val="24"/>
                      </w:rPr>
                      <m:t>σ</m:t>
                    </m:r>
                  </m:e>
                  <m:sub>
                    <m:r>
                      <m:rPr>
                        <m:sty m:val="p"/>
                      </m:rPr>
                      <w:rPr>
                        <w:rFonts w:ascii="Cambria Math" w:hAnsi="Cambria Math"/>
                        <w:szCs w:val="24"/>
                      </w:rPr>
                      <m:t>v</m:t>
                    </m:r>
                  </m:sub>
                </m:sSub>
              </m:oMath>
            </m:oMathPara>
          </w:p>
        </w:tc>
        <w:tc>
          <w:tcPr>
            <w:tcW w:w="6492" w:type="dxa"/>
            <w:shd w:val="clear" w:color="auto" w:fill="auto"/>
            <w:vAlign w:val="center"/>
          </w:tcPr>
          <w:p w14:paraId="42114175" w14:textId="77777777" w:rsidR="007E1F9B" w:rsidRPr="003A620E" w:rsidRDefault="007E1F9B" w:rsidP="007E1F9B">
            <w:pPr>
              <w:tabs>
                <w:tab w:val="left" w:pos="1537"/>
              </w:tabs>
              <w:spacing w:after="0" w:line="240" w:lineRule="auto"/>
              <w:jc w:val="center"/>
              <w:rPr>
                <w:szCs w:val="24"/>
              </w:rPr>
            </w:pPr>
            <m:oMathPara>
              <m:oMath>
                <m:r>
                  <m:rPr>
                    <m:sty m:val="p"/>
                  </m:rPr>
                  <w:rPr>
                    <w:rFonts w:ascii="Cambria Math" w:hAnsi="Cambria Math"/>
                    <w:szCs w:val="24"/>
                  </w:rPr>
                  <m:t>-0.00083*</m:t>
                </m:r>
                <m:sSup>
                  <m:sSupPr>
                    <m:ctrlPr>
                      <w:rPr>
                        <w:rFonts w:ascii="Cambria Math" w:hAnsi="Cambria Math"/>
                        <w:szCs w:val="24"/>
                      </w:rPr>
                    </m:ctrlPr>
                  </m:sSupPr>
                  <m:e>
                    <m:r>
                      <w:rPr>
                        <w:rFonts w:ascii="Cambria Math" w:hAnsi="Cambria Math"/>
                        <w:szCs w:val="24"/>
                      </w:rPr>
                      <m:t>Temp</m:t>
                    </m:r>
                  </m:e>
                  <m:sup>
                    <m:r>
                      <m:rPr>
                        <m:sty m:val="p"/>
                      </m:rPr>
                      <w:rPr>
                        <w:rFonts w:ascii="Cambria Math" w:hAnsi="Cambria Math"/>
                        <w:szCs w:val="24"/>
                      </w:rPr>
                      <m:t>2</m:t>
                    </m:r>
                  </m:sup>
                </m:sSup>
                <m:r>
                  <m:rPr>
                    <m:sty m:val="p"/>
                  </m:rPr>
                  <w:rPr>
                    <w:rFonts w:ascii="Cambria Math" w:hAnsi="Cambria Math"/>
                    <w:szCs w:val="24"/>
                  </w:rPr>
                  <m:t xml:space="preserve"> + 0.044*</m:t>
                </m:r>
                <m:r>
                  <w:rPr>
                    <w:rFonts w:ascii="Cambria Math" w:hAnsi="Cambria Math"/>
                    <w:szCs w:val="24"/>
                  </w:rPr>
                  <m:t>Temp</m:t>
                </m:r>
                <m:r>
                  <m:rPr>
                    <m:sty m:val="p"/>
                  </m:rPr>
                  <w:rPr>
                    <w:rFonts w:ascii="Cambria Math" w:hAnsi="Cambria Math"/>
                    <w:szCs w:val="24"/>
                  </w:rPr>
                  <m:t xml:space="preserve">  - 0.487</m:t>
                </m:r>
              </m:oMath>
            </m:oMathPara>
          </w:p>
        </w:tc>
        <w:tc>
          <w:tcPr>
            <w:tcW w:w="4998" w:type="dxa"/>
            <w:shd w:val="clear" w:color="auto" w:fill="auto"/>
            <w:vAlign w:val="center"/>
          </w:tcPr>
          <w:p w14:paraId="2B090351" w14:textId="77777777" w:rsidR="007E1F9B" w:rsidRPr="003A620E" w:rsidRDefault="007E1F9B" w:rsidP="007E1F9B">
            <w:pPr>
              <w:tabs>
                <w:tab w:val="left" w:pos="1537"/>
              </w:tabs>
              <w:spacing w:after="0" w:line="240" w:lineRule="auto"/>
              <w:jc w:val="center"/>
              <w:rPr>
                <w:szCs w:val="24"/>
              </w:rPr>
            </w:pPr>
            <w:r w:rsidRPr="0037033E">
              <w:rPr>
                <w:szCs w:val="24"/>
              </w:rPr>
              <w:t xml:space="preserve">Temperature dependent progression rate </w:t>
            </w:r>
            <w:r w:rsidRPr="003A620E">
              <w:rPr>
                <w:szCs w:val="24"/>
              </w:rPr>
              <w:t>of exposed vectors</w:t>
            </w:r>
          </w:p>
        </w:tc>
        <w:tc>
          <w:tcPr>
            <w:tcW w:w="985" w:type="dxa"/>
            <w:shd w:val="clear" w:color="auto" w:fill="auto"/>
            <w:vAlign w:val="center"/>
          </w:tcPr>
          <w:p w14:paraId="13D0FDCA"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53A4ED2C" w14:textId="420162A4"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1DTNJ5jm","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086B77CA" w14:textId="77777777" w:rsidTr="00C1299E">
        <w:tc>
          <w:tcPr>
            <w:tcW w:w="1271" w:type="dxa"/>
            <w:shd w:val="clear" w:color="auto" w:fill="auto"/>
            <w:vAlign w:val="center"/>
          </w:tcPr>
          <w:p w14:paraId="17B5C41A" w14:textId="77777777" w:rsidR="007E1F9B" w:rsidRPr="0037033E" w:rsidRDefault="007E1F9B" w:rsidP="007E1F9B">
            <w:pPr>
              <w:tabs>
                <w:tab w:val="left" w:pos="1537"/>
              </w:tabs>
              <w:spacing w:after="0" w:line="240" w:lineRule="auto"/>
              <w:jc w:val="center"/>
              <w:rPr>
                <w:szCs w:val="24"/>
              </w:rPr>
            </w:pPr>
            <m:oMathPara>
              <m:oMath>
                <m:r>
                  <m:rPr>
                    <m:sty m:val="p"/>
                  </m:rPr>
                  <w:rPr>
                    <w:rFonts w:ascii="Cambria Math" w:hAnsi="Cambria Math"/>
                    <w:szCs w:val="24"/>
                  </w:rPr>
                  <m:t>BT</m:t>
                </m:r>
              </m:oMath>
            </m:oMathPara>
          </w:p>
        </w:tc>
        <w:tc>
          <w:tcPr>
            <w:tcW w:w="6492" w:type="dxa"/>
            <w:shd w:val="clear" w:color="auto" w:fill="auto"/>
            <w:vAlign w:val="center"/>
          </w:tcPr>
          <w:p w14:paraId="3330D384" w14:textId="77777777" w:rsidR="007E1F9B" w:rsidRPr="003A620E" w:rsidRDefault="00F52C24" w:rsidP="007E1F9B">
            <w:pPr>
              <w:tabs>
                <w:tab w:val="left" w:pos="1537"/>
              </w:tabs>
              <w:spacing w:after="0" w:line="240" w:lineRule="auto"/>
              <w:jc w:val="center"/>
              <w:rPr>
                <w:szCs w:val="24"/>
              </w:rPr>
            </w:pPr>
            <m:oMathPara>
              <m:oMath>
                <m:f>
                  <m:fPr>
                    <m:ctrlPr>
                      <w:rPr>
                        <w:rFonts w:ascii="Cambria Math" w:hAnsi="Cambria Math"/>
                        <w:szCs w:val="24"/>
                      </w:rPr>
                    </m:ctrlPr>
                  </m:fPr>
                  <m:num>
                    <m:r>
                      <m:rPr>
                        <m:sty m:val="p"/>
                      </m:rPr>
                      <w:rPr>
                        <w:rFonts w:ascii="Cambria Math" w:hAnsi="Cambria Math"/>
                        <w:szCs w:val="24"/>
                      </w:rPr>
                      <m:t>EFD</m:t>
                    </m:r>
                  </m:num>
                  <m:den>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m</m:t>
                        </m:r>
                      </m:sub>
                    </m:sSub>
                  </m:den>
                </m:f>
              </m:oMath>
            </m:oMathPara>
          </w:p>
        </w:tc>
        <w:tc>
          <w:tcPr>
            <w:tcW w:w="4998" w:type="dxa"/>
            <w:shd w:val="clear" w:color="auto" w:fill="auto"/>
            <w:vAlign w:val="center"/>
          </w:tcPr>
          <w:p w14:paraId="732F4006" w14:textId="77777777" w:rsidR="007E1F9B" w:rsidRPr="003A620E" w:rsidRDefault="007E1F9B" w:rsidP="007E1F9B">
            <w:pPr>
              <w:tabs>
                <w:tab w:val="left" w:pos="1537"/>
              </w:tabs>
              <w:spacing w:after="0" w:line="240" w:lineRule="auto"/>
              <w:jc w:val="center"/>
              <w:rPr>
                <w:szCs w:val="24"/>
              </w:rPr>
            </w:pPr>
            <w:r w:rsidRPr="003A620E">
              <w:rPr>
                <w:szCs w:val="24"/>
              </w:rPr>
              <w:t>Lifetime number of eggs laid</w:t>
            </w:r>
          </w:p>
        </w:tc>
        <w:tc>
          <w:tcPr>
            <w:tcW w:w="985" w:type="dxa"/>
            <w:shd w:val="clear" w:color="auto" w:fill="auto"/>
            <w:vAlign w:val="center"/>
          </w:tcPr>
          <w:p w14:paraId="76B8148C" w14:textId="77777777" w:rsidR="007E1F9B" w:rsidRPr="0037033E" w:rsidRDefault="007E1F9B" w:rsidP="007E1F9B">
            <w:pPr>
              <w:tabs>
                <w:tab w:val="left" w:pos="1537"/>
              </w:tabs>
              <w:spacing w:after="0" w:line="240" w:lineRule="auto"/>
              <w:jc w:val="center"/>
              <w:rPr>
                <w:szCs w:val="24"/>
              </w:rPr>
            </w:pPr>
            <w:r w:rsidRPr="0037033E">
              <w:rPr>
                <w:szCs w:val="24"/>
              </w:rPr>
              <w:t>-</w:t>
            </w:r>
          </w:p>
        </w:tc>
        <w:tc>
          <w:tcPr>
            <w:tcW w:w="922" w:type="dxa"/>
            <w:shd w:val="clear" w:color="auto" w:fill="auto"/>
            <w:vAlign w:val="center"/>
          </w:tcPr>
          <w:p w14:paraId="0EF92E22" w14:textId="15F9BA72"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QSV5tlk7","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4E166140" w14:textId="77777777" w:rsidTr="00C1299E">
        <w:tc>
          <w:tcPr>
            <w:tcW w:w="1271" w:type="dxa"/>
            <w:shd w:val="clear" w:color="auto" w:fill="auto"/>
            <w:vAlign w:val="center"/>
          </w:tcPr>
          <w:p w14:paraId="1DDF4505" w14:textId="77777777" w:rsidR="007E1F9B" w:rsidRPr="003A620E" w:rsidRDefault="00F52C24" w:rsidP="007E1F9B">
            <w:pPr>
              <w:tabs>
                <w:tab w:val="left" w:pos="1537"/>
              </w:tabs>
              <w:spacing w:after="0" w:line="240" w:lineRule="auto"/>
              <w:jc w:val="center"/>
              <w:rPr>
                <w:szCs w:val="24"/>
              </w:rPr>
            </w:pPr>
            <m:oMathPara>
              <m:oMath>
                <m:sSub>
                  <m:sSubPr>
                    <m:ctrlPr>
                      <w:rPr>
                        <w:rFonts w:ascii="Cambria Math" w:hAnsi="Cambria Math"/>
                        <w:szCs w:val="24"/>
                      </w:rPr>
                    </m:ctrlPr>
                  </m:sSubPr>
                  <m:e>
                    <m:r>
                      <m:rPr>
                        <m:sty m:val="p"/>
                      </m:rPr>
                      <w:rPr>
                        <w:rFonts w:ascii="Cambria Math" w:hAnsi="Cambria Math"/>
                        <w:szCs w:val="24"/>
                      </w:rPr>
                      <m:t>θ</m:t>
                    </m:r>
                  </m:e>
                  <m:sub>
                    <m:r>
                      <m:rPr>
                        <m:sty m:val="p"/>
                      </m:rPr>
                      <w:rPr>
                        <w:rFonts w:ascii="Cambria Math" w:hAnsi="Cambria Math"/>
                        <w:szCs w:val="24"/>
                      </w:rPr>
                      <m:t>v</m:t>
                    </m:r>
                  </m:sub>
                </m:sSub>
              </m:oMath>
            </m:oMathPara>
          </w:p>
        </w:tc>
        <w:tc>
          <w:tcPr>
            <w:tcW w:w="6492" w:type="dxa"/>
            <w:shd w:val="clear" w:color="auto" w:fill="auto"/>
            <w:vAlign w:val="center"/>
          </w:tcPr>
          <w:p w14:paraId="196792FB" w14:textId="77777777" w:rsidR="007E1F9B" w:rsidRPr="003A620E" w:rsidRDefault="00F52C24" w:rsidP="007E1F9B">
            <w:pPr>
              <w:tabs>
                <w:tab w:val="left" w:pos="1537"/>
              </w:tabs>
              <w:spacing w:after="0" w:line="240" w:lineRule="auto"/>
              <w:jc w:val="center"/>
              <w:rPr>
                <w:szCs w:val="24"/>
              </w:rPr>
            </w:pPr>
            <m:oMathPara>
              <m:oMath>
                <m:f>
                  <m:fPr>
                    <m:ctrlPr>
                      <w:rPr>
                        <w:rFonts w:ascii="Cambria Math" w:hAnsi="Cambria Math"/>
                        <w:szCs w:val="24"/>
                      </w:rPr>
                    </m:ctrlPr>
                  </m:fPr>
                  <m:num>
                    <m:r>
                      <m:rPr>
                        <m:sty m:val="p"/>
                      </m:rPr>
                      <w:rPr>
                        <w:rFonts w:ascii="Cambria Math" w:hAnsi="Cambria Math"/>
                        <w:szCs w:val="24"/>
                      </w:rPr>
                      <m:t>BT*PEA</m:t>
                    </m:r>
                  </m:num>
                  <m:den>
                    <m:sSub>
                      <m:sSubPr>
                        <m:ctrlPr>
                          <w:rPr>
                            <w:rFonts w:ascii="Cambria Math" w:eastAsia="Times New Roman" w:hAnsi="Cambria Math"/>
                            <w:szCs w:val="24"/>
                          </w:rPr>
                        </m:ctrlPr>
                      </m:sSubPr>
                      <m:e>
                        <m:r>
                          <m:rPr>
                            <m:sty m:val="p"/>
                          </m:rPr>
                          <w:rPr>
                            <w:rFonts w:ascii="Cambria Math" w:eastAsia="Times New Roman" w:hAnsi="Cambria Math"/>
                            <w:szCs w:val="24"/>
                          </w:rPr>
                          <m:t>τ</m:t>
                        </m:r>
                      </m:e>
                      <m:sub>
                        <m:r>
                          <m:rPr>
                            <m:sty m:val="p"/>
                          </m:rPr>
                          <w:rPr>
                            <w:rFonts w:ascii="Cambria Math" w:hAnsi="Cambria Math"/>
                            <w:szCs w:val="24"/>
                          </w:rPr>
                          <m:t>EA</m:t>
                        </m:r>
                      </m:sub>
                    </m:sSub>
                  </m:den>
                </m:f>
              </m:oMath>
            </m:oMathPara>
          </w:p>
        </w:tc>
        <w:tc>
          <w:tcPr>
            <w:tcW w:w="4998" w:type="dxa"/>
            <w:shd w:val="clear" w:color="auto" w:fill="auto"/>
            <w:vAlign w:val="center"/>
          </w:tcPr>
          <w:p w14:paraId="357E6992" w14:textId="77777777" w:rsidR="007E1F9B" w:rsidRPr="003A620E" w:rsidRDefault="007E1F9B" w:rsidP="007E1F9B">
            <w:pPr>
              <w:tabs>
                <w:tab w:val="left" w:pos="1537"/>
              </w:tabs>
              <w:spacing w:after="0" w:line="240" w:lineRule="auto"/>
              <w:jc w:val="center"/>
              <w:rPr>
                <w:szCs w:val="24"/>
              </w:rPr>
            </w:pPr>
            <w:r w:rsidRPr="003A620E">
              <w:rPr>
                <w:szCs w:val="24"/>
              </w:rPr>
              <w:t>Temperature dependent maturation rate from eggs to adult mosquito</w:t>
            </w:r>
          </w:p>
        </w:tc>
        <w:tc>
          <w:tcPr>
            <w:tcW w:w="985" w:type="dxa"/>
            <w:shd w:val="clear" w:color="auto" w:fill="auto"/>
            <w:vAlign w:val="center"/>
          </w:tcPr>
          <w:p w14:paraId="4DA4DD54"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48CBD0CF" w14:textId="74BD8761"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JYbB0S9K","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1AF8027B" w14:textId="77777777" w:rsidTr="007E1F9B">
        <w:tc>
          <w:tcPr>
            <w:tcW w:w="1271" w:type="dxa"/>
            <w:shd w:val="clear" w:color="auto" w:fill="auto"/>
            <w:vAlign w:val="center"/>
          </w:tcPr>
          <w:p w14:paraId="4B9DBC1A" w14:textId="77777777" w:rsidR="007E1F9B" w:rsidRPr="0037033E" w:rsidRDefault="007E1F9B" w:rsidP="007E1F9B">
            <w:pPr>
              <w:tabs>
                <w:tab w:val="left" w:pos="1537"/>
              </w:tabs>
              <w:spacing w:after="0" w:line="240" w:lineRule="auto"/>
              <w:jc w:val="center"/>
              <w:rPr>
                <w:szCs w:val="24"/>
              </w:rPr>
            </w:pPr>
            <m:oMathPara>
              <m:oMath>
                <m:r>
                  <m:rPr>
                    <m:sty m:val="p"/>
                  </m:rPr>
                  <w:rPr>
                    <w:rFonts w:ascii="Cambria Math" w:hAnsi="Cambria Math"/>
                    <w:szCs w:val="24"/>
                  </w:rPr>
                  <m:t>Kv</m:t>
                </m:r>
              </m:oMath>
            </m:oMathPara>
          </w:p>
        </w:tc>
        <w:tc>
          <w:tcPr>
            <w:tcW w:w="11490" w:type="dxa"/>
            <w:gridSpan w:val="2"/>
            <w:shd w:val="clear" w:color="auto" w:fill="auto"/>
            <w:vAlign w:val="center"/>
          </w:tcPr>
          <w:p w14:paraId="7D4601D7" w14:textId="77777777" w:rsidR="007E1F9B" w:rsidRPr="0037033E" w:rsidRDefault="007E1F9B" w:rsidP="007E1F9B">
            <w:pPr>
              <w:tabs>
                <w:tab w:val="left" w:pos="1537"/>
              </w:tabs>
              <w:spacing w:after="0" w:line="240" w:lineRule="auto"/>
              <w:jc w:val="center"/>
              <w:rPr>
                <w:szCs w:val="24"/>
              </w:rPr>
            </w:pPr>
            <w:r w:rsidRPr="0037033E">
              <w:rPr>
                <w:szCs w:val="24"/>
              </w:rPr>
              <w:t>Environmental carrying capacity of immature mosquitoes (larva + pupa)</w:t>
            </w:r>
          </w:p>
        </w:tc>
        <w:tc>
          <w:tcPr>
            <w:tcW w:w="985" w:type="dxa"/>
            <w:shd w:val="clear" w:color="auto" w:fill="auto"/>
            <w:vAlign w:val="center"/>
          </w:tcPr>
          <w:p w14:paraId="01C1917E" w14:textId="77777777" w:rsidR="007E1F9B" w:rsidRPr="0037033E" w:rsidRDefault="007E1F9B" w:rsidP="007E1F9B">
            <w:pPr>
              <w:tabs>
                <w:tab w:val="left" w:pos="1537"/>
              </w:tabs>
              <w:spacing w:after="0" w:line="240" w:lineRule="auto"/>
              <w:jc w:val="center"/>
              <w:rPr>
                <w:szCs w:val="24"/>
              </w:rPr>
            </w:pPr>
            <w:r w:rsidRPr="0037033E">
              <w:rPr>
                <w:szCs w:val="24"/>
              </w:rPr>
              <w:t>ha</w:t>
            </w:r>
            <w:r w:rsidRPr="0037033E">
              <w:rPr>
                <w:szCs w:val="24"/>
                <w:vertAlign w:val="superscript"/>
              </w:rPr>
              <w:t>-1</w:t>
            </w:r>
          </w:p>
        </w:tc>
        <w:tc>
          <w:tcPr>
            <w:tcW w:w="922" w:type="dxa"/>
            <w:shd w:val="clear" w:color="auto" w:fill="auto"/>
            <w:vAlign w:val="center"/>
          </w:tcPr>
          <w:p w14:paraId="79F72FF7" w14:textId="46D44A89" w:rsidR="007E1F9B" w:rsidRPr="003A620E" w:rsidRDefault="007E1F9B" w:rsidP="007E1F9B">
            <w:pPr>
              <w:tabs>
                <w:tab w:val="left" w:pos="1537"/>
              </w:tabs>
              <w:spacing w:after="0" w:line="240" w:lineRule="auto"/>
              <w:jc w:val="center"/>
              <w:rPr>
                <w:szCs w:val="24"/>
              </w:rPr>
            </w:pPr>
            <w:r w:rsidRPr="003A620E">
              <w:rPr>
                <w:szCs w:val="24"/>
              </w:rPr>
              <w:fldChar w:fldCharType="begin"/>
            </w:r>
            <w:r w:rsidR="006F1B7D">
              <w:rPr>
                <w:szCs w:val="24"/>
              </w:rPr>
              <w:instrText xml:space="preserve"> ADDIN ZOTERO_ITEM CSL_CITATION {"citationID":"bop02Iu7","properties":{"formattedCitation":"[17]","plainCitation":"[17]","noteIndex":0},"citationItems":[{"id":1368,"uris":["http://zotero.org/users/584652/items/TFLXQAEK"],"uri":["http://zotero.org/users/584652/items/TFLXQAEK"],"itemData":{"id":1368,"type":"article-journal","abstract":"The mosquito Aedes (Stegomyia) albopictus (Skuse) (Diptera: Culicidae) is an invasive species which has colonized Southern Europe in the last two decades. As it is a competent vector for several arboviruses, its spread is of increasing public health concern, and there is a need for appropriate monitoring tools. In this paper, we have developed a modelling approach to predict mosquito abundance over time, and identify the main determinants of mosquito population dynamics. The model is temperature- and rainfall-driven, takes into account egg diapause during unfavourable periods, and was used to model the population dynamics of Ae. albopictus in the French Riviera since 2008. Entomological collections of egg stage from six locations in Nice conurbation were used for model validation. We performed a sensitivity analysis to identify the key parameters of the mosquito population dynamics. Results showed that the model correctly predicted entomological field data (Pearson r correlation coefficient values range from 0.73 to 0.93). The model’s main control points were related to adult’s mortality rates, the carrying capacity in pupae of the environment, and the beginning of the unfavourable period. The proposed model can be efficiently used as a tool to predict Ae. albopictus population dynamics, and to assess the efficiency of different control strategies.","container-title":"International Journal of Environmental Research and Public Health","DOI":"10.3390/ijerph10051698","ISSN":"1661-7827","issue":"5","journalAbbreviation":"Int J Environ Res Public Health","note":"PMID: 23624579\nPMCID: PMC3709343","page":"1698-1719","source":"PubMed Central","title":"A Rainfall- and Temperature-Driven Abundance Model for Aedes albopictus Populations","volume":"10","author":[{"family":"Tran","given":"Annelise"},{"family":"L’Ambert","given":"Grégory"},{"family":"Lacour","given":"Guillaume"},{"family":"Benoît","given":"Romain"},{"family":"Demarchi","given":"Marie"},{"family":"Cros","given":"Myriam"},{"family":"Cailly","given":"Priscilla"},{"family":"Aubry-Kientz","given":"Mélaine"},{"family":"Balenghien","given":"Thomas"},{"family":"Ezanno","given":"Pauline"}],"issued":{"date-parts":[["2013",5]]}}}],"schema":"https://github.com/citation-style-language/schema/raw/master/csl-citation.json"} </w:instrText>
            </w:r>
            <w:r w:rsidRPr="003A620E">
              <w:rPr>
                <w:szCs w:val="24"/>
              </w:rPr>
              <w:fldChar w:fldCharType="separate"/>
            </w:r>
            <w:r w:rsidRPr="003A620E">
              <w:t>[17]</w:t>
            </w:r>
            <w:r w:rsidRPr="003A620E">
              <w:rPr>
                <w:szCs w:val="24"/>
              </w:rPr>
              <w:fldChar w:fldCharType="end"/>
            </w:r>
          </w:p>
        </w:tc>
      </w:tr>
    </w:tbl>
    <w:p w14:paraId="3783FAE1" w14:textId="77777777" w:rsidR="007E1F9B" w:rsidRPr="0037033E" w:rsidRDefault="007E1F9B" w:rsidP="007E1F9B">
      <w:pPr>
        <w:tabs>
          <w:tab w:val="left" w:pos="1537"/>
        </w:tabs>
        <w:spacing w:after="0" w:line="240" w:lineRule="auto"/>
        <w:rPr>
          <w:i/>
          <w:szCs w:val="24"/>
        </w:rPr>
      </w:pPr>
      <w:r w:rsidRPr="0037033E">
        <w:rPr>
          <w:i/>
          <w:szCs w:val="24"/>
          <w:vertAlign w:val="superscript"/>
        </w:rPr>
        <w:t>1</w:t>
      </w:r>
      <w:r w:rsidRPr="0037033E">
        <w:rPr>
          <w:i/>
          <w:szCs w:val="24"/>
        </w:rPr>
        <w:t>Temp    : monthly average temperature at the zonal level</w:t>
      </w:r>
    </w:p>
    <w:p w14:paraId="5D3C6D8B" w14:textId="77777777" w:rsidR="007E1F9B" w:rsidRPr="003A620E" w:rsidRDefault="007E1F9B" w:rsidP="007E1F9B">
      <w:pPr>
        <w:tabs>
          <w:tab w:val="left" w:pos="1537"/>
        </w:tabs>
        <w:spacing w:after="0" w:line="240" w:lineRule="auto"/>
        <w:rPr>
          <w:i/>
          <w:szCs w:val="24"/>
        </w:rPr>
      </w:pPr>
      <w:r w:rsidRPr="0037033E">
        <w:rPr>
          <w:i/>
          <w:szCs w:val="24"/>
          <w:vertAlign w:val="superscript"/>
        </w:rPr>
        <w:t xml:space="preserve">2 </w:t>
      </w:r>
      <m:oMath>
        <m:acc>
          <m:accPr>
            <m:ctrlPr>
              <w:rPr>
                <w:rFonts w:ascii="Cambria Math" w:hAnsi="Cambria Math"/>
                <w:i/>
                <w:szCs w:val="24"/>
              </w:rPr>
            </m:ctrlPr>
          </m:accPr>
          <m:e>
            <m:r>
              <w:rPr>
                <w:rFonts w:ascii="Cambria Math" w:hAnsi="Cambria Math"/>
                <w:szCs w:val="24"/>
              </w:rPr>
              <m:t>Temp</m:t>
            </m:r>
            <m:r>
              <m:rPr>
                <m:sty m:val="p"/>
              </m:rPr>
              <w:rPr>
                <w:rFonts w:ascii="Cambria Math" w:hAnsi="Cambria Math"/>
                <w:szCs w:val="24"/>
              </w:rPr>
              <m:t xml:space="preserve">  </m:t>
            </m:r>
          </m:e>
        </m:acc>
      </m:oMath>
      <w:r w:rsidRPr="0037033E">
        <w:rPr>
          <w:i/>
          <w:szCs w:val="24"/>
        </w:rPr>
        <w:t>: monthly average water temperature. Here it is approximated to Temp</w:t>
      </w:r>
    </w:p>
    <w:p w14:paraId="7243453C" w14:textId="77777777" w:rsidR="007E1F9B" w:rsidRDefault="007E1F9B" w:rsidP="007E1F9B">
      <w:pPr>
        <w:tabs>
          <w:tab w:val="left" w:pos="1537"/>
        </w:tabs>
        <w:spacing w:after="0" w:line="240" w:lineRule="auto"/>
        <w:rPr>
          <w:i/>
          <w:szCs w:val="24"/>
        </w:rPr>
      </w:pPr>
      <w:r w:rsidRPr="0037033E">
        <w:rPr>
          <w:i/>
          <w:szCs w:val="24"/>
          <w:vertAlign w:val="superscript"/>
        </w:rPr>
        <w:t>3</w:t>
      </w:r>
      <w:r w:rsidRPr="0037033E">
        <w:rPr>
          <w:i/>
          <w:szCs w:val="24"/>
        </w:rPr>
        <w:t>Rf        : monthly mean rainfall at the zonal level</w:t>
      </w:r>
    </w:p>
    <w:p w14:paraId="040F077D" w14:textId="77777777" w:rsidR="004F3765" w:rsidRDefault="004F3765" w:rsidP="007E1F9B">
      <w:pPr>
        <w:tabs>
          <w:tab w:val="left" w:pos="1537"/>
        </w:tabs>
        <w:spacing w:after="0" w:line="240" w:lineRule="auto"/>
        <w:rPr>
          <w:i/>
          <w:szCs w:val="24"/>
        </w:rPr>
      </w:pPr>
    </w:p>
    <w:p w14:paraId="4F9EEECC" w14:textId="77777777" w:rsidR="004F3765" w:rsidRDefault="004F3765" w:rsidP="007E1F9B">
      <w:pPr>
        <w:tabs>
          <w:tab w:val="left" w:pos="1537"/>
        </w:tabs>
        <w:spacing w:after="0" w:line="240" w:lineRule="auto"/>
        <w:rPr>
          <w:i/>
          <w:szCs w:val="24"/>
        </w:rPr>
      </w:pPr>
    </w:p>
    <w:p w14:paraId="1F3BDE47" w14:textId="77777777" w:rsidR="004F3765" w:rsidRDefault="004F3765" w:rsidP="007E1F9B">
      <w:pPr>
        <w:tabs>
          <w:tab w:val="left" w:pos="1537"/>
        </w:tabs>
        <w:spacing w:after="0" w:line="240" w:lineRule="auto"/>
        <w:rPr>
          <w:i/>
          <w:szCs w:val="24"/>
        </w:rPr>
      </w:pPr>
    </w:p>
    <w:p w14:paraId="56CB1F49" w14:textId="77777777" w:rsidR="004F3765" w:rsidRDefault="004F3765" w:rsidP="007E1F9B">
      <w:pPr>
        <w:tabs>
          <w:tab w:val="left" w:pos="1537"/>
        </w:tabs>
        <w:spacing w:after="0" w:line="240" w:lineRule="auto"/>
        <w:rPr>
          <w:i/>
          <w:szCs w:val="24"/>
        </w:rPr>
      </w:pPr>
    </w:p>
    <w:p w14:paraId="60D56DF6" w14:textId="77777777" w:rsidR="00F74F6C" w:rsidRDefault="00F74F6C" w:rsidP="007E1F9B">
      <w:pPr>
        <w:tabs>
          <w:tab w:val="left" w:pos="1537"/>
        </w:tabs>
        <w:spacing w:after="0" w:line="240" w:lineRule="auto"/>
        <w:rPr>
          <w:i/>
          <w:szCs w:val="24"/>
        </w:rPr>
      </w:pPr>
    </w:p>
    <w:p w14:paraId="76E873A5" w14:textId="77777777" w:rsidR="00F74F6C" w:rsidRPr="0051498D" w:rsidRDefault="00F74F6C" w:rsidP="007E1F9B">
      <w:pPr>
        <w:tabs>
          <w:tab w:val="left" w:pos="1537"/>
        </w:tabs>
        <w:spacing w:after="0" w:line="240" w:lineRule="auto"/>
        <w:rPr>
          <w:szCs w:val="24"/>
        </w:rPr>
      </w:pPr>
    </w:p>
    <w:p w14:paraId="497C1706" w14:textId="77777777" w:rsidR="004F3765" w:rsidRDefault="004F3765" w:rsidP="007E1F9B">
      <w:pPr>
        <w:tabs>
          <w:tab w:val="left" w:pos="1537"/>
        </w:tabs>
        <w:spacing w:after="0" w:line="240" w:lineRule="auto"/>
        <w:rPr>
          <w:i/>
          <w:szCs w:val="24"/>
        </w:rPr>
      </w:pPr>
    </w:p>
    <w:p w14:paraId="388C2369" w14:textId="77777777" w:rsidR="004F3765" w:rsidRDefault="004F3765" w:rsidP="007E1F9B">
      <w:pPr>
        <w:tabs>
          <w:tab w:val="left" w:pos="1537"/>
        </w:tabs>
        <w:spacing w:after="0" w:line="240" w:lineRule="auto"/>
        <w:rPr>
          <w:i/>
          <w:szCs w:val="24"/>
        </w:rPr>
      </w:pPr>
    </w:p>
    <w:p w14:paraId="55FA59F4" w14:textId="77777777" w:rsidR="004F3765" w:rsidRDefault="004F3765" w:rsidP="004F3765">
      <w:pPr>
        <w:spacing w:after="0" w:line="240" w:lineRule="auto"/>
        <w:rPr>
          <w:b/>
          <w:szCs w:val="24"/>
        </w:rPr>
      </w:pPr>
      <w:r w:rsidRPr="005C0B8F">
        <w:rPr>
          <w:b/>
          <w:szCs w:val="24"/>
        </w:rPr>
        <w:lastRenderedPageBreak/>
        <w:t>Table 3 Parameter values</w:t>
      </w:r>
    </w:p>
    <w:p w14:paraId="63DC3776" w14:textId="77777777" w:rsidR="004F3765" w:rsidRPr="005C0B8F" w:rsidRDefault="004F3765" w:rsidP="004F3765">
      <w:pPr>
        <w:spacing w:after="0" w:line="240" w:lineRule="auto"/>
        <w:rPr>
          <w:rFonts w:eastAsia="Times New Roman"/>
          <w:color w:val="000000"/>
          <w:szCs w:val="24"/>
          <w:lang w:eastAsia="en-ZA"/>
        </w:rPr>
      </w:pPr>
    </w:p>
    <w:tbl>
      <w:tblPr>
        <w:tblW w:w="15688" w:type="dxa"/>
        <w:tblInd w:w="-294" w:type="dxa"/>
        <w:tblLook w:val="04A0" w:firstRow="1" w:lastRow="0" w:firstColumn="1" w:lastColumn="0" w:noHBand="0" w:noVBand="1"/>
      </w:tblPr>
      <w:tblGrid>
        <w:gridCol w:w="1593"/>
        <w:gridCol w:w="2162"/>
        <w:gridCol w:w="1483"/>
        <w:gridCol w:w="1230"/>
        <w:gridCol w:w="7478"/>
        <w:gridCol w:w="1742"/>
      </w:tblGrid>
      <w:tr w:rsidR="004F3765" w:rsidRPr="005C0B8F" w14:paraId="1E0D5047" w14:textId="77777777" w:rsidTr="00AE2607">
        <w:trPr>
          <w:trHeight w:val="273"/>
        </w:trPr>
        <w:tc>
          <w:tcPr>
            <w:tcW w:w="1593" w:type="dxa"/>
            <w:tcBorders>
              <w:top w:val="single" w:sz="8" w:space="0" w:color="auto"/>
              <w:left w:val="single" w:sz="8" w:space="0" w:color="auto"/>
              <w:bottom w:val="nil"/>
              <w:right w:val="single" w:sz="8" w:space="0" w:color="auto"/>
            </w:tcBorders>
            <w:shd w:val="clear" w:color="auto" w:fill="auto"/>
            <w:noWrap/>
            <w:vAlign w:val="center"/>
            <w:hideMark/>
          </w:tcPr>
          <w:p w14:paraId="0F4A1564"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Parameter</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8235FA5"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Parameter value by Zone</w:t>
            </w:r>
          </w:p>
        </w:tc>
        <w:tc>
          <w:tcPr>
            <w:tcW w:w="7478"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7018F544"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Parameter definition</w:t>
            </w:r>
          </w:p>
        </w:tc>
        <w:tc>
          <w:tcPr>
            <w:tcW w:w="174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08862A31"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Source</w:t>
            </w:r>
          </w:p>
        </w:tc>
      </w:tr>
      <w:tr w:rsidR="004F3765" w:rsidRPr="005C0B8F" w14:paraId="2F7454FD" w14:textId="77777777" w:rsidTr="00AE2607">
        <w:trPr>
          <w:trHeight w:val="796"/>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FCD694A"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Name</w:t>
            </w:r>
          </w:p>
        </w:tc>
        <w:tc>
          <w:tcPr>
            <w:tcW w:w="2162" w:type="dxa"/>
            <w:tcBorders>
              <w:top w:val="nil"/>
              <w:left w:val="nil"/>
              <w:bottom w:val="single" w:sz="8" w:space="0" w:color="auto"/>
              <w:right w:val="single" w:sz="8" w:space="0" w:color="auto"/>
            </w:tcBorders>
            <w:shd w:val="clear" w:color="auto" w:fill="auto"/>
            <w:vAlign w:val="center"/>
            <w:hideMark/>
          </w:tcPr>
          <w:p w14:paraId="064D3040"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Guinea Savannah</w:t>
            </w:r>
          </w:p>
        </w:tc>
        <w:tc>
          <w:tcPr>
            <w:tcW w:w="1483" w:type="dxa"/>
            <w:tcBorders>
              <w:top w:val="nil"/>
              <w:left w:val="nil"/>
              <w:bottom w:val="single" w:sz="8" w:space="0" w:color="auto"/>
              <w:right w:val="single" w:sz="8" w:space="0" w:color="auto"/>
            </w:tcBorders>
            <w:shd w:val="clear" w:color="auto" w:fill="auto"/>
            <w:vAlign w:val="center"/>
            <w:hideMark/>
          </w:tcPr>
          <w:p w14:paraId="5A40BE2C"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Transitional Forest</w:t>
            </w:r>
          </w:p>
        </w:tc>
        <w:tc>
          <w:tcPr>
            <w:tcW w:w="1230" w:type="dxa"/>
            <w:tcBorders>
              <w:top w:val="nil"/>
              <w:left w:val="nil"/>
              <w:bottom w:val="single" w:sz="8" w:space="0" w:color="auto"/>
              <w:right w:val="single" w:sz="8" w:space="0" w:color="auto"/>
            </w:tcBorders>
            <w:shd w:val="clear" w:color="auto" w:fill="auto"/>
            <w:vAlign w:val="center"/>
            <w:hideMark/>
          </w:tcPr>
          <w:p w14:paraId="00CC7D4C"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Coastal Savannah</w:t>
            </w:r>
          </w:p>
        </w:tc>
        <w:tc>
          <w:tcPr>
            <w:tcW w:w="7478" w:type="dxa"/>
            <w:vMerge/>
            <w:tcBorders>
              <w:top w:val="single" w:sz="8" w:space="0" w:color="auto"/>
              <w:left w:val="single" w:sz="8" w:space="0" w:color="auto"/>
              <w:bottom w:val="single" w:sz="8" w:space="0" w:color="000000"/>
              <w:right w:val="single" w:sz="8" w:space="0" w:color="auto"/>
            </w:tcBorders>
            <w:vAlign w:val="center"/>
            <w:hideMark/>
          </w:tcPr>
          <w:p w14:paraId="3FEF81E2" w14:textId="77777777" w:rsidR="004F3765" w:rsidRPr="005C0B8F" w:rsidRDefault="004F3765" w:rsidP="00622896">
            <w:pPr>
              <w:spacing w:after="0" w:line="240" w:lineRule="auto"/>
              <w:rPr>
                <w:rFonts w:eastAsia="Times New Roman"/>
                <w:b/>
                <w:bCs/>
                <w:color w:val="000000"/>
                <w:szCs w:val="24"/>
                <w:lang w:eastAsia="en-GB"/>
              </w:rPr>
            </w:pPr>
          </w:p>
        </w:tc>
        <w:tc>
          <w:tcPr>
            <w:tcW w:w="1742" w:type="dxa"/>
            <w:vMerge/>
            <w:tcBorders>
              <w:top w:val="single" w:sz="8" w:space="0" w:color="auto"/>
              <w:left w:val="single" w:sz="8" w:space="0" w:color="auto"/>
              <w:bottom w:val="single" w:sz="8" w:space="0" w:color="000000"/>
              <w:right w:val="single" w:sz="8" w:space="0" w:color="auto"/>
            </w:tcBorders>
            <w:vAlign w:val="center"/>
            <w:hideMark/>
          </w:tcPr>
          <w:p w14:paraId="62569A8F" w14:textId="77777777" w:rsidR="004F3765" w:rsidRPr="005C0B8F" w:rsidRDefault="004F3765" w:rsidP="00622896">
            <w:pPr>
              <w:spacing w:after="0" w:line="240" w:lineRule="auto"/>
              <w:rPr>
                <w:rFonts w:eastAsia="Times New Roman"/>
                <w:b/>
                <w:bCs/>
                <w:color w:val="000000"/>
                <w:szCs w:val="24"/>
                <w:lang w:eastAsia="en-GB"/>
              </w:rPr>
            </w:pPr>
          </w:p>
        </w:tc>
      </w:tr>
      <w:tr w:rsidR="004F3765" w:rsidRPr="005C0B8F" w14:paraId="4A887410"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1CED3D1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pc1</w:t>
            </w:r>
          </w:p>
        </w:tc>
        <w:tc>
          <w:tcPr>
            <w:tcW w:w="2162" w:type="dxa"/>
            <w:tcBorders>
              <w:top w:val="nil"/>
              <w:left w:val="nil"/>
              <w:bottom w:val="single" w:sz="8" w:space="0" w:color="auto"/>
              <w:right w:val="single" w:sz="8" w:space="0" w:color="auto"/>
            </w:tcBorders>
            <w:shd w:val="clear" w:color="auto" w:fill="auto"/>
            <w:noWrap/>
            <w:vAlign w:val="center"/>
            <w:hideMark/>
          </w:tcPr>
          <w:p w14:paraId="544E34C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w:t>
            </w:r>
          </w:p>
        </w:tc>
        <w:tc>
          <w:tcPr>
            <w:tcW w:w="1483" w:type="dxa"/>
            <w:tcBorders>
              <w:top w:val="nil"/>
              <w:left w:val="nil"/>
              <w:bottom w:val="single" w:sz="8" w:space="0" w:color="auto"/>
              <w:right w:val="single" w:sz="8" w:space="0" w:color="auto"/>
            </w:tcBorders>
            <w:shd w:val="clear" w:color="auto" w:fill="auto"/>
            <w:noWrap/>
            <w:vAlign w:val="center"/>
            <w:hideMark/>
          </w:tcPr>
          <w:p w14:paraId="574BE62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w:t>
            </w:r>
          </w:p>
        </w:tc>
        <w:tc>
          <w:tcPr>
            <w:tcW w:w="1230" w:type="dxa"/>
            <w:tcBorders>
              <w:top w:val="nil"/>
              <w:left w:val="nil"/>
              <w:bottom w:val="single" w:sz="8" w:space="0" w:color="auto"/>
              <w:right w:val="single" w:sz="8" w:space="0" w:color="auto"/>
            </w:tcBorders>
            <w:shd w:val="clear" w:color="auto" w:fill="auto"/>
            <w:noWrap/>
            <w:vAlign w:val="center"/>
            <w:hideMark/>
          </w:tcPr>
          <w:p w14:paraId="15C9258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w:t>
            </w:r>
          </w:p>
        </w:tc>
        <w:tc>
          <w:tcPr>
            <w:tcW w:w="7478" w:type="dxa"/>
            <w:tcBorders>
              <w:top w:val="nil"/>
              <w:left w:val="nil"/>
              <w:bottom w:val="single" w:sz="8" w:space="0" w:color="auto"/>
              <w:right w:val="single" w:sz="8" w:space="0" w:color="auto"/>
            </w:tcBorders>
            <w:shd w:val="clear" w:color="auto" w:fill="auto"/>
            <w:noWrap/>
            <w:vAlign w:val="center"/>
            <w:hideMark/>
          </w:tcPr>
          <w:p w14:paraId="60B2AC0C"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naive progressing into </w:t>
            </w:r>
            <w:r w:rsidRPr="005C0B8F">
              <w:rPr>
                <w:rFonts w:eastAsia="Times New Roman"/>
                <w:b/>
                <w:bCs/>
                <w:color w:val="000000"/>
                <w:szCs w:val="24"/>
                <w:lang w:eastAsia="en-GB"/>
              </w:rPr>
              <w:t>Ic</w:t>
            </w:r>
          </w:p>
        </w:tc>
        <w:tc>
          <w:tcPr>
            <w:tcW w:w="1742" w:type="dxa"/>
            <w:tcBorders>
              <w:top w:val="nil"/>
              <w:left w:val="nil"/>
              <w:bottom w:val="single" w:sz="8" w:space="0" w:color="auto"/>
              <w:right w:val="single" w:sz="8" w:space="0" w:color="auto"/>
            </w:tcBorders>
            <w:shd w:val="clear" w:color="auto" w:fill="auto"/>
            <w:noWrap/>
            <w:vAlign w:val="center"/>
            <w:hideMark/>
          </w:tcPr>
          <w:p w14:paraId="417F450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68AAF42E"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6FD9651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pa1</w:t>
            </w:r>
          </w:p>
        </w:tc>
        <w:tc>
          <w:tcPr>
            <w:tcW w:w="2162" w:type="dxa"/>
            <w:tcBorders>
              <w:top w:val="nil"/>
              <w:left w:val="nil"/>
              <w:bottom w:val="single" w:sz="8" w:space="0" w:color="auto"/>
              <w:right w:val="single" w:sz="8" w:space="0" w:color="auto"/>
            </w:tcBorders>
            <w:shd w:val="clear" w:color="auto" w:fill="auto"/>
            <w:noWrap/>
            <w:vAlign w:val="center"/>
            <w:hideMark/>
          </w:tcPr>
          <w:p w14:paraId="02076CE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0.35</w:t>
            </w:r>
          </w:p>
        </w:tc>
        <w:tc>
          <w:tcPr>
            <w:tcW w:w="1483" w:type="dxa"/>
            <w:tcBorders>
              <w:top w:val="nil"/>
              <w:left w:val="nil"/>
              <w:bottom w:val="single" w:sz="8" w:space="0" w:color="auto"/>
              <w:right w:val="single" w:sz="8" w:space="0" w:color="auto"/>
            </w:tcBorders>
            <w:shd w:val="clear" w:color="auto" w:fill="auto"/>
            <w:noWrap/>
            <w:vAlign w:val="center"/>
            <w:hideMark/>
          </w:tcPr>
          <w:p w14:paraId="71E8F1F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0.07</w:t>
            </w:r>
          </w:p>
        </w:tc>
        <w:tc>
          <w:tcPr>
            <w:tcW w:w="1230" w:type="dxa"/>
            <w:tcBorders>
              <w:top w:val="nil"/>
              <w:left w:val="nil"/>
              <w:bottom w:val="single" w:sz="8" w:space="0" w:color="auto"/>
              <w:right w:val="single" w:sz="8" w:space="0" w:color="auto"/>
            </w:tcBorders>
            <w:shd w:val="clear" w:color="auto" w:fill="auto"/>
            <w:noWrap/>
            <w:vAlign w:val="center"/>
            <w:hideMark/>
          </w:tcPr>
          <w:p w14:paraId="1098799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0.58</w:t>
            </w:r>
          </w:p>
        </w:tc>
        <w:tc>
          <w:tcPr>
            <w:tcW w:w="7478" w:type="dxa"/>
            <w:tcBorders>
              <w:top w:val="nil"/>
              <w:left w:val="nil"/>
              <w:bottom w:val="single" w:sz="8" w:space="0" w:color="auto"/>
              <w:right w:val="single" w:sz="8" w:space="0" w:color="auto"/>
            </w:tcBorders>
            <w:shd w:val="clear" w:color="auto" w:fill="auto"/>
            <w:noWrap/>
            <w:vAlign w:val="center"/>
            <w:hideMark/>
          </w:tcPr>
          <w:p w14:paraId="447D580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naive progressing into </w:t>
            </w:r>
            <w:r w:rsidRPr="005C0B8F">
              <w:rPr>
                <w:rFonts w:eastAsia="Times New Roman"/>
                <w:b/>
                <w:bCs/>
                <w:color w:val="000000"/>
                <w:szCs w:val="24"/>
                <w:lang w:eastAsia="en-GB"/>
              </w:rPr>
              <w:t>Ia</w:t>
            </w:r>
          </w:p>
        </w:tc>
        <w:tc>
          <w:tcPr>
            <w:tcW w:w="1742" w:type="dxa"/>
            <w:tcBorders>
              <w:top w:val="nil"/>
              <w:left w:val="nil"/>
              <w:bottom w:val="single" w:sz="8" w:space="0" w:color="auto"/>
              <w:right w:val="single" w:sz="8" w:space="0" w:color="auto"/>
            </w:tcBorders>
            <w:shd w:val="clear" w:color="auto" w:fill="auto"/>
            <w:noWrap/>
            <w:vAlign w:val="center"/>
            <w:hideMark/>
          </w:tcPr>
          <w:p w14:paraId="17A67A3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0321176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1667A0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pc2</w:t>
            </w:r>
          </w:p>
        </w:tc>
        <w:tc>
          <w:tcPr>
            <w:tcW w:w="2162" w:type="dxa"/>
            <w:tcBorders>
              <w:top w:val="nil"/>
              <w:left w:val="nil"/>
              <w:bottom w:val="single" w:sz="8" w:space="0" w:color="auto"/>
              <w:right w:val="single" w:sz="8" w:space="0" w:color="auto"/>
            </w:tcBorders>
            <w:shd w:val="clear" w:color="auto" w:fill="auto"/>
            <w:noWrap/>
            <w:vAlign w:val="center"/>
            <w:hideMark/>
          </w:tcPr>
          <w:p w14:paraId="5363446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0.14</w:t>
            </w:r>
          </w:p>
        </w:tc>
        <w:tc>
          <w:tcPr>
            <w:tcW w:w="1483" w:type="dxa"/>
            <w:tcBorders>
              <w:top w:val="nil"/>
              <w:left w:val="nil"/>
              <w:bottom w:val="single" w:sz="8" w:space="0" w:color="auto"/>
              <w:right w:val="single" w:sz="8" w:space="0" w:color="auto"/>
            </w:tcBorders>
            <w:shd w:val="clear" w:color="auto" w:fill="auto"/>
            <w:noWrap/>
            <w:vAlign w:val="center"/>
            <w:hideMark/>
          </w:tcPr>
          <w:p w14:paraId="22447E5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0.19</w:t>
            </w:r>
          </w:p>
        </w:tc>
        <w:tc>
          <w:tcPr>
            <w:tcW w:w="1230" w:type="dxa"/>
            <w:tcBorders>
              <w:top w:val="nil"/>
              <w:left w:val="nil"/>
              <w:bottom w:val="single" w:sz="8" w:space="0" w:color="auto"/>
              <w:right w:val="single" w:sz="8" w:space="0" w:color="auto"/>
            </w:tcBorders>
            <w:shd w:val="clear" w:color="auto" w:fill="auto"/>
            <w:noWrap/>
            <w:vAlign w:val="center"/>
            <w:hideMark/>
          </w:tcPr>
          <w:p w14:paraId="38B06B4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0.14</w:t>
            </w:r>
          </w:p>
        </w:tc>
        <w:tc>
          <w:tcPr>
            <w:tcW w:w="7478" w:type="dxa"/>
            <w:tcBorders>
              <w:top w:val="nil"/>
              <w:left w:val="nil"/>
              <w:bottom w:val="single" w:sz="8" w:space="0" w:color="auto"/>
              <w:right w:val="single" w:sz="8" w:space="0" w:color="auto"/>
            </w:tcBorders>
            <w:shd w:val="clear" w:color="auto" w:fill="auto"/>
            <w:noWrap/>
            <w:vAlign w:val="center"/>
            <w:hideMark/>
          </w:tcPr>
          <w:p w14:paraId="63109D85"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non-naive progressing into </w:t>
            </w:r>
            <w:r w:rsidRPr="005C0B8F">
              <w:rPr>
                <w:rFonts w:eastAsia="Times New Roman"/>
                <w:b/>
                <w:bCs/>
                <w:color w:val="000000"/>
                <w:szCs w:val="24"/>
                <w:lang w:eastAsia="en-GB"/>
              </w:rPr>
              <w:t>Ic</w:t>
            </w:r>
          </w:p>
        </w:tc>
        <w:tc>
          <w:tcPr>
            <w:tcW w:w="1742" w:type="dxa"/>
            <w:tcBorders>
              <w:top w:val="nil"/>
              <w:left w:val="nil"/>
              <w:bottom w:val="single" w:sz="8" w:space="0" w:color="auto"/>
              <w:right w:val="single" w:sz="8" w:space="0" w:color="auto"/>
            </w:tcBorders>
            <w:shd w:val="clear" w:color="auto" w:fill="auto"/>
            <w:noWrap/>
            <w:vAlign w:val="center"/>
            <w:hideMark/>
          </w:tcPr>
          <w:p w14:paraId="0F77D48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0AFDB9C5"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278AEA5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pa2</w:t>
            </w:r>
          </w:p>
        </w:tc>
        <w:tc>
          <w:tcPr>
            <w:tcW w:w="2162" w:type="dxa"/>
            <w:tcBorders>
              <w:top w:val="nil"/>
              <w:left w:val="nil"/>
              <w:bottom w:val="single" w:sz="8" w:space="0" w:color="auto"/>
              <w:right w:val="single" w:sz="8" w:space="0" w:color="auto"/>
            </w:tcBorders>
            <w:shd w:val="clear" w:color="auto" w:fill="auto"/>
            <w:noWrap/>
            <w:vAlign w:val="center"/>
            <w:hideMark/>
          </w:tcPr>
          <w:p w14:paraId="174DAA8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0.61</w:t>
            </w:r>
          </w:p>
        </w:tc>
        <w:tc>
          <w:tcPr>
            <w:tcW w:w="1483" w:type="dxa"/>
            <w:tcBorders>
              <w:top w:val="nil"/>
              <w:left w:val="nil"/>
              <w:bottom w:val="single" w:sz="8" w:space="0" w:color="auto"/>
              <w:right w:val="single" w:sz="8" w:space="0" w:color="auto"/>
            </w:tcBorders>
            <w:shd w:val="clear" w:color="auto" w:fill="auto"/>
            <w:noWrap/>
            <w:vAlign w:val="center"/>
            <w:hideMark/>
          </w:tcPr>
          <w:p w14:paraId="19931AF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0.39</w:t>
            </w:r>
          </w:p>
        </w:tc>
        <w:tc>
          <w:tcPr>
            <w:tcW w:w="1230" w:type="dxa"/>
            <w:tcBorders>
              <w:top w:val="nil"/>
              <w:left w:val="nil"/>
              <w:bottom w:val="single" w:sz="8" w:space="0" w:color="auto"/>
              <w:right w:val="single" w:sz="8" w:space="0" w:color="auto"/>
            </w:tcBorders>
            <w:shd w:val="clear" w:color="auto" w:fill="auto"/>
            <w:noWrap/>
            <w:vAlign w:val="center"/>
            <w:hideMark/>
          </w:tcPr>
          <w:p w14:paraId="3B7E322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0.49</w:t>
            </w:r>
          </w:p>
        </w:tc>
        <w:tc>
          <w:tcPr>
            <w:tcW w:w="7478" w:type="dxa"/>
            <w:tcBorders>
              <w:top w:val="nil"/>
              <w:left w:val="nil"/>
              <w:bottom w:val="single" w:sz="8" w:space="0" w:color="auto"/>
              <w:right w:val="single" w:sz="8" w:space="0" w:color="auto"/>
            </w:tcBorders>
            <w:shd w:val="clear" w:color="auto" w:fill="auto"/>
            <w:noWrap/>
            <w:vAlign w:val="center"/>
            <w:hideMark/>
          </w:tcPr>
          <w:p w14:paraId="7355B888"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non-naive progressing into </w:t>
            </w:r>
            <w:r w:rsidRPr="005C0B8F">
              <w:rPr>
                <w:rFonts w:eastAsia="Times New Roman"/>
                <w:b/>
                <w:bCs/>
                <w:color w:val="000000"/>
                <w:szCs w:val="24"/>
                <w:lang w:eastAsia="en-GB"/>
              </w:rPr>
              <w:t>Ia</w:t>
            </w:r>
          </w:p>
        </w:tc>
        <w:tc>
          <w:tcPr>
            <w:tcW w:w="1742" w:type="dxa"/>
            <w:tcBorders>
              <w:top w:val="nil"/>
              <w:left w:val="nil"/>
              <w:bottom w:val="single" w:sz="8" w:space="0" w:color="auto"/>
              <w:right w:val="single" w:sz="8" w:space="0" w:color="auto"/>
            </w:tcBorders>
            <w:shd w:val="clear" w:color="auto" w:fill="auto"/>
            <w:noWrap/>
            <w:vAlign w:val="center"/>
            <w:hideMark/>
          </w:tcPr>
          <w:p w14:paraId="3A95417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17D5E04F"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2CC62E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ps</w:t>
            </w:r>
          </w:p>
        </w:tc>
        <w:tc>
          <w:tcPr>
            <w:tcW w:w="2162" w:type="dxa"/>
            <w:tcBorders>
              <w:top w:val="nil"/>
              <w:left w:val="nil"/>
              <w:bottom w:val="single" w:sz="8" w:space="0" w:color="auto"/>
              <w:right w:val="single" w:sz="8" w:space="0" w:color="auto"/>
            </w:tcBorders>
            <w:shd w:val="clear" w:color="auto" w:fill="auto"/>
            <w:noWrap/>
            <w:vAlign w:val="center"/>
            <w:hideMark/>
          </w:tcPr>
          <w:p w14:paraId="35FA20F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0.13</w:t>
            </w:r>
          </w:p>
        </w:tc>
        <w:tc>
          <w:tcPr>
            <w:tcW w:w="1483" w:type="dxa"/>
            <w:tcBorders>
              <w:top w:val="nil"/>
              <w:left w:val="nil"/>
              <w:bottom w:val="single" w:sz="8" w:space="0" w:color="auto"/>
              <w:right w:val="single" w:sz="8" w:space="0" w:color="auto"/>
            </w:tcBorders>
            <w:shd w:val="clear" w:color="auto" w:fill="auto"/>
            <w:noWrap/>
            <w:vAlign w:val="center"/>
            <w:hideMark/>
          </w:tcPr>
          <w:p w14:paraId="57CE70C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0.065</w:t>
            </w:r>
          </w:p>
        </w:tc>
        <w:tc>
          <w:tcPr>
            <w:tcW w:w="1230" w:type="dxa"/>
            <w:tcBorders>
              <w:top w:val="nil"/>
              <w:left w:val="nil"/>
              <w:bottom w:val="single" w:sz="8" w:space="0" w:color="auto"/>
              <w:right w:val="single" w:sz="8" w:space="0" w:color="auto"/>
            </w:tcBorders>
            <w:shd w:val="clear" w:color="auto" w:fill="auto"/>
            <w:noWrap/>
            <w:vAlign w:val="center"/>
            <w:hideMark/>
          </w:tcPr>
          <w:p w14:paraId="25CA4B9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0.062</w:t>
            </w:r>
          </w:p>
        </w:tc>
        <w:tc>
          <w:tcPr>
            <w:tcW w:w="7478" w:type="dxa"/>
            <w:tcBorders>
              <w:top w:val="nil"/>
              <w:left w:val="nil"/>
              <w:bottom w:val="single" w:sz="8" w:space="0" w:color="auto"/>
              <w:right w:val="single" w:sz="8" w:space="0" w:color="auto"/>
            </w:tcBorders>
            <w:shd w:val="clear" w:color="auto" w:fill="auto"/>
            <w:noWrap/>
            <w:vAlign w:val="center"/>
            <w:hideMark/>
          </w:tcPr>
          <w:p w14:paraId="5CC338B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progressing into severe disease</w:t>
            </w:r>
          </w:p>
        </w:tc>
        <w:tc>
          <w:tcPr>
            <w:tcW w:w="1742" w:type="dxa"/>
            <w:tcBorders>
              <w:top w:val="nil"/>
              <w:left w:val="nil"/>
              <w:bottom w:val="single" w:sz="8" w:space="0" w:color="auto"/>
              <w:right w:val="single" w:sz="8" w:space="0" w:color="auto"/>
            </w:tcBorders>
            <w:shd w:val="clear" w:color="auto" w:fill="auto"/>
            <w:noWrap/>
            <w:vAlign w:val="center"/>
            <w:hideMark/>
          </w:tcPr>
          <w:p w14:paraId="4862F821" w14:textId="006C12D5" w:rsidR="004F3765" w:rsidRPr="005C0B8F" w:rsidRDefault="0064214D" w:rsidP="00622896">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Uzoae7ks","properties":{"formattedCitation":"[18]","plainCitation":"[18]","noteIndex":0},"citationItems":[{"id":1549,"uris":["http://zotero.org/users/584652/items/DPVWJ5AY"],"uri":["http://zotero.org/users/584652/items/DPVWJ5AY"],"itemData":{"id":1549,"type":"article-journal","abstract":"Severe falciparum malaria in children was studied as part of the characterization of the Kassena-Nankana District Ghana for future malaria vaccine trials. Children aged 6–59 months with diagnosis suggestive of acute disease were characterized using the standard WHO definition for severe malaria.","container-title":"Malaria Journal","DOI":"10.1186/1475-2875-6-96","ISSN":"1475-2875","issue":"1","journalAbbreviation":"Malaria Journal","page":"96","source":"BioMed Central","title":"Severe falciparum malaria in young children of the Kassena-Nankana district of northern Ghana","volume":"6","author":[{"family":"Oduro","given":"Abraham R."},{"family":"Koram","given":"Kwadwo A."},{"family":"Rogers","given":"William"},{"family":"Atuguba","given":"Frank"},{"family":"Ansah","given":"Patrick"},{"family":"Anyorigiya","given":"Thomas"},{"family":"Ansah","given":"Akosua"},{"family":"Anto","given":"Francis"},{"family":"Mensah","given":"Nathan"},{"family":"Hodgson","given":"Abraham"},{"family":"Nkrumah","given":"Francis"}],"issued":{"date-parts":[["2007",7,27]]}}}],"schema":"https://github.com/citation-style-language/schema/raw/master/csl-citation.json"} </w:instrText>
            </w:r>
            <w:r>
              <w:rPr>
                <w:rFonts w:eastAsia="Times New Roman"/>
                <w:color w:val="000000"/>
                <w:szCs w:val="24"/>
                <w:lang w:eastAsia="en-GB"/>
              </w:rPr>
              <w:fldChar w:fldCharType="separate"/>
            </w:r>
            <w:r w:rsidRPr="0064214D">
              <w:t>[18]</w:t>
            </w:r>
            <w:r>
              <w:rPr>
                <w:rFonts w:eastAsia="Times New Roman"/>
                <w:color w:val="000000"/>
                <w:szCs w:val="24"/>
                <w:lang w:eastAsia="en-GB"/>
              </w:rPr>
              <w:fldChar w:fldCharType="end"/>
            </w:r>
          </w:p>
        </w:tc>
      </w:tr>
      <w:tr w:rsidR="004F3765" w:rsidRPr="005C0B8F" w14:paraId="5A6DB8A9"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30AF3C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pt1</w:t>
            </w:r>
          </w:p>
        </w:tc>
        <w:tc>
          <w:tcPr>
            <w:tcW w:w="2162" w:type="dxa"/>
            <w:tcBorders>
              <w:top w:val="nil"/>
              <w:left w:val="nil"/>
              <w:bottom w:val="single" w:sz="8" w:space="0" w:color="auto"/>
              <w:right w:val="single" w:sz="8" w:space="0" w:color="auto"/>
            </w:tcBorders>
            <w:shd w:val="clear" w:color="auto" w:fill="auto"/>
            <w:noWrap/>
            <w:vAlign w:val="center"/>
            <w:hideMark/>
          </w:tcPr>
          <w:p w14:paraId="5636817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0.87</w:t>
            </w:r>
          </w:p>
        </w:tc>
        <w:tc>
          <w:tcPr>
            <w:tcW w:w="1483" w:type="dxa"/>
            <w:tcBorders>
              <w:top w:val="nil"/>
              <w:left w:val="nil"/>
              <w:bottom w:val="single" w:sz="8" w:space="0" w:color="auto"/>
              <w:right w:val="single" w:sz="8" w:space="0" w:color="auto"/>
            </w:tcBorders>
            <w:shd w:val="clear" w:color="auto" w:fill="auto"/>
            <w:noWrap/>
            <w:vAlign w:val="center"/>
            <w:hideMark/>
          </w:tcPr>
          <w:p w14:paraId="0411953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0.88</w:t>
            </w:r>
          </w:p>
        </w:tc>
        <w:tc>
          <w:tcPr>
            <w:tcW w:w="1230" w:type="dxa"/>
            <w:tcBorders>
              <w:top w:val="nil"/>
              <w:left w:val="nil"/>
              <w:bottom w:val="single" w:sz="8" w:space="0" w:color="auto"/>
              <w:right w:val="single" w:sz="8" w:space="0" w:color="auto"/>
            </w:tcBorders>
            <w:shd w:val="clear" w:color="auto" w:fill="auto"/>
            <w:noWrap/>
            <w:vAlign w:val="center"/>
            <w:hideMark/>
          </w:tcPr>
          <w:p w14:paraId="3196277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0.88</w:t>
            </w:r>
          </w:p>
        </w:tc>
        <w:tc>
          <w:tcPr>
            <w:tcW w:w="7478" w:type="dxa"/>
            <w:tcBorders>
              <w:top w:val="nil"/>
              <w:left w:val="nil"/>
              <w:bottom w:val="single" w:sz="8" w:space="0" w:color="auto"/>
              <w:right w:val="single" w:sz="8" w:space="0" w:color="auto"/>
            </w:tcBorders>
            <w:shd w:val="clear" w:color="auto" w:fill="auto"/>
            <w:noWrap/>
            <w:vAlign w:val="center"/>
            <w:hideMark/>
          </w:tcPr>
          <w:p w14:paraId="6873BFF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being tested/diagnosed for  uncomplicated malaria </w:t>
            </w:r>
          </w:p>
        </w:tc>
        <w:tc>
          <w:tcPr>
            <w:tcW w:w="1742" w:type="dxa"/>
            <w:tcBorders>
              <w:top w:val="nil"/>
              <w:left w:val="nil"/>
              <w:bottom w:val="single" w:sz="8" w:space="0" w:color="auto"/>
              <w:right w:val="single" w:sz="8" w:space="0" w:color="auto"/>
            </w:tcBorders>
            <w:shd w:val="clear" w:color="auto" w:fill="auto"/>
            <w:noWrap/>
            <w:vAlign w:val="center"/>
            <w:hideMark/>
          </w:tcPr>
          <w:p w14:paraId="3B983D20" w14:textId="4D1B2D46"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qeANU5Ye","properties":{"formattedCitation":"[19]","plainCitation":"[19]","noteIndex":0},"citationItems":[{"id":1398,"uris":["http://zotero.org/users/584652/items/Q4W7J7X3"],"uri":["http://zotero.org/users/584652/items/Q4W7J7X3"],"itemData":{"id":1398,"type":"article","abstract":"ICF.","publisher":"Accra, Ghana, and Rockville, Maryland, USA: GSS, GHS, and ICF","title":"Ghana Malaria Indictor Survey, 2016","URL":"www.DHSprogram.com","author":[{"family":"Ghana Statistical Service (GSS)","given":""},{"family":"Ghana Health Service (GHS)","given":""}],"issued":{"date-parts":[["2017"]]}}}],"schema":"https://github.com/citation-style-language/schema/raw/master/csl-citation.json"} </w:instrText>
            </w:r>
            <w:r>
              <w:rPr>
                <w:rFonts w:eastAsia="Times New Roman"/>
                <w:color w:val="000000"/>
                <w:szCs w:val="24"/>
                <w:lang w:eastAsia="en-GB"/>
              </w:rPr>
              <w:fldChar w:fldCharType="separate"/>
            </w:r>
            <w:r w:rsidRPr="0064214D">
              <w:t>[19]</w:t>
            </w:r>
            <w:r>
              <w:rPr>
                <w:rFonts w:eastAsia="Times New Roman"/>
                <w:color w:val="000000"/>
                <w:szCs w:val="24"/>
                <w:lang w:eastAsia="en-GB"/>
              </w:rPr>
              <w:fldChar w:fldCharType="end"/>
            </w:r>
          </w:p>
        </w:tc>
      </w:tr>
      <w:tr w:rsidR="004F3765" w:rsidRPr="005C0B8F" w14:paraId="22A395D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E52028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ppc</w:t>
            </w:r>
          </w:p>
        </w:tc>
        <w:tc>
          <w:tcPr>
            <w:tcW w:w="2162" w:type="dxa"/>
            <w:tcBorders>
              <w:top w:val="nil"/>
              <w:left w:val="nil"/>
              <w:bottom w:val="single" w:sz="8" w:space="0" w:color="auto"/>
              <w:right w:val="single" w:sz="8" w:space="0" w:color="auto"/>
            </w:tcBorders>
            <w:shd w:val="clear" w:color="auto" w:fill="auto"/>
            <w:noWrap/>
            <w:vAlign w:val="center"/>
            <w:hideMark/>
          </w:tcPr>
          <w:p w14:paraId="6B38251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0.81</w:t>
            </w:r>
          </w:p>
        </w:tc>
        <w:tc>
          <w:tcPr>
            <w:tcW w:w="1483" w:type="dxa"/>
            <w:tcBorders>
              <w:top w:val="nil"/>
              <w:left w:val="nil"/>
              <w:bottom w:val="single" w:sz="8" w:space="0" w:color="auto"/>
              <w:right w:val="single" w:sz="8" w:space="0" w:color="auto"/>
            </w:tcBorders>
            <w:shd w:val="clear" w:color="auto" w:fill="auto"/>
            <w:noWrap/>
            <w:vAlign w:val="center"/>
            <w:hideMark/>
          </w:tcPr>
          <w:p w14:paraId="63F510E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0.7</w:t>
            </w:r>
          </w:p>
        </w:tc>
        <w:tc>
          <w:tcPr>
            <w:tcW w:w="1230" w:type="dxa"/>
            <w:tcBorders>
              <w:top w:val="nil"/>
              <w:left w:val="nil"/>
              <w:bottom w:val="single" w:sz="8" w:space="0" w:color="auto"/>
              <w:right w:val="single" w:sz="8" w:space="0" w:color="auto"/>
            </w:tcBorders>
            <w:shd w:val="clear" w:color="auto" w:fill="auto"/>
            <w:noWrap/>
            <w:vAlign w:val="center"/>
            <w:hideMark/>
          </w:tcPr>
          <w:p w14:paraId="4B96EE8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w:t>
            </w:r>
          </w:p>
        </w:tc>
        <w:tc>
          <w:tcPr>
            <w:tcW w:w="7478" w:type="dxa"/>
            <w:tcBorders>
              <w:top w:val="nil"/>
              <w:left w:val="nil"/>
              <w:bottom w:val="single" w:sz="8" w:space="0" w:color="auto"/>
              <w:right w:val="single" w:sz="8" w:space="0" w:color="auto"/>
            </w:tcBorders>
            <w:shd w:val="clear" w:color="auto" w:fill="auto"/>
            <w:noWrap/>
            <w:vAlign w:val="center"/>
            <w:hideMark/>
          </w:tcPr>
          <w:p w14:paraId="784A4F4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proportion of pregnant women from </w:t>
            </w:r>
            <w:r w:rsidRPr="005C0B8F">
              <w:rPr>
                <w:rFonts w:eastAsia="Times New Roman"/>
                <w:b/>
                <w:bCs/>
                <w:color w:val="000000"/>
                <w:szCs w:val="24"/>
                <w:lang w:eastAsia="en-GB"/>
              </w:rPr>
              <w:t>L3</w:t>
            </w:r>
            <w:r w:rsidRPr="005C0B8F">
              <w:rPr>
                <w:rFonts w:eastAsia="Times New Roman"/>
                <w:color w:val="000000"/>
                <w:szCs w:val="24"/>
                <w:lang w:eastAsia="en-GB"/>
              </w:rPr>
              <w:t xml:space="preserve"> progressing to </w:t>
            </w:r>
            <w:r w:rsidRPr="005C0B8F">
              <w:rPr>
                <w:rFonts w:eastAsia="Times New Roman"/>
                <w:b/>
                <w:bCs/>
                <w:color w:val="000000"/>
                <w:szCs w:val="24"/>
                <w:lang w:eastAsia="en-GB"/>
              </w:rPr>
              <w:t>Ic</w:t>
            </w:r>
          </w:p>
        </w:tc>
        <w:tc>
          <w:tcPr>
            <w:tcW w:w="1742" w:type="dxa"/>
            <w:tcBorders>
              <w:top w:val="nil"/>
              <w:left w:val="nil"/>
              <w:bottom w:val="single" w:sz="8" w:space="0" w:color="auto"/>
              <w:right w:val="single" w:sz="8" w:space="0" w:color="auto"/>
            </w:tcBorders>
            <w:shd w:val="clear" w:color="auto" w:fill="auto"/>
            <w:noWrap/>
            <w:vAlign w:val="center"/>
            <w:hideMark/>
          </w:tcPr>
          <w:p w14:paraId="55CFDEC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7AC0535E"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8B7855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ppa</w:t>
            </w:r>
          </w:p>
        </w:tc>
        <w:tc>
          <w:tcPr>
            <w:tcW w:w="2162" w:type="dxa"/>
            <w:tcBorders>
              <w:top w:val="nil"/>
              <w:left w:val="nil"/>
              <w:bottom w:val="single" w:sz="8" w:space="0" w:color="auto"/>
              <w:right w:val="single" w:sz="8" w:space="0" w:color="auto"/>
            </w:tcBorders>
            <w:shd w:val="clear" w:color="auto" w:fill="auto"/>
            <w:noWrap/>
            <w:vAlign w:val="center"/>
            <w:hideMark/>
          </w:tcPr>
          <w:p w14:paraId="33830B3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0.25</w:t>
            </w:r>
          </w:p>
        </w:tc>
        <w:tc>
          <w:tcPr>
            <w:tcW w:w="1483" w:type="dxa"/>
            <w:tcBorders>
              <w:top w:val="nil"/>
              <w:left w:val="nil"/>
              <w:bottom w:val="single" w:sz="8" w:space="0" w:color="auto"/>
              <w:right w:val="single" w:sz="8" w:space="0" w:color="auto"/>
            </w:tcBorders>
            <w:shd w:val="clear" w:color="auto" w:fill="auto"/>
            <w:noWrap/>
            <w:vAlign w:val="center"/>
            <w:hideMark/>
          </w:tcPr>
          <w:p w14:paraId="4552D24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0.075</w:t>
            </w:r>
          </w:p>
        </w:tc>
        <w:tc>
          <w:tcPr>
            <w:tcW w:w="1230" w:type="dxa"/>
            <w:tcBorders>
              <w:top w:val="nil"/>
              <w:left w:val="nil"/>
              <w:bottom w:val="single" w:sz="8" w:space="0" w:color="auto"/>
              <w:right w:val="single" w:sz="8" w:space="0" w:color="auto"/>
            </w:tcBorders>
            <w:shd w:val="clear" w:color="auto" w:fill="auto"/>
            <w:noWrap/>
            <w:vAlign w:val="center"/>
            <w:hideMark/>
          </w:tcPr>
          <w:p w14:paraId="155A4464"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0.54</w:t>
            </w:r>
          </w:p>
        </w:tc>
        <w:tc>
          <w:tcPr>
            <w:tcW w:w="7478" w:type="dxa"/>
            <w:tcBorders>
              <w:top w:val="nil"/>
              <w:left w:val="nil"/>
              <w:bottom w:val="single" w:sz="8" w:space="0" w:color="auto"/>
              <w:right w:val="single" w:sz="8" w:space="0" w:color="auto"/>
            </w:tcBorders>
            <w:shd w:val="clear" w:color="auto" w:fill="auto"/>
            <w:noWrap/>
            <w:vAlign w:val="center"/>
            <w:hideMark/>
          </w:tcPr>
          <w:p w14:paraId="42FE6C3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proportion of  pregnant women from </w:t>
            </w:r>
            <w:r w:rsidRPr="005C0B8F">
              <w:rPr>
                <w:rFonts w:eastAsia="Times New Roman"/>
                <w:b/>
                <w:bCs/>
                <w:color w:val="000000"/>
                <w:szCs w:val="24"/>
                <w:lang w:eastAsia="en-GB"/>
              </w:rPr>
              <w:t>L3</w:t>
            </w:r>
            <w:r w:rsidRPr="005C0B8F">
              <w:rPr>
                <w:rFonts w:eastAsia="Times New Roman"/>
                <w:color w:val="000000"/>
                <w:szCs w:val="24"/>
                <w:lang w:eastAsia="en-GB"/>
              </w:rPr>
              <w:t xml:space="preserve"> progressing to </w:t>
            </w:r>
            <w:r w:rsidRPr="005C0B8F">
              <w:rPr>
                <w:rFonts w:eastAsia="Times New Roman"/>
                <w:b/>
                <w:bCs/>
                <w:color w:val="000000"/>
                <w:szCs w:val="24"/>
                <w:lang w:eastAsia="en-GB"/>
              </w:rPr>
              <w:t>Ia</w:t>
            </w:r>
          </w:p>
        </w:tc>
        <w:tc>
          <w:tcPr>
            <w:tcW w:w="1742" w:type="dxa"/>
            <w:tcBorders>
              <w:top w:val="nil"/>
              <w:left w:val="nil"/>
              <w:bottom w:val="single" w:sz="8" w:space="0" w:color="auto"/>
              <w:right w:val="single" w:sz="8" w:space="0" w:color="auto"/>
            </w:tcBorders>
            <w:shd w:val="clear" w:color="auto" w:fill="auto"/>
            <w:noWrap/>
            <w:vAlign w:val="center"/>
            <w:hideMark/>
          </w:tcPr>
          <w:p w14:paraId="3589990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221AD58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F4B355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x</w:t>
            </w:r>
          </w:p>
        </w:tc>
        <w:tc>
          <w:tcPr>
            <w:tcW w:w="2162" w:type="dxa"/>
            <w:tcBorders>
              <w:top w:val="nil"/>
              <w:left w:val="nil"/>
              <w:bottom w:val="single" w:sz="8" w:space="0" w:color="auto"/>
              <w:right w:val="single" w:sz="8" w:space="0" w:color="auto"/>
            </w:tcBorders>
            <w:shd w:val="clear" w:color="auto" w:fill="auto"/>
            <w:noWrap/>
            <w:vAlign w:val="center"/>
            <w:hideMark/>
          </w:tcPr>
          <w:p w14:paraId="4349E53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1483" w:type="dxa"/>
            <w:tcBorders>
              <w:top w:val="nil"/>
              <w:left w:val="nil"/>
              <w:bottom w:val="single" w:sz="8" w:space="0" w:color="auto"/>
              <w:right w:val="single" w:sz="8" w:space="0" w:color="auto"/>
            </w:tcBorders>
            <w:shd w:val="clear" w:color="auto" w:fill="auto"/>
            <w:noWrap/>
            <w:vAlign w:val="center"/>
            <w:hideMark/>
          </w:tcPr>
          <w:p w14:paraId="04EAE83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1230" w:type="dxa"/>
            <w:tcBorders>
              <w:top w:val="nil"/>
              <w:left w:val="nil"/>
              <w:bottom w:val="single" w:sz="8" w:space="0" w:color="auto"/>
              <w:right w:val="single" w:sz="8" w:space="0" w:color="auto"/>
            </w:tcBorders>
            <w:shd w:val="clear" w:color="auto" w:fill="auto"/>
            <w:noWrap/>
            <w:vAlign w:val="center"/>
            <w:hideMark/>
          </w:tcPr>
          <w:p w14:paraId="42DC38A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7478" w:type="dxa"/>
            <w:tcBorders>
              <w:top w:val="nil"/>
              <w:left w:val="nil"/>
              <w:bottom w:val="single" w:sz="8" w:space="0" w:color="auto"/>
              <w:right w:val="single" w:sz="8" w:space="0" w:color="auto"/>
            </w:tcBorders>
            <w:shd w:val="clear" w:color="auto" w:fill="auto"/>
            <w:noWrap/>
            <w:vAlign w:val="center"/>
            <w:hideMark/>
          </w:tcPr>
          <w:p w14:paraId="157696B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progressing from </w:t>
            </w:r>
            <w:r w:rsidRPr="005C0B8F">
              <w:rPr>
                <w:rFonts w:eastAsia="Times New Roman"/>
                <w:b/>
                <w:bCs/>
                <w:color w:val="000000"/>
                <w:szCs w:val="24"/>
                <w:lang w:eastAsia="en-GB"/>
              </w:rPr>
              <w:t>Ia</w:t>
            </w:r>
            <w:r w:rsidRPr="005C0B8F">
              <w:rPr>
                <w:rFonts w:eastAsia="Times New Roman"/>
                <w:color w:val="000000"/>
                <w:szCs w:val="24"/>
                <w:lang w:eastAsia="en-GB"/>
              </w:rPr>
              <w:t xml:space="preserve"> to </w:t>
            </w:r>
            <w:r w:rsidRPr="005C0B8F">
              <w:rPr>
                <w:rFonts w:eastAsia="Times New Roman"/>
                <w:b/>
                <w:bCs/>
                <w:color w:val="000000"/>
                <w:szCs w:val="24"/>
                <w:lang w:eastAsia="en-GB"/>
              </w:rPr>
              <w:t>Ic</w:t>
            </w:r>
          </w:p>
        </w:tc>
        <w:tc>
          <w:tcPr>
            <w:tcW w:w="1742" w:type="dxa"/>
            <w:tcBorders>
              <w:top w:val="nil"/>
              <w:left w:val="nil"/>
              <w:bottom w:val="single" w:sz="8" w:space="0" w:color="auto"/>
              <w:right w:val="single" w:sz="8" w:space="0" w:color="auto"/>
            </w:tcBorders>
            <w:shd w:val="clear" w:color="auto" w:fill="auto"/>
            <w:noWrap/>
            <w:vAlign w:val="center"/>
            <w:hideMark/>
          </w:tcPr>
          <w:p w14:paraId="017FE25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76E87B58"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A7DB504"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m1</w:t>
            </w:r>
          </w:p>
        </w:tc>
        <w:tc>
          <w:tcPr>
            <w:tcW w:w="2162" w:type="dxa"/>
            <w:tcBorders>
              <w:top w:val="nil"/>
              <w:left w:val="nil"/>
              <w:bottom w:val="single" w:sz="8" w:space="0" w:color="auto"/>
              <w:right w:val="single" w:sz="8" w:space="0" w:color="auto"/>
            </w:tcBorders>
            <w:shd w:val="clear" w:color="auto" w:fill="auto"/>
            <w:noWrap/>
            <w:vAlign w:val="center"/>
            <w:hideMark/>
          </w:tcPr>
          <w:p w14:paraId="4396492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0.57</w:t>
            </w:r>
          </w:p>
        </w:tc>
        <w:tc>
          <w:tcPr>
            <w:tcW w:w="1483" w:type="dxa"/>
            <w:tcBorders>
              <w:top w:val="nil"/>
              <w:left w:val="nil"/>
              <w:bottom w:val="single" w:sz="8" w:space="0" w:color="auto"/>
              <w:right w:val="single" w:sz="8" w:space="0" w:color="auto"/>
            </w:tcBorders>
            <w:shd w:val="clear" w:color="auto" w:fill="auto"/>
            <w:noWrap/>
            <w:vAlign w:val="center"/>
            <w:hideMark/>
          </w:tcPr>
          <w:p w14:paraId="77817EE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w:t>
            </w:r>
          </w:p>
        </w:tc>
        <w:tc>
          <w:tcPr>
            <w:tcW w:w="1230" w:type="dxa"/>
            <w:tcBorders>
              <w:top w:val="nil"/>
              <w:left w:val="nil"/>
              <w:bottom w:val="single" w:sz="8" w:space="0" w:color="auto"/>
              <w:right w:val="single" w:sz="8" w:space="0" w:color="auto"/>
            </w:tcBorders>
            <w:shd w:val="clear" w:color="auto" w:fill="auto"/>
            <w:noWrap/>
            <w:vAlign w:val="center"/>
            <w:hideMark/>
          </w:tcPr>
          <w:p w14:paraId="3DEF9D3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w:t>
            </w:r>
          </w:p>
        </w:tc>
        <w:tc>
          <w:tcPr>
            <w:tcW w:w="7478" w:type="dxa"/>
            <w:tcBorders>
              <w:top w:val="nil"/>
              <w:left w:val="nil"/>
              <w:bottom w:val="single" w:sz="8" w:space="0" w:color="auto"/>
              <w:right w:val="single" w:sz="8" w:space="0" w:color="auto"/>
            </w:tcBorders>
            <w:shd w:val="clear" w:color="auto" w:fill="auto"/>
            <w:noWrap/>
            <w:vAlign w:val="center"/>
            <w:hideMark/>
          </w:tcPr>
          <w:p w14:paraId="2C704EA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infection among children under 6 years and pregnant  women</w:t>
            </w:r>
          </w:p>
        </w:tc>
        <w:tc>
          <w:tcPr>
            <w:tcW w:w="1742" w:type="dxa"/>
            <w:tcBorders>
              <w:top w:val="nil"/>
              <w:left w:val="nil"/>
              <w:bottom w:val="single" w:sz="8" w:space="0" w:color="auto"/>
              <w:right w:val="single" w:sz="8" w:space="0" w:color="auto"/>
            </w:tcBorders>
            <w:shd w:val="clear" w:color="auto" w:fill="auto"/>
            <w:noWrap/>
            <w:vAlign w:val="center"/>
            <w:hideMark/>
          </w:tcPr>
          <w:p w14:paraId="6B85610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1E44593B"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FD0E08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m2</w:t>
            </w:r>
          </w:p>
        </w:tc>
        <w:tc>
          <w:tcPr>
            <w:tcW w:w="2162" w:type="dxa"/>
            <w:tcBorders>
              <w:top w:val="nil"/>
              <w:left w:val="nil"/>
              <w:bottom w:val="single" w:sz="8" w:space="0" w:color="auto"/>
              <w:right w:val="single" w:sz="8" w:space="0" w:color="auto"/>
            </w:tcBorders>
            <w:shd w:val="clear" w:color="auto" w:fill="auto"/>
            <w:noWrap/>
            <w:vAlign w:val="center"/>
            <w:hideMark/>
          </w:tcPr>
          <w:p w14:paraId="1B422A6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0.77</w:t>
            </w:r>
          </w:p>
        </w:tc>
        <w:tc>
          <w:tcPr>
            <w:tcW w:w="1483" w:type="dxa"/>
            <w:tcBorders>
              <w:top w:val="nil"/>
              <w:left w:val="nil"/>
              <w:bottom w:val="single" w:sz="8" w:space="0" w:color="auto"/>
              <w:right w:val="single" w:sz="8" w:space="0" w:color="auto"/>
            </w:tcBorders>
            <w:shd w:val="clear" w:color="auto" w:fill="auto"/>
            <w:noWrap/>
            <w:vAlign w:val="center"/>
            <w:hideMark/>
          </w:tcPr>
          <w:p w14:paraId="5461945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0.22</w:t>
            </w:r>
          </w:p>
        </w:tc>
        <w:tc>
          <w:tcPr>
            <w:tcW w:w="1230" w:type="dxa"/>
            <w:tcBorders>
              <w:top w:val="nil"/>
              <w:left w:val="nil"/>
              <w:bottom w:val="single" w:sz="8" w:space="0" w:color="auto"/>
              <w:right w:val="single" w:sz="8" w:space="0" w:color="auto"/>
            </w:tcBorders>
            <w:shd w:val="clear" w:color="auto" w:fill="auto"/>
            <w:noWrap/>
            <w:vAlign w:val="center"/>
            <w:hideMark/>
          </w:tcPr>
          <w:p w14:paraId="3E84050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0.2</w:t>
            </w:r>
          </w:p>
        </w:tc>
        <w:tc>
          <w:tcPr>
            <w:tcW w:w="7478" w:type="dxa"/>
            <w:tcBorders>
              <w:top w:val="nil"/>
              <w:left w:val="nil"/>
              <w:bottom w:val="single" w:sz="8" w:space="0" w:color="auto"/>
              <w:right w:val="single" w:sz="8" w:space="0" w:color="auto"/>
            </w:tcBorders>
            <w:shd w:val="clear" w:color="auto" w:fill="auto"/>
            <w:noWrap/>
            <w:vAlign w:val="center"/>
            <w:hideMark/>
          </w:tcPr>
          <w:p w14:paraId="69C0AA7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infection among non-naive population 6 years and  above</w:t>
            </w:r>
          </w:p>
        </w:tc>
        <w:tc>
          <w:tcPr>
            <w:tcW w:w="1742" w:type="dxa"/>
            <w:tcBorders>
              <w:top w:val="nil"/>
              <w:left w:val="nil"/>
              <w:bottom w:val="single" w:sz="8" w:space="0" w:color="auto"/>
              <w:right w:val="single" w:sz="8" w:space="0" w:color="auto"/>
            </w:tcBorders>
            <w:shd w:val="clear" w:color="auto" w:fill="auto"/>
            <w:noWrap/>
            <w:vAlign w:val="center"/>
            <w:hideMark/>
          </w:tcPr>
          <w:p w14:paraId="1F586C6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5AD36947"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F1FF8C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pst</w:t>
            </w:r>
          </w:p>
        </w:tc>
        <w:tc>
          <w:tcPr>
            <w:tcW w:w="2162" w:type="dxa"/>
            <w:tcBorders>
              <w:top w:val="nil"/>
              <w:left w:val="nil"/>
              <w:bottom w:val="single" w:sz="8" w:space="0" w:color="auto"/>
              <w:right w:val="single" w:sz="8" w:space="0" w:color="auto"/>
            </w:tcBorders>
            <w:shd w:val="clear" w:color="auto" w:fill="auto"/>
            <w:noWrap/>
            <w:vAlign w:val="center"/>
            <w:hideMark/>
          </w:tcPr>
          <w:p w14:paraId="4898146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w:t>
            </w:r>
          </w:p>
        </w:tc>
        <w:tc>
          <w:tcPr>
            <w:tcW w:w="1483" w:type="dxa"/>
            <w:tcBorders>
              <w:top w:val="nil"/>
              <w:left w:val="nil"/>
              <w:bottom w:val="single" w:sz="8" w:space="0" w:color="auto"/>
              <w:right w:val="single" w:sz="8" w:space="0" w:color="auto"/>
            </w:tcBorders>
            <w:shd w:val="clear" w:color="auto" w:fill="auto"/>
            <w:noWrap/>
            <w:vAlign w:val="center"/>
            <w:hideMark/>
          </w:tcPr>
          <w:p w14:paraId="0D52B38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0.71</w:t>
            </w:r>
          </w:p>
        </w:tc>
        <w:tc>
          <w:tcPr>
            <w:tcW w:w="1230" w:type="dxa"/>
            <w:tcBorders>
              <w:top w:val="nil"/>
              <w:left w:val="nil"/>
              <w:bottom w:val="single" w:sz="8" w:space="0" w:color="auto"/>
              <w:right w:val="single" w:sz="8" w:space="0" w:color="auto"/>
            </w:tcBorders>
            <w:shd w:val="clear" w:color="auto" w:fill="auto"/>
            <w:noWrap/>
            <w:vAlign w:val="center"/>
            <w:hideMark/>
          </w:tcPr>
          <w:p w14:paraId="38BDA67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0.73</w:t>
            </w:r>
          </w:p>
        </w:tc>
        <w:tc>
          <w:tcPr>
            <w:tcW w:w="7478" w:type="dxa"/>
            <w:tcBorders>
              <w:top w:val="nil"/>
              <w:left w:val="nil"/>
              <w:bottom w:val="single" w:sz="8" w:space="0" w:color="auto"/>
              <w:right w:val="single" w:sz="8" w:space="0" w:color="auto"/>
            </w:tcBorders>
            <w:shd w:val="clear" w:color="auto" w:fill="auto"/>
            <w:noWrap/>
            <w:vAlign w:val="center"/>
            <w:hideMark/>
          </w:tcPr>
          <w:p w14:paraId="5EA8296D"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seeking treatment at the health facility</w:t>
            </w:r>
          </w:p>
        </w:tc>
        <w:tc>
          <w:tcPr>
            <w:tcW w:w="1742" w:type="dxa"/>
            <w:tcBorders>
              <w:top w:val="nil"/>
              <w:left w:val="nil"/>
              <w:bottom w:val="single" w:sz="8" w:space="0" w:color="auto"/>
              <w:right w:val="single" w:sz="8" w:space="0" w:color="auto"/>
            </w:tcBorders>
            <w:shd w:val="clear" w:color="auto" w:fill="auto"/>
            <w:noWrap/>
            <w:vAlign w:val="center"/>
            <w:hideMark/>
          </w:tcPr>
          <w:p w14:paraId="744A20A6" w14:textId="26A4C39A"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IiHl9HZE","properties":{"formattedCitation":"[19]","plainCitation":"[19]","noteIndex":0},"citationItems":[{"id":1398,"uris":["http://zotero.org/users/584652/items/Q4W7J7X3"],"uri":["http://zotero.org/users/584652/items/Q4W7J7X3"],"itemData":{"id":1398,"type":"article","abstract":"ICF.","publisher":"Accra, Ghana, and Rockville, Maryland, USA: GSS, GHS, and ICF","title":"Ghana Malaria Indictor Survey, 2016","URL":"www.DHSprogram.com","author":[{"family":"Ghana Statistical Service (GSS)","given":""},{"family":"Ghana Health Service (GHS)","given":""}],"issued":{"date-parts":[["2017"]]}}}],"schema":"https://github.com/citation-style-language/schema/raw/master/csl-citation.json"} </w:instrText>
            </w:r>
            <w:r>
              <w:rPr>
                <w:rFonts w:eastAsia="Times New Roman"/>
                <w:color w:val="000000"/>
                <w:szCs w:val="24"/>
                <w:lang w:eastAsia="en-GB"/>
              </w:rPr>
              <w:fldChar w:fldCharType="separate"/>
            </w:r>
            <w:r w:rsidRPr="0064214D">
              <w:t>[19]</w:t>
            </w:r>
            <w:r>
              <w:rPr>
                <w:rFonts w:eastAsia="Times New Roman"/>
                <w:color w:val="000000"/>
                <w:szCs w:val="24"/>
                <w:lang w:eastAsia="en-GB"/>
              </w:rPr>
              <w:fldChar w:fldCharType="end"/>
            </w:r>
          </w:p>
        </w:tc>
      </w:tr>
      <w:tr w:rsidR="004F3765" w:rsidRPr="005C0B8F" w14:paraId="7AB137BA"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B7AB51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prob</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D8112B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0.5</w:t>
            </w:r>
          </w:p>
        </w:tc>
        <w:tc>
          <w:tcPr>
            <w:tcW w:w="7478" w:type="dxa"/>
            <w:tcBorders>
              <w:top w:val="nil"/>
              <w:left w:val="nil"/>
              <w:bottom w:val="single" w:sz="8" w:space="0" w:color="auto"/>
              <w:right w:val="single" w:sz="8" w:space="0" w:color="auto"/>
            </w:tcBorders>
            <w:shd w:val="clear" w:color="auto" w:fill="auto"/>
            <w:noWrap/>
            <w:vAlign w:val="center"/>
            <w:hideMark/>
          </w:tcPr>
          <w:p w14:paraId="4BB7992C"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a bite resulting into a mosquito being infected or a human being infected following a bite from an mosquito</w:t>
            </w:r>
          </w:p>
        </w:tc>
        <w:tc>
          <w:tcPr>
            <w:tcW w:w="1742" w:type="dxa"/>
            <w:tcBorders>
              <w:top w:val="nil"/>
              <w:left w:val="nil"/>
              <w:bottom w:val="single" w:sz="8" w:space="0" w:color="auto"/>
              <w:right w:val="single" w:sz="8" w:space="0" w:color="auto"/>
            </w:tcBorders>
            <w:shd w:val="clear" w:color="auto" w:fill="auto"/>
            <w:noWrap/>
            <w:vAlign w:val="center"/>
            <w:hideMark/>
          </w:tcPr>
          <w:p w14:paraId="5D7C0AA5" w14:textId="19F0C2D7"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iTQBdPag","properties":{"formattedCitation":"[20]","plainCitation":"[20]","noteIndex":0},"citationItems":[{"id":10,"uris":["http://zotero.org/users/584652/items/38ZVAVFH"],"uri":["http://zotero.org/users/584652/items/38ZVAVFH"],"itemData":{"id":10,"type":"article-journal","abstract":"Mathematical models have been used to provide an explicit framework for understanding malaria transmission dynamics in human population for over 100 years. With the disease still thriving and threatening to be a major source of death and disability due to changed environmental and socio-economic conditions, it is necessary to make a critical assessment of the existing models, and study their evolution and efficacy in describing the host-parasite biology. In this article, starting from the basic Ross model, the key mathematical models and their underlying features, based on their specific contributions in the understanding of spread and transmission of malaria have been discussed. The first aim of this article is to develop, starting from the basic models, a hierarchical structure of a range of deterministic models of different levels of complexity. The second objective is to elaborate, using some of the representative mathematical models, the evolution of modelling strategies to describe malaria incidence by including the critical features of host-vector-parasite interactions. Emphasis is more on the evolution of the deterministic differential equation based epidemiological compartment models with a brief discussion on data based statistical models. In this comprehensive survey, the approach has been to summarize the modelling activity in this area so that it helps reach a wider range of researchers working on epidemiology, transmission, and other aspects of malaria. This may facilitate the mathematicians to further develop suitable models in this direction relevant to the present scenario, and help the biologists and public health personnel to adopt better understanding of the modelling strategies to control the disease","container-title":"Malaria Journal","DOI":"10.1186/1475-2875-10-202","ISSN":"1475-2875","journalAbbreviation":"Malar J","note":"00079 \nPMID: 21777413\nPMCID: PMC3162588","page":"202","source":"PubMed Central","title":"Mathematical models of malaria - a review","volume":"10","author":[{"family":"Mandal","given":"Sandip"},{"family":"Sarkar","given":"Ram Rup"},{"family":"Sinha","given":"Somdatta"}],"issued":{"date-parts":[["2011",7,21]]}}}],"schema":"https://github.com/citation-style-language/schema/raw/master/csl-citation.json"} </w:instrText>
            </w:r>
            <w:r>
              <w:rPr>
                <w:rFonts w:eastAsia="Times New Roman"/>
                <w:color w:val="000000"/>
                <w:szCs w:val="24"/>
                <w:lang w:eastAsia="en-GB"/>
              </w:rPr>
              <w:fldChar w:fldCharType="separate"/>
            </w:r>
            <w:r w:rsidRPr="0064214D">
              <w:t>[20]</w:t>
            </w:r>
            <w:r>
              <w:rPr>
                <w:rFonts w:eastAsia="Times New Roman"/>
                <w:color w:val="000000"/>
                <w:szCs w:val="24"/>
                <w:lang w:eastAsia="en-GB"/>
              </w:rPr>
              <w:fldChar w:fldCharType="end"/>
            </w:r>
          </w:p>
        </w:tc>
      </w:tr>
      <w:tr w:rsidR="004F3765" w:rsidRPr="005C0B8F" w14:paraId="2C4AB62F"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BB3C7F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pn</w:t>
            </w:r>
          </w:p>
        </w:tc>
        <w:tc>
          <w:tcPr>
            <w:tcW w:w="2162" w:type="dxa"/>
            <w:tcBorders>
              <w:top w:val="nil"/>
              <w:left w:val="nil"/>
              <w:bottom w:val="single" w:sz="8" w:space="0" w:color="auto"/>
              <w:right w:val="single" w:sz="8" w:space="0" w:color="auto"/>
            </w:tcBorders>
            <w:shd w:val="clear" w:color="auto" w:fill="auto"/>
            <w:noWrap/>
            <w:vAlign w:val="center"/>
            <w:hideMark/>
          </w:tcPr>
          <w:p w14:paraId="3B0B301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0.125</w:t>
            </w:r>
          </w:p>
        </w:tc>
        <w:tc>
          <w:tcPr>
            <w:tcW w:w="1483" w:type="dxa"/>
            <w:tcBorders>
              <w:top w:val="nil"/>
              <w:left w:val="nil"/>
              <w:bottom w:val="single" w:sz="8" w:space="0" w:color="auto"/>
              <w:right w:val="single" w:sz="8" w:space="0" w:color="auto"/>
            </w:tcBorders>
            <w:shd w:val="clear" w:color="auto" w:fill="auto"/>
            <w:noWrap/>
            <w:vAlign w:val="center"/>
            <w:hideMark/>
          </w:tcPr>
          <w:p w14:paraId="373FADD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0.125</w:t>
            </w:r>
          </w:p>
        </w:tc>
        <w:tc>
          <w:tcPr>
            <w:tcW w:w="1230" w:type="dxa"/>
            <w:tcBorders>
              <w:top w:val="nil"/>
              <w:left w:val="nil"/>
              <w:bottom w:val="single" w:sz="8" w:space="0" w:color="auto"/>
              <w:right w:val="single" w:sz="8" w:space="0" w:color="auto"/>
            </w:tcBorders>
            <w:shd w:val="clear" w:color="auto" w:fill="auto"/>
            <w:noWrap/>
            <w:vAlign w:val="center"/>
            <w:hideMark/>
          </w:tcPr>
          <w:p w14:paraId="20FD6E7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0.125</w:t>
            </w:r>
          </w:p>
        </w:tc>
        <w:tc>
          <w:tcPr>
            <w:tcW w:w="7478" w:type="dxa"/>
            <w:tcBorders>
              <w:top w:val="nil"/>
              <w:left w:val="nil"/>
              <w:bottom w:val="single" w:sz="8" w:space="0" w:color="auto"/>
              <w:right w:val="single" w:sz="8" w:space="0" w:color="auto"/>
            </w:tcBorders>
            <w:shd w:val="clear" w:color="auto" w:fill="auto"/>
            <w:noWrap/>
            <w:vAlign w:val="center"/>
            <w:hideMark/>
          </w:tcPr>
          <w:p w14:paraId="3582D49F"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population of children under 6 years (number)</w:t>
            </w:r>
          </w:p>
        </w:tc>
        <w:tc>
          <w:tcPr>
            <w:tcW w:w="1742" w:type="dxa"/>
            <w:tcBorders>
              <w:top w:val="nil"/>
              <w:left w:val="nil"/>
              <w:bottom w:val="single" w:sz="8" w:space="0" w:color="auto"/>
              <w:right w:val="single" w:sz="8" w:space="0" w:color="auto"/>
            </w:tcBorders>
            <w:shd w:val="clear" w:color="auto" w:fill="auto"/>
            <w:noWrap/>
            <w:vAlign w:val="center"/>
            <w:hideMark/>
          </w:tcPr>
          <w:p w14:paraId="77239CFE" w14:textId="446F680E" w:rsidR="004F3765" w:rsidRPr="005C0B8F" w:rsidRDefault="004F3765" w:rsidP="0064214D">
            <w:pPr>
              <w:spacing w:after="0" w:line="240" w:lineRule="auto"/>
              <w:jc w:val="center"/>
              <w:rPr>
                <w:rFonts w:eastAsia="Times New Roman"/>
                <w:color w:val="000000"/>
                <w:szCs w:val="24"/>
                <w:lang w:eastAsia="en-GB"/>
              </w:rPr>
            </w:pPr>
            <w:r w:rsidRPr="005C0B8F">
              <w:rPr>
                <w:rFonts w:eastAsia="Times New Roman"/>
                <w:color w:val="000000"/>
                <w:szCs w:val="24"/>
                <w:lang w:eastAsia="en-GB"/>
              </w:rPr>
              <w:t>]</w:t>
            </w:r>
            <w:r w:rsidR="0064214D">
              <w:rPr>
                <w:rFonts w:eastAsia="Times New Roman"/>
                <w:color w:val="000000"/>
                <w:szCs w:val="24"/>
                <w:lang w:eastAsia="en-GB"/>
              </w:rPr>
              <w:fldChar w:fldCharType="begin"/>
            </w:r>
            <w:r w:rsidR="0064214D">
              <w:rPr>
                <w:rFonts w:eastAsia="Times New Roman"/>
                <w:color w:val="000000"/>
                <w:szCs w:val="24"/>
                <w:lang w:eastAsia="en-GB"/>
              </w:rPr>
              <w:instrText xml:space="preserve"> ADDIN ZOTERO_ITEM CSL_CITATION {"citationID":"NY1V6T3u","properties":{"formattedCitation":"[21]","plainCitation":"[21]","noteIndex":0},"citationItems":[{"id":1141,"uris":["http://zotero.org/users/584652/items/JREQEHZD"],"uri":["http://zotero.org/users/584652/items/JREQEHZD"],"itemData":{"id":1141,"type":"article-journal","container-title":"Journal of Parasitology Research","DOI":"10.1155/2015/959427","ISSN":"2090-0023, 2090-0031","language":"en","page":"1-6","source":"CrossRef","title":"Effectiveness of Intermittent Preventive Treatment in Pregnancy with Sulphadoxine-Pyrimethamine against Submicroscopic &lt;i&gt;falciparum&lt;/i&gt; Malaria in Central Region, Ghana","volume":"2015","author":[{"family":"Nwaefuna","given":"Ekene K."},{"family":"Afoakwah","given":"Richmond"},{"family":"Orish","given":"Verner N."},{"family":"Egyir-Yawson","given":"Alexander"},{"family":"Boampong","given":"Johnson N."}],"issued":{"date-parts":[["2015"]]}}}],"schema":"https://github.com/citation-style-language/schema/raw/master/csl-citation.json"} </w:instrText>
            </w:r>
            <w:r w:rsidR="0064214D">
              <w:rPr>
                <w:rFonts w:eastAsia="Times New Roman"/>
                <w:color w:val="000000"/>
                <w:szCs w:val="24"/>
                <w:lang w:eastAsia="en-GB"/>
              </w:rPr>
              <w:fldChar w:fldCharType="separate"/>
            </w:r>
            <w:r w:rsidR="0064214D" w:rsidRPr="0064214D">
              <w:t>[21]</w:t>
            </w:r>
            <w:r w:rsidR="0064214D">
              <w:rPr>
                <w:rFonts w:eastAsia="Times New Roman"/>
                <w:color w:val="000000"/>
                <w:szCs w:val="24"/>
                <w:lang w:eastAsia="en-GB"/>
              </w:rPr>
              <w:fldChar w:fldCharType="end"/>
            </w:r>
          </w:p>
        </w:tc>
      </w:tr>
      <w:tr w:rsidR="004F3765" w:rsidRPr="005C0B8F" w14:paraId="2EE8D7FC"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93BF0E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pm</w:t>
            </w:r>
          </w:p>
        </w:tc>
        <w:tc>
          <w:tcPr>
            <w:tcW w:w="2162" w:type="dxa"/>
            <w:tcBorders>
              <w:top w:val="nil"/>
              <w:left w:val="nil"/>
              <w:bottom w:val="single" w:sz="8" w:space="0" w:color="auto"/>
              <w:right w:val="single" w:sz="8" w:space="0" w:color="auto"/>
            </w:tcBorders>
            <w:shd w:val="clear" w:color="auto" w:fill="auto"/>
            <w:noWrap/>
            <w:vAlign w:val="center"/>
            <w:hideMark/>
          </w:tcPr>
          <w:p w14:paraId="1B96BBB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0.874375</w:t>
            </w:r>
          </w:p>
        </w:tc>
        <w:tc>
          <w:tcPr>
            <w:tcW w:w="1483" w:type="dxa"/>
            <w:tcBorders>
              <w:top w:val="nil"/>
              <w:left w:val="nil"/>
              <w:bottom w:val="single" w:sz="8" w:space="0" w:color="auto"/>
              <w:right w:val="single" w:sz="8" w:space="0" w:color="auto"/>
            </w:tcBorders>
            <w:shd w:val="clear" w:color="auto" w:fill="auto"/>
            <w:noWrap/>
            <w:vAlign w:val="center"/>
            <w:hideMark/>
          </w:tcPr>
          <w:p w14:paraId="00AC52D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0.87425</w:t>
            </w:r>
          </w:p>
        </w:tc>
        <w:tc>
          <w:tcPr>
            <w:tcW w:w="1230" w:type="dxa"/>
            <w:tcBorders>
              <w:top w:val="nil"/>
              <w:left w:val="nil"/>
              <w:bottom w:val="single" w:sz="8" w:space="0" w:color="auto"/>
              <w:right w:val="single" w:sz="8" w:space="0" w:color="auto"/>
            </w:tcBorders>
            <w:shd w:val="clear" w:color="auto" w:fill="auto"/>
            <w:noWrap/>
            <w:vAlign w:val="center"/>
            <w:hideMark/>
          </w:tcPr>
          <w:p w14:paraId="6DF2E98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0.874415</w:t>
            </w:r>
          </w:p>
        </w:tc>
        <w:tc>
          <w:tcPr>
            <w:tcW w:w="7478" w:type="dxa"/>
            <w:tcBorders>
              <w:top w:val="nil"/>
              <w:left w:val="nil"/>
              <w:bottom w:val="single" w:sz="8" w:space="0" w:color="auto"/>
              <w:right w:val="single" w:sz="8" w:space="0" w:color="auto"/>
            </w:tcBorders>
            <w:shd w:val="clear" w:color="auto" w:fill="auto"/>
            <w:noWrap/>
            <w:vAlign w:val="center"/>
            <w:hideMark/>
          </w:tcPr>
          <w:p w14:paraId="1AF4ED2F"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population 6 years and above (number)</w:t>
            </w:r>
          </w:p>
        </w:tc>
        <w:tc>
          <w:tcPr>
            <w:tcW w:w="1742" w:type="dxa"/>
            <w:tcBorders>
              <w:top w:val="nil"/>
              <w:left w:val="nil"/>
              <w:bottom w:val="single" w:sz="8" w:space="0" w:color="auto"/>
              <w:right w:val="single" w:sz="8" w:space="0" w:color="auto"/>
            </w:tcBorders>
            <w:shd w:val="clear" w:color="auto" w:fill="auto"/>
            <w:noWrap/>
            <w:vAlign w:val="center"/>
            <w:hideMark/>
          </w:tcPr>
          <w:p w14:paraId="413BD1B5" w14:textId="00F7B28A"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XqaZ9Z9N","properties":{"formattedCitation":"[15]","plainCitation":"[15]","noteIndex":0},"citationItems":[{"id":1591,"uris":["http://zotero.org/users/584652/items/9AI3LILB"],"uri":["http://zotero.org/users/584652/items/9AI3LILB"],"itemData":{"id":1591,"type":"article-journal","abstract":"Following anti-malarial drug treatment asexual malaria parasite killing and clearance appear to be first order processes. Damaged malaria parasites in circulating erythrocytes are removed from the circulation mainly by the spleen. Splenic clearance functions increase markedly in acute malaria. Either the entire infected erythrocytes are removed because of their reduced deformability or increased antibody binding or, for the artemisinins which act on young ring stage parasites, splenic pitting of drug-damaged parasites is an important mechanism of clearance. The once-infected erythrocytes returned to the circulation have shortened survival. This contributes to post-artesunate haemolysis that may follow recovery in non-immune hyperparasitaemic patients. As the parasites mature Plasmodium vivax-infected erythrocytes become more deformable, whereas Plasmodium falciparum-infected erythrocytes become less deformable, but they escape splenic filtration by sequestering in venules and capillaries. Sequestered parasites are killed in situ by anti-malarial drugs and then disintegrate to be cleared by phagocytic leukocytes. After treatment with artemisinin derivatives some asexual parasites become temporarily dormant within their infected erythrocytes, and these may regrow after anti-malarial drug concentrations decline. Artemisinin resistance in P. falciparum reflects reduced ring stage susceptibility and manifests as slow parasite clearance. This is best assessed from the slope of the log-linear phase of parasitaemia reduction and is commonly measured as a parasite clearance half-life. Pharmacokinetic-pharmacodynamic modelling of anti-malarial drug effects on parasite clearance has proved useful in predicting therapeutic responses and in dose-optimization.","container-title":"Malar J","language":"en","page":"14","source":"Zotero","title":"Malaria parasite clearance","author":[{"family":"White","given":"Nicholas J"}],"issued":{"date-parts":[["2017"]]}}}],"schema":"https://github.com/citation-style-language/schema/raw/master/csl-citation.json"} </w:instrText>
            </w:r>
            <w:r>
              <w:rPr>
                <w:rFonts w:eastAsia="Times New Roman"/>
                <w:color w:val="000000"/>
                <w:szCs w:val="24"/>
                <w:lang w:eastAsia="en-GB"/>
              </w:rPr>
              <w:fldChar w:fldCharType="separate"/>
            </w:r>
            <w:r w:rsidRPr="0064214D">
              <w:t>[15]</w:t>
            </w:r>
            <w:r>
              <w:rPr>
                <w:rFonts w:eastAsia="Times New Roman"/>
                <w:color w:val="000000"/>
                <w:szCs w:val="24"/>
                <w:lang w:eastAsia="en-GB"/>
              </w:rPr>
              <w:fldChar w:fldCharType="end"/>
            </w:r>
          </w:p>
        </w:tc>
      </w:tr>
      <w:tr w:rsidR="004F3765" w:rsidRPr="005C0B8F" w14:paraId="094627BF"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5B2A01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pt2</w:t>
            </w:r>
          </w:p>
        </w:tc>
        <w:tc>
          <w:tcPr>
            <w:tcW w:w="2162" w:type="dxa"/>
            <w:tcBorders>
              <w:top w:val="nil"/>
              <w:left w:val="nil"/>
              <w:bottom w:val="single" w:sz="8" w:space="0" w:color="auto"/>
              <w:right w:val="single" w:sz="8" w:space="0" w:color="auto"/>
            </w:tcBorders>
            <w:shd w:val="clear" w:color="auto" w:fill="auto"/>
            <w:noWrap/>
            <w:vAlign w:val="center"/>
            <w:hideMark/>
          </w:tcPr>
          <w:p w14:paraId="20B5298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0.99</w:t>
            </w:r>
          </w:p>
        </w:tc>
        <w:tc>
          <w:tcPr>
            <w:tcW w:w="1483" w:type="dxa"/>
            <w:tcBorders>
              <w:top w:val="nil"/>
              <w:left w:val="nil"/>
              <w:bottom w:val="single" w:sz="8" w:space="0" w:color="auto"/>
              <w:right w:val="single" w:sz="8" w:space="0" w:color="auto"/>
            </w:tcBorders>
            <w:shd w:val="clear" w:color="auto" w:fill="auto"/>
            <w:noWrap/>
            <w:vAlign w:val="center"/>
            <w:hideMark/>
          </w:tcPr>
          <w:p w14:paraId="6107650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0.99</w:t>
            </w:r>
          </w:p>
        </w:tc>
        <w:tc>
          <w:tcPr>
            <w:tcW w:w="1230" w:type="dxa"/>
            <w:tcBorders>
              <w:top w:val="nil"/>
              <w:left w:val="nil"/>
              <w:bottom w:val="single" w:sz="8" w:space="0" w:color="auto"/>
              <w:right w:val="single" w:sz="8" w:space="0" w:color="auto"/>
            </w:tcBorders>
            <w:shd w:val="clear" w:color="auto" w:fill="auto"/>
            <w:noWrap/>
            <w:vAlign w:val="center"/>
            <w:hideMark/>
          </w:tcPr>
          <w:p w14:paraId="73BBABD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0.99</w:t>
            </w:r>
          </w:p>
        </w:tc>
        <w:tc>
          <w:tcPr>
            <w:tcW w:w="7478" w:type="dxa"/>
            <w:tcBorders>
              <w:top w:val="nil"/>
              <w:left w:val="nil"/>
              <w:bottom w:val="single" w:sz="8" w:space="0" w:color="auto"/>
              <w:right w:val="single" w:sz="8" w:space="0" w:color="auto"/>
            </w:tcBorders>
            <w:shd w:val="clear" w:color="auto" w:fill="auto"/>
            <w:noWrap/>
            <w:vAlign w:val="center"/>
            <w:hideMark/>
          </w:tcPr>
          <w:p w14:paraId="01BC18F9"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being treated with </w:t>
            </w:r>
            <w:r w:rsidRPr="005C0B8F">
              <w:rPr>
                <w:rFonts w:eastAsia="Times New Roman"/>
                <w:b/>
                <w:bCs/>
                <w:color w:val="000000"/>
                <w:szCs w:val="24"/>
                <w:lang w:eastAsia="en-GB"/>
              </w:rPr>
              <w:t>QUININE</w:t>
            </w:r>
          </w:p>
        </w:tc>
        <w:tc>
          <w:tcPr>
            <w:tcW w:w="1742" w:type="dxa"/>
            <w:tcBorders>
              <w:top w:val="nil"/>
              <w:left w:val="nil"/>
              <w:bottom w:val="single" w:sz="8" w:space="0" w:color="auto"/>
              <w:right w:val="single" w:sz="8" w:space="0" w:color="auto"/>
            </w:tcBorders>
            <w:shd w:val="clear" w:color="auto" w:fill="auto"/>
            <w:noWrap/>
            <w:vAlign w:val="center"/>
            <w:hideMark/>
          </w:tcPr>
          <w:p w14:paraId="2816AF0C" w14:textId="3988F641"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RrdHPLES","properties":{"formattedCitation":"[22]","plainCitation":"[22]","noteIndex":0},"citationItems":[{"id":1380,"uris":["http://zotero.org/users/584652/items/4ENBPEIH"],"uri":["http://zotero.org/users/584652/items/4ENBPEIH"],"itemData":{"id":1380,"type":"thesis","language":"en","source":"Zotero","title":"EVALUATION OF THE LEVEL OF ADHERENCE TO THE ANTIMALARIAL DRUG POLICY BY PRESCRIBERS IN THE TREATMENT OF MALARIA IN CHILD HEALTH DIRECTORATE AT KOMFO ANOKYE TEACHING HOSPITAL.","URL":"http://ir.knust.edu.gh/xmlui/bitstream/handle/123456789/843/JOSEPH%20ATTAKORAH.pdf?sequence=1","author":[{"family":"Attakorah","given":"Joseph"}]}}],"schema":"https://github.com/citation-style-language/schema/raw/master/csl-citation.json"} </w:instrText>
            </w:r>
            <w:r>
              <w:rPr>
                <w:rFonts w:eastAsia="Times New Roman"/>
                <w:color w:val="000000"/>
                <w:szCs w:val="24"/>
                <w:lang w:eastAsia="en-GB"/>
              </w:rPr>
              <w:fldChar w:fldCharType="separate"/>
            </w:r>
            <w:r w:rsidRPr="0064214D">
              <w:t>[22]</w:t>
            </w:r>
            <w:r>
              <w:rPr>
                <w:rFonts w:eastAsia="Times New Roman"/>
                <w:color w:val="000000"/>
                <w:szCs w:val="24"/>
                <w:lang w:eastAsia="en-GB"/>
              </w:rPr>
              <w:fldChar w:fldCharType="end"/>
            </w:r>
          </w:p>
        </w:tc>
      </w:tr>
      <w:tr w:rsidR="004F3765" w:rsidRPr="005C0B8F" w14:paraId="5577A7EC"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636F805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ah1</w:t>
            </w:r>
          </w:p>
        </w:tc>
        <w:tc>
          <w:tcPr>
            <w:tcW w:w="2162" w:type="dxa"/>
            <w:tcBorders>
              <w:top w:val="nil"/>
              <w:left w:val="nil"/>
              <w:bottom w:val="single" w:sz="8" w:space="0" w:color="auto"/>
              <w:right w:val="single" w:sz="8" w:space="0" w:color="auto"/>
            </w:tcBorders>
            <w:shd w:val="clear" w:color="auto" w:fill="auto"/>
            <w:noWrap/>
            <w:vAlign w:val="center"/>
            <w:hideMark/>
          </w:tcPr>
          <w:p w14:paraId="479B34B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0.385</w:t>
            </w:r>
          </w:p>
        </w:tc>
        <w:tc>
          <w:tcPr>
            <w:tcW w:w="1483" w:type="dxa"/>
            <w:tcBorders>
              <w:top w:val="nil"/>
              <w:left w:val="nil"/>
              <w:bottom w:val="single" w:sz="8" w:space="0" w:color="auto"/>
              <w:right w:val="single" w:sz="8" w:space="0" w:color="auto"/>
            </w:tcBorders>
            <w:shd w:val="clear" w:color="auto" w:fill="auto"/>
            <w:noWrap/>
            <w:vAlign w:val="center"/>
            <w:hideMark/>
          </w:tcPr>
          <w:p w14:paraId="28412EC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0.385</w:t>
            </w:r>
          </w:p>
        </w:tc>
        <w:tc>
          <w:tcPr>
            <w:tcW w:w="1230" w:type="dxa"/>
            <w:tcBorders>
              <w:top w:val="nil"/>
              <w:left w:val="nil"/>
              <w:bottom w:val="single" w:sz="8" w:space="0" w:color="auto"/>
              <w:right w:val="single" w:sz="8" w:space="0" w:color="auto"/>
            </w:tcBorders>
            <w:shd w:val="clear" w:color="auto" w:fill="auto"/>
            <w:noWrap/>
            <w:vAlign w:val="center"/>
            <w:hideMark/>
          </w:tcPr>
          <w:p w14:paraId="67ACAF9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0.385</w:t>
            </w:r>
          </w:p>
        </w:tc>
        <w:tc>
          <w:tcPr>
            <w:tcW w:w="7478" w:type="dxa"/>
            <w:tcBorders>
              <w:top w:val="nil"/>
              <w:left w:val="nil"/>
              <w:bottom w:val="single" w:sz="8" w:space="0" w:color="auto"/>
              <w:right w:val="single" w:sz="8" w:space="0" w:color="auto"/>
            </w:tcBorders>
            <w:shd w:val="clear" w:color="auto" w:fill="auto"/>
            <w:noWrap/>
            <w:vAlign w:val="center"/>
            <w:hideMark/>
          </w:tcPr>
          <w:p w14:paraId="66D9BE4C"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proportion non-adherent to </w:t>
            </w:r>
            <w:r w:rsidRPr="005C0B8F">
              <w:rPr>
                <w:rFonts w:eastAsia="Times New Roman"/>
                <w:b/>
                <w:bCs/>
                <w:color w:val="000000"/>
                <w:szCs w:val="24"/>
                <w:lang w:eastAsia="en-GB"/>
              </w:rPr>
              <w:t>ACT</w:t>
            </w:r>
            <w:r w:rsidRPr="005C0B8F">
              <w:rPr>
                <w:rFonts w:eastAsia="Times New Roman"/>
                <w:color w:val="000000"/>
                <w:szCs w:val="24"/>
                <w:lang w:eastAsia="en-GB"/>
              </w:rPr>
              <w:t xml:space="preserve"> treatment</w:t>
            </w:r>
          </w:p>
        </w:tc>
        <w:tc>
          <w:tcPr>
            <w:tcW w:w="1742" w:type="dxa"/>
            <w:tcBorders>
              <w:top w:val="nil"/>
              <w:left w:val="nil"/>
              <w:bottom w:val="single" w:sz="8" w:space="0" w:color="auto"/>
              <w:right w:val="single" w:sz="8" w:space="0" w:color="auto"/>
            </w:tcBorders>
            <w:shd w:val="clear" w:color="auto" w:fill="auto"/>
            <w:noWrap/>
            <w:vAlign w:val="center"/>
            <w:hideMark/>
          </w:tcPr>
          <w:p w14:paraId="4A666684" w14:textId="565BF634"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BJTk4wR","properties":{"formattedCitation":"[23]","plainCitation":"[23]","noteIndex":0},"citationItems":[{"id":1131,"uris":["http://zotero.org/users/584652/items/D2JHWJSJ"],"uri":["http://zotero.org/users/584652/items/D2JHWJSJ"],"itemData":{"id":1131,"type":"article-journal","container-title":"PLoS ONE","DOI":"10.1371/journal.pone.0109032","ISSN":"1932-6203","issue":"10","language":"en","page":"e109032","source":"CrossRef","title":"The Impact of Text Message Reminders on Adherence to Antimalarial Treatment in Northern Ghana: A Randomized Trial","title-short":"The Impact of Text Message Reminders on Adherence to Antimalarial Treatment in Northern Ghana","volume":"9","author":[{"family":"Raifman","given":"Julia R. G."},{"family":"Lanthorn","given":"Heather E."},{"family":"Rokicki","given":"Slawa"},{"family":"Fink","given":"Günther"}],"editor":[{"family":"Slutsker","given":"Laurence"}],"issued":{"date-parts":[["2014",10,28]]}}}],"schema":"https://github.com/citation-style-language/schema/raw/master/csl-citation.json"} </w:instrText>
            </w:r>
            <w:r>
              <w:rPr>
                <w:rFonts w:eastAsia="Times New Roman"/>
                <w:color w:val="000000"/>
                <w:szCs w:val="24"/>
                <w:lang w:eastAsia="en-GB"/>
              </w:rPr>
              <w:fldChar w:fldCharType="separate"/>
            </w:r>
            <w:r w:rsidRPr="0064214D">
              <w:t>[23]</w:t>
            </w:r>
            <w:r>
              <w:rPr>
                <w:rFonts w:eastAsia="Times New Roman"/>
                <w:color w:val="000000"/>
                <w:szCs w:val="24"/>
                <w:lang w:eastAsia="en-GB"/>
              </w:rPr>
              <w:fldChar w:fldCharType="end"/>
            </w:r>
          </w:p>
        </w:tc>
      </w:tr>
      <w:tr w:rsidR="004F3765" w:rsidRPr="005C0B8F" w14:paraId="6B135121"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6A71FDF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ah2</w:t>
            </w:r>
          </w:p>
        </w:tc>
        <w:tc>
          <w:tcPr>
            <w:tcW w:w="2162" w:type="dxa"/>
            <w:tcBorders>
              <w:top w:val="nil"/>
              <w:left w:val="nil"/>
              <w:bottom w:val="single" w:sz="8" w:space="0" w:color="auto"/>
              <w:right w:val="single" w:sz="8" w:space="0" w:color="auto"/>
            </w:tcBorders>
            <w:shd w:val="clear" w:color="auto" w:fill="auto"/>
            <w:noWrap/>
            <w:vAlign w:val="center"/>
            <w:hideMark/>
          </w:tcPr>
          <w:p w14:paraId="322A03B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0.092</w:t>
            </w:r>
          </w:p>
        </w:tc>
        <w:tc>
          <w:tcPr>
            <w:tcW w:w="1483" w:type="dxa"/>
            <w:tcBorders>
              <w:top w:val="nil"/>
              <w:left w:val="nil"/>
              <w:bottom w:val="single" w:sz="8" w:space="0" w:color="auto"/>
              <w:right w:val="single" w:sz="8" w:space="0" w:color="auto"/>
            </w:tcBorders>
            <w:shd w:val="clear" w:color="auto" w:fill="auto"/>
            <w:noWrap/>
            <w:vAlign w:val="center"/>
            <w:hideMark/>
          </w:tcPr>
          <w:p w14:paraId="10DE5D4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0.082</w:t>
            </w:r>
          </w:p>
        </w:tc>
        <w:tc>
          <w:tcPr>
            <w:tcW w:w="1230" w:type="dxa"/>
            <w:tcBorders>
              <w:top w:val="nil"/>
              <w:left w:val="nil"/>
              <w:bottom w:val="single" w:sz="8" w:space="0" w:color="auto"/>
              <w:right w:val="single" w:sz="8" w:space="0" w:color="auto"/>
            </w:tcBorders>
            <w:shd w:val="clear" w:color="auto" w:fill="auto"/>
            <w:noWrap/>
            <w:vAlign w:val="center"/>
            <w:hideMark/>
          </w:tcPr>
          <w:p w14:paraId="3DAD2AA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0.082</w:t>
            </w:r>
          </w:p>
        </w:tc>
        <w:tc>
          <w:tcPr>
            <w:tcW w:w="7478" w:type="dxa"/>
            <w:tcBorders>
              <w:top w:val="nil"/>
              <w:left w:val="nil"/>
              <w:bottom w:val="single" w:sz="8" w:space="0" w:color="auto"/>
              <w:right w:val="single" w:sz="8" w:space="0" w:color="auto"/>
            </w:tcBorders>
            <w:shd w:val="clear" w:color="auto" w:fill="auto"/>
            <w:noWrap/>
            <w:vAlign w:val="center"/>
            <w:hideMark/>
          </w:tcPr>
          <w:p w14:paraId="374B56C3"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proportion non-adherent to  </w:t>
            </w:r>
            <w:r w:rsidRPr="005C0B8F">
              <w:rPr>
                <w:rFonts w:eastAsia="Times New Roman"/>
                <w:b/>
                <w:bCs/>
                <w:color w:val="000000"/>
                <w:szCs w:val="24"/>
                <w:lang w:eastAsia="en-GB"/>
              </w:rPr>
              <w:t>QUININE</w:t>
            </w:r>
            <w:r w:rsidRPr="005C0B8F">
              <w:rPr>
                <w:rFonts w:eastAsia="Times New Roman"/>
                <w:color w:val="000000"/>
                <w:szCs w:val="24"/>
                <w:lang w:eastAsia="en-GB"/>
              </w:rPr>
              <w:t xml:space="preserve"> treatment </w:t>
            </w:r>
          </w:p>
        </w:tc>
        <w:tc>
          <w:tcPr>
            <w:tcW w:w="1742" w:type="dxa"/>
            <w:tcBorders>
              <w:top w:val="nil"/>
              <w:left w:val="nil"/>
              <w:bottom w:val="single" w:sz="8" w:space="0" w:color="auto"/>
              <w:right w:val="single" w:sz="8" w:space="0" w:color="auto"/>
            </w:tcBorders>
            <w:shd w:val="clear" w:color="auto" w:fill="auto"/>
            <w:noWrap/>
            <w:vAlign w:val="center"/>
            <w:hideMark/>
          </w:tcPr>
          <w:p w14:paraId="604C52DA" w14:textId="2100FEFC"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h3ymidHw","properties":{"formattedCitation":"[22,24]","plainCitation":"[22,24]","noteIndex":0},"citationItems":[{"id":1380,"uris":["http://zotero.org/users/584652/items/4ENBPEIH"],"uri":["http://zotero.org/users/584652/items/4ENBPEIH"],"itemData":{"id":1380,"type":"thesis","language":"en","source":"Zotero","title":"EVALUATION OF THE LEVEL OF ADHERENCE TO THE ANTIMALARIAL DRUG POLICY BY PRESCRIBERS IN THE TREATMENT OF MALARIA IN CHILD HEALTH DIRECTORATE AT KOMFO ANOKYE TEACHING HOSPITAL.","URL":"http://ir.knust.edu.gh/xmlui/bitstream/handle/123456789/843/JOSEPH%20ATTAKORAH.pdf?sequence=1","author":[{"family":"Attakorah","given":"Joseph"}]}},{"id":1525,"uris":["http://zotero.org/users/584652/items/8XRU37U8"],"uri":["http://zotero.org/users/584652/items/8XRU37U8"],"itemData":{"id":1525,"type":"article-journal","abstract":"Background\nInjectable artesunate (AS) is the World Health Organization (WHO) recommended medication for the treatment of severe malaria followed with an oral artemisinin-based combination therapy (ACT). There are few studies indicating how physicians prescribe injectable AS, injectable quinine (Q) or injectable artemether (AR) and ACT for severe malaria. This study was undertaken to evaluate prescription compliance to the WHO recommendation in 8 public health facilities in Ghana and Uganda. This was a modified cohort event monitoring study involving patients who were administered with injectable anti-malarial for treatment of presumed or confirmed severe malaria. Patients prescribed at least one dose of injectable artesunate, artemether or quinine qualified to enrol in the study. Patients were recruited at inpatient facilities and followed up in the hospital, by phone or at home. Following WHO recommendations, patients are to be prescribed 3 doses of injectable AS, Q or AR for at least 24 h followed with oral ACT. Compliance rate was estimated as the number of patient prescriptions that met the WHO recommendation for treatment of severe malaria divided by the total number of patients who completed the study by end of follow up. Log-binomial regression model was used to identify predictors for compliance. Based on the literature and limitations of available data from the patients’ record, the diagnosis results, age, gender, weight, and country were considered as potential predictors of prescriber adherence to the WHO recommendations.\n\nResults\nA total of 1191 patients completed the study, of which 93% were prescribed injectable AS, 3.1% (injectable AR or Q) with 32.5% prescribed follow-on oral ACT and 26% on concomitant antibiotics. 391 (32.8%) were in Ghana and 800 (67.2%) in Uganda. There were 582 (48.9%) women. The median age was 3.9 years (IQR = 2, 9) and median weight was 13 kg (IQR = 10, 20). Of the 1191 patients, 329 of the prescriptions complied with the WHO recommendation (compliance rate = 27.6%; 95% CI = [25.2, 30.2]). Diagnostic results (Adjusted prevalence ratio (aPR) = 4.56; 95% = [3.42, 6.08]; p &lt; 0.0001) and weight (20 + kg vs &lt; 10 kg: aPR = 0.65; 95% = [0.44, 0.96]; p = 0.015) were identified as factors independently associated with compliance.\n\nConclusion\nInjectable AS is the most commonly prescribed medicine in the management of severe malaria in Ghana and Uganda. However, adherence to the WHO recommendation of at least 3 doses of injectable anti-malarial in 24 h followed by a full course of ACT is low, at less than 30%.","container-title":"Malaria Journal","DOI":"10.1186/s12936-019-2670-9","ISSN":"1475-2875","journalAbbreviation":"Malar J","note":"PMID: 30736864\nPMCID: PMC6368732","source":"PubMed Central","title":"Prescribing patterns and compliance with World Health Organization recommendations for the management of severe malaria: a modified cohort event monitoring study in public health facilities in Ghana and Uganda","title-short":"Prescribing patterns and compliance with World Health Organization recommendations for the management of severe malaria","URL":"https://www.ncbi.nlm.nih.gov/pmc/articles/PMC6368732/","volume":"18","author":[{"family":"Ampadu","given":"H. Hilda"},{"family":"Asante","given":"Kwaku Poku"},{"family":"Bosomprah","given":"Samuel"},{"family":"Akakpo","given":"Samantha"},{"family":"Hugo","given":"Pierre"},{"family":"Gardarsdottir","given":"Helga"},{"family":"Leufkens","given":"Hubert G. M."},{"family":"Kajungu","given":"Dan"},{"family":"Dodoo","given":"Alexander N. O."}],"accessed":{"date-parts":[["2019",7,2]]},"issued":{"date-parts":[["2019",2,8]]}}}],"schema":"https://github.com/citation-style-language/schema/raw/master/csl-citation.json"} </w:instrText>
            </w:r>
            <w:r>
              <w:rPr>
                <w:rFonts w:eastAsia="Times New Roman"/>
                <w:color w:val="000000"/>
                <w:szCs w:val="24"/>
                <w:lang w:eastAsia="en-GB"/>
              </w:rPr>
              <w:fldChar w:fldCharType="separate"/>
            </w:r>
            <w:r w:rsidRPr="0064214D">
              <w:t>[22,24]</w:t>
            </w:r>
            <w:r>
              <w:rPr>
                <w:rFonts w:eastAsia="Times New Roman"/>
                <w:color w:val="000000"/>
                <w:szCs w:val="24"/>
                <w:lang w:eastAsia="en-GB"/>
              </w:rPr>
              <w:fldChar w:fldCharType="end"/>
            </w:r>
          </w:p>
        </w:tc>
      </w:tr>
      <w:tr w:rsidR="004F3765" w:rsidRPr="005C0B8F" w14:paraId="1F2CAE3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F1C5A5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px</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DC1D50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0.025</w:t>
            </w:r>
          </w:p>
        </w:tc>
        <w:tc>
          <w:tcPr>
            <w:tcW w:w="7478" w:type="dxa"/>
            <w:tcBorders>
              <w:top w:val="nil"/>
              <w:left w:val="nil"/>
              <w:bottom w:val="single" w:sz="8" w:space="0" w:color="auto"/>
              <w:right w:val="single" w:sz="8" w:space="0" w:color="auto"/>
            </w:tcBorders>
            <w:shd w:val="clear" w:color="auto" w:fill="auto"/>
            <w:noWrap/>
            <w:vAlign w:val="center"/>
            <w:hideMark/>
          </w:tcPr>
          <w:p w14:paraId="70165431"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proportion of pregnant women in the population</w:t>
            </w:r>
          </w:p>
        </w:tc>
        <w:tc>
          <w:tcPr>
            <w:tcW w:w="1742" w:type="dxa"/>
            <w:tcBorders>
              <w:top w:val="nil"/>
              <w:left w:val="nil"/>
              <w:bottom w:val="single" w:sz="8" w:space="0" w:color="auto"/>
              <w:right w:val="single" w:sz="8" w:space="0" w:color="auto"/>
            </w:tcBorders>
            <w:shd w:val="clear" w:color="auto" w:fill="auto"/>
            <w:noWrap/>
            <w:vAlign w:val="center"/>
            <w:hideMark/>
          </w:tcPr>
          <w:p w14:paraId="23A8D629" w14:textId="3E42D812"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wFvAteOC","properties":{"formattedCitation":"[21]","plainCitation":"[21]","noteIndex":0},"citationItems":[{"id":1141,"uris":["http://zotero.org/users/584652/items/JREQEHZD"],"uri":["http://zotero.org/users/584652/items/JREQEHZD"],"itemData":{"id":1141,"type":"article-journal","container-title":"Journal of Parasitology Research","DOI":"10.1155/2015/959427","ISSN":"2090-0023, 2090-0031","language":"en","page":"1-6","source":"CrossRef","title":"Effectiveness of Intermittent Preventive Treatment in Pregnancy with Sulphadoxine-Pyrimethamine against Submicroscopic &lt;i&gt;falciparum&lt;/i&gt; Malaria in Central Region, Ghana","volume":"2015","author":[{"family":"Nwaefuna","given":"Ekene K."},{"family":"Afoakwah","given":"Richmond"},{"family":"Orish","given":"Verner N."},{"family":"Egyir-Yawson","given":"Alexander"},{"family":"Boampong","given":"Johnson N."}],"issued":{"date-parts":[["2015"]]}}}],"schema":"https://github.com/citation-style-language/schema/raw/master/csl-citation.json"} </w:instrText>
            </w:r>
            <w:r>
              <w:rPr>
                <w:rFonts w:eastAsia="Times New Roman"/>
                <w:color w:val="000000"/>
                <w:szCs w:val="24"/>
                <w:lang w:eastAsia="en-GB"/>
              </w:rPr>
              <w:fldChar w:fldCharType="separate"/>
            </w:r>
            <w:r w:rsidRPr="0064214D">
              <w:t>[21]</w:t>
            </w:r>
            <w:r>
              <w:rPr>
                <w:rFonts w:eastAsia="Times New Roman"/>
                <w:color w:val="000000"/>
                <w:szCs w:val="24"/>
                <w:lang w:eastAsia="en-GB"/>
              </w:rPr>
              <w:fldChar w:fldCharType="end"/>
            </w:r>
          </w:p>
        </w:tc>
      </w:tr>
      <w:tr w:rsidR="004F3765" w:rsidRPr="005C0B8F" w14:paraId="4EF8A1BF"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1023A31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rs1</w:t>
            </w:r>
          </w:p>
        </w:tc>
        <w:tc>
          <w:tcPr>
            <w:tcW w:w="2162" w:type="dxa"/>
            <w:tcBorders>
              <w:top w:val="nil"/>
              <w:left w:val="nil"/>
              <w:bottom w:val="single" w:sz="8" w:space="0" w:color="auto"/>
              <w:right w:val="single" w:sz="8" w:space="0" w:color="auto"/>
            </w:tcBorders>
            <w:shd w:val="clear" w:color="auto" w:fill="auto"/>
            <w:noWrap/>
            <w:vAlign w:val="center"/>
            <w:hideMark/>
          </w:tcPr>
          <w:p w14:paraId="423349B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0.04</w:t>
            </w:r>
          </w:p>
        </w:tc>
        <w:tc>
          <w:tcPr>
            <w:tcW w:w="1483" w:type="dxa"/>
            <w:tcBorders>
              <w:top w:val="nil"/>
              <w:left w:val="nil"/>
              <w:bottom w:val="single" w:sz="8" w:space="0" w:color="auto"/>
              <w:right w:val="single" w:sz="8" w:space="0" w:color="auto"/>
            </w:tcBorders>
            <w:shd w:val="clear" w:color="auto" w:fill="auto"/>
            <w:noWrap/>
            <w:vAlign w:val="center"/>
            <w:hideMark/>
          </w:tcPr>
          <w:p w14:paraId="449F03E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0.04</w:t>
            </w:r>
          </w:p>
        </w:tc>
        <w:tc>
          <w:tcPr>
            <w:tcW w:w="1230" w:type="dxa"/>
            <w:tcBorders>
              <w:top w:val="nil"/>
              <w:left w:val="nil"/>
              <w:bottom w:val="single" w:sz="8" w:space="0" w:color="auto"/>
              <w:right w:val="single" w:sz="8" w:space="0" w:color="auto"/>
            </w:tcBorders>
            <w:shd w:val="clear" w:color="auto" w:fill="auto"/>
            <w:noWrap/>
            <w:vAlign w:val="center"/>
            <w:hideMark/>
          </w:tcPr>
          <w:p w14:paraId="2366D29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0.04</w:t>
            </w:r>
          </w:p>
        </w:tc>
        <w:tc>
          <w:tcPr>
            <w:tcW w:w="7478" w:type="dxa"/>
            <w:tcBorders>
              <w:top w:val="nil"/>
              <w:left w:val="nil"/>
              <w:bottom w:val="single" w:sz="8" w:space="0" w:color="auto"/>
              <w:right w:val="single" w:sz="8" w:space="0" w:color="auto"/>
            </w:tcBorders>
            <w:shd w:val="clear" w:color="auto" w:fill="auto"/>
            <w:noWrap/>
            <w:vAlign w:val="center"/>
            <w:hideMark/>
          </w:tcPr>
          <w:p w14:paraId="3AAA0B3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resistance against </w:t>
            </w:r>
            <w:r w:rsidRPr="005C0B8F">
              <w:rPr>
                <w:rFonts w:eastAsia="Times New Roman"/>
                <w:b/>
                <w:bCs/>
                <w:color w:val="000000"/>
                <w:szCs w:val="24"/>
                <w:lang w:eastAsia="en-GB"/>
              </w:rPr>
              <w:t xml:space="preserve">ACT </w:t>
            </w:r>
            <w:r w:rsidRPr="005C0B8F">
              <w:rPr>
                <w:rFonts w:eastAsia="Times New Roman"/>
                <w:color w:val="000000"/>
                <w:szCs w:val="24"/>
                <w:lang w:eastAsia="en-GB"/>
              </w:rPr>
              <w:t>(Day 28 PCR-corrected failure rate (0.8%- 4.0%) for ASAQ and AL</w:t>
            </w:r>
            <w:r w:rsidRPr="005C0B8F">
              <w:rPr>
                <w:rFonts w:eastAsia="Times New Roman"/>
                <w:b/>
                <w:bCs/>
                <w:color w:val="000000"/>
                <w:szCs w:val="24"/>
                <w:lang w:eastAsia="en-GB"/>
              </w:rPr>
              <w:t xml:space="preserve"> (</w:t>
            </w:r>
            <w:r w:rsidRPr="00DB7308">
              <w:rPr>
                <w:rFonts w:eastAsia="Times New Roman"/>
                <w:bCs/>
                <w:color w:val="000000"/>
                <w:szCs w:val="24"/>
                <w:lang w:eastAsia="en-GB"/>
              </w:rPr>
              <w:t>proportion</w:t>
            </w:r>
            <w:r w:rsidRPr="005C0B8F">
              <w:rPr>
                <w:rFonts w:eastAsia="Times New Roman"/>
                <w:b/>
                <w:bCs/>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87C98A4" w14:textId="2568122B"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qweeJpjv","properties":{"formattedCitation":"[25]","plainCitation":"[25]","noteIndex":0},"citationItems":[{"id":1596,"uris":["http://zotero.org/users/584652/items/DXQTAHXA"],"uri":["http://zotero.org/users/584652/items/DXQTAHXA"],"itemData":{"id":1596,"type":"article-journal","abstract":"Background:  Routine surveillance on the therapeutic efficacy of artemisinin-based combination therapy (ACT) has been ongoing in Ghana since 2005. The sixth round of surveillance was conducted between 2015 and 2017 to deter‑mine the therapeutic efficacy of artesunate–amodiaquine (AS–AQ) and artemether–lumefantrine (AL) in 10 sentinel sites across the country.\nMethods:  The study was a one-arm, prospective, evaluation of the clinical, parasitological, and haematological responses to directly observed treatment with AS–AQ and AL among children 6 months to 9 years old with uncompli‑cated falciparum malaria. The WHO 2009 protocol on surveillance of anti-malaria drug efficacy was used for the study with primary outcomes as prevalence of day 3 parasitaemia and clinical and parasitological cure rates on day 28. Secondary outcomes assessed included patterns of fever and parasite clearance as well as changes in haemoglobin concentration.\nResults:  Day 3 parasitaemia was absent in all sites following treatment with AS–AQ whilst only one person (0.2%) was parasitaemic on day 3 following treatment with AL. Day 28 PCR-corrected cure rates following treatment with AS–AQ ranged between 96.7% (95% CI 88.5–99.6) and 100%, yielding a national rate of 99.2% (95% CI 97.7–99.7). Day 28 PCR-corrected cure rates following treatment with AL ranged between 91.3% (95% CI 79.2–97.6) and 100%, yielding a national rate of 96% (95% CI 93.5–97.6). Prevalence of fever declined by 88.4 and 80.4% after first day of treatment with AS–AQ and AL, respectively, whilst prevalence of parasitaemia on day 2 was 2.1% for AS–AQ and 1.5% for AL. Gametocytaemia was maintained at low levels (&lt; 5%) during the 3 days of treatment. Post-treatment mean haemoglobin concentration was significantly higher than pre-treatment concentration following treatment with either AS–AQ or AL.\nConclusions:  The therapeutic efficacy of AS–AQ and AL is over 90% in sentinel sites across Ghana. The two antimalarial drugs therefore remain efficacious in the treatment of uncomplicated malaria in the country and continue to achieve rapid fever and parasite clearance as well as low gametocyte carriage rates and improved post-treatment mean haemoglobin concentration.","container-title":"Malaria Journal","DOI":"10.1186/s12936-019-2848-1","ISSN":"1475-2875","issue":"1","journalAbbreviation":"Malar J","language":"en","page":"206","source":"DOI.org (Crossref)","title":"Therapeutic efficacy of artesunate–amodiaquine and artemether–lumefantrine combinations for uncomplicated malaria in 10 sentinel sites across Ghana: 2015–2017","title-short":"Therapeutic efficacy of artesunate–amodiaquine and artemether–lumefantrine combinations for uncomplicated malaria in 10 sentinel sites across Ghana","volume":"18","author":[{"family":"Abuaku","given":"Benjamin"},{"family":"Duah-Quashie","given":"Nancy O."},{"family":"Quaye","given":"Lydia"},{"family":"Matrevi","given":"Sena A."},{"family":"Quashie","given":"Neils"},{"family":"Gyasi","given":"Akosua"},{"family":"Owusu-Antwi","given":"Felicia"},{"family":"Malm","given":"Keziah"},{"family":"Koram","given":"Kwadwo"}],"issued":{"date-parts":[["2019",12]]}}}],"schema":"https://github.com/citation-style-language/schema/raw/master/csl-citation.json"} </w:instrText>
            </w:r>
            <w:r>
              <w:rPr>
                <w:rFonts w:eastAsia="Times New Roman"/>
                <w:color w:val="000000"/>
                <w:szCs w:val="24"/>
                <w:lang w:eastAsia="en-GB"/>
              </w:rPr>
              <w:fldChar w:fldCharType="separate"/>
            </w:r>
            <w:r w:rsidRPr="0064214D">
              <w:t>[25]</w:t>
            </w:r>
            <w:r>
              <w:rPr>
                <w:rFonts w:eastAsia="Times New Roman"/>
                <w:color w:val="000000"/>
                <w:szCs w:val="24"/>
                <w:lang w:eastAsia="en-GB"/>
              </w:rPr>
              <w:fldChar w:fldCharType="end"/>
            </w:r>
          </w:p>
        </w:tc>
      </w:tr>
      <w:tr w:rsidR="004F3765" w:rsidRPr="005C0B8F" w14:paraId="09E1AAF4"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361F1E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rs2</w:t>
            </w:r>
          </w:p>
        </w:tc>
        <w:tc>
          <w:tcPr>
            <w:tcW w:w="2162" w:type="dxa"/>
            <w:tcBorders>
              <w:top w:val="nil"/>
              <w:left w:val="nil"/>
              <w:bottom w:val="single" w:sz="8" w:space="0" w:color="auto"/>
              <w:right w:val="single" w:sz="8" w:space="0" w:color="auto"/>
            </w:tcBorders>
            <w:shd w:val="clear" w:color="auto" w:fill="auto"/>
            <w:noWrap/>
            <w:vAlign w:val="center"/>
            <w:hideMark/>
          </w:tcPr>
          <w:p w14:paraId="4F89283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1483" w:type="dxa"/>
            <w:tcBorders>
              <w:top w:val="nil"/>
              <w:left w:val="nil"/>
              <w:bottom w:val="single" w:sz="8" w:space="0" w:color="auto"/>
              <w:right w:val="single" w:sz="8" w:space="0" w:color="auto"/>
            </w:tcBorders>
            <w:shd w:val="clear" w:color="auto" w:fill="auto"/>
            <w:noWrap/>
            <w:vAlign w:val="center"/>
            <w:hideMark/>
          </w:tcPr>
          <w:p w14:paraId="5BD9B4C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1230" w:type="dxa"/>
            <w:tcBorders>
              <w:top w:val="nil"/>
              <w:left w:val="nil"/>
              <w:bottom w:val="single" w:sz="8" w:space="0" w:color="auto"/>
              <w:right w:val="single" w:sz="8" w:space="0" w:color="auto"/>
            </w:tcBorders>
            <w:shd w:val="clear" w:color="auto" w:fill="auto"/>
            <w:noWrap/>
            <w:vAlign w:val="center"/>
            <w:hideMark/>
          </w:tcPr>
          <w:p w14:paraId="49F82EF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7478" w:type="dxa"/>
            <w:tcBorders>
              <w:top w:val="nil"/>
              <w:left w:val="nil"/>
              <w:bottom w:val="single" w:sz="8" w:space="0" w:color="auto"/>
              <w:right w:val="single" w:sz="8" w:space="0" w:color="auto"/>
            </w:tcBorders>
            <w:shd w:val="clear" w:color="auto" w:fill="auto"/>
            <w:noWrap/>
            <w:vAlign w:val="center"/>
            <w:hideMark/>
          </w:tcPr>
          <w:p w14:paraId="512EDEA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resistance against </w:t>
            </w:r>
            <w:r w:rsidRPr="005C0B8F">
              <w:rPr>
                <w:rFonts w:eastAsia="Times New Roman"/>
                <w:b/>
                <w:bCs/>
                <w:color w:val="000000"/>
                <w:szCs w:val="24"/>
                <w:lang w:eastAsia="en-GB"/>
              </w:rPr>
              <w:t>QUININE,</w:t>
            </w:r>
            <w:r w:rsidRPr="005C0B8F">
              <w:rPr>
                <w:rFonts w:eastAsia="Times New Roman"/>
                <w:i/>
                <w:iCs/>
                <w:color w:val="000000"/>
                <w:szCs w:val="24"/>
                <w:lang w:eastAsia="en-GB"/>
              </w:rPr>
              <w:t xml:space="preserve"> </w:t>
            </w:r>
            <w:r w:rsidRPr="005C0B8F">
              <w:rPr>
                <w:rFonts w:eastAsia="Times New Roman"/>
                <w:color w:val="000000"/>
                <w:szCs w:val="24"/>
                <w:lang w:eastAsia="en-GB"/>
              </w:rPr>
              <w:t>intramusclar</w:t>
            </w:r>
            <w:r w:rsidRPr="005C0B8F">
              <w:rPr>
                <w:rFonts w:eastAsia="Times New Roman"/>
                <w:b/>
                <w:bCs/>
                <w:color w:val="000000"/>
                <w:szCs w:val="24"/>
                <w:lang w:eastAsia="en-GB"/>
              </w:rPr>
              <w:t xml:space="preserve"> ARTEMETHER </w:t>
            </w:r>
            <w:r w:rsidRPr="005C0B8F">
              <w:rPr>
                <w:rFonts w:eastAsia="Times New Roman"/>
                <w:color w:val="000000"/>
                <w:szCs w:val="24"/>
                <w:lang w:eastAsia="en-GB"/>
              </w:rPr>
              <w:t xml:space="preserve">(Day 28 parasitaemia failure rate) </w:t>
            </w:r>
            <w:r w:rsidRPr="005C0B8F">
              <w:rPr>
                <w:rFonts w:eastAsia="Times New Roman"/>
                <w:b/>
                <w:bCs/>
                <w:color w:val="000000"/>
                <w:szCs w:val="24"/>
                <w:lang w:eastAsia="en-GB"/>
              </w:rPr>
              <w:t>(</w:t>
            </w:r>
            <w:r w:rsidRPr="00DB7308">
              <w:rPr>
                <w:rFonts w:eastAsia="Times New Roman"/>
                <w:bCs/>
                <w:color w:val="000000"/>
                <w:szCs w:val="24"/>
                <w:lang w:eastAsia="en-GB"/>
              </w:rPr>
              <w:t>proportion</w:t>
            </w:r>
            <w:r w:rsidRPr="005C0B8F">
              <w:rPr>
                <w:rFonts w:eastAsia="Times New Roman"/>
                <w:b/>
                <w:bCs/>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0E205821" w14:textId="248DB71E"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3lyv0tZg","properties":{"formattedCitation":"[26]","plainCitation":"[26]","noteIndex":0},"citationItems":[{"id":1590,"uris":["http://zotero.org/users/584652/items/G4K9EABU"],"uri":["http://zotero.org/users/584652/items/G4K9EABU"],"itemData":{"id":1590,"type":"article-journal","abstract":"objectives To compare artemether (by intramuscular injection) and quinine (by intravenous infusion) as treatments for cerebral malaria in African children.methods An open, randomized trial conducted at the Queen Elizabeth Central Hospital in Blantyre, Malawi. This trial was part of a multicentre study designed to determine if treatment with artemether would significantly lower mortality rates compared with quinine. Data from 83 artemether recipients and 81 quinine recipients are reported here.results Overall mortality rates and coma resolution times were not significantly different in the two treatment groups. Parasite and fever clearance times were significantly more rapid in the artemether recipients. Analyses which took into account the possible confounding variables did not significantly alter the findings of these unadjusted analyses.conclusion These results do not suggest that treatment with artemether would confer a survival advantage in children with life-threatening malaria. The power and precision of the estimated treatment effects of artemether would be enhanced by a meta-analysis of all relevant clinical trials.","container-title":"Tropical Medicine &amp; International Health","DOI":"10.1046/j.1365-3156.1998.00166.x","ISSN":"1365-3156","issue":"1","language":"en","page":"3-8","source":"Wiley Online Library","title":"Intramuscular artemether vs intravenous quinine: an open, randomized trial in Malawian children with cerebral malaria","title-short":"Intramuscular artemether vs intravenous quinine","volume":"3","author":[{"family":"Taylor","given":"T. E."},{"family":"Taylor","given":"T. E."},{"family":"Wills","given":"B. A."},{"family":"Courval","given":"J. M."},{"family":"Molyneux","given":"M. E."},{"family":"Molyneux","given":"M. E."}],"issued":{"date-parts":[["1998"]]}}}],"schema":"https://github.com/citation-style-language/schema/raw/master/csl-citation.json"} </w:instrText>
            </w:r>
            <w:r>
              <w:rPr>
                <w:rFonts w:eastAsia="Times New Roman"/>
                <w:color w:val="000000"/>
                <w:szCs w:val="24"/>
                <w:lang w:eastAsia="en-GB"/>
              </w:rPr>
              <w:fldChar w:fldCharType="separate"/>
            </w:r>
            <w:r w:rsidRPr="00B57A1E">
              <w:t>[26]</w:t>
            </w:r>
            <w:r>
              <w:rPr>
                <w:rFonts w:eastAsia="Times New Roman"/>
                <w:color w:val="000000"/>
                <w:szCs w:val="24"/>
                <w:lang w:eastAsia="en-GB"/>
              </w:rPr>
              <w:fldChar w:fldCharType="end"/>
            </w:r>
          </w:p>
        </w:tc>
      </w:tr>
      <w:tr w:rsidR="004F3765" w:rsidRPr="005C0B8F" w14:paraId="1F318462"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16818A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lastRenderedPageBreak/>
              <w:t>rs3</w:t>
            </w:r>
          </w:p>
        </w:tc>
        <w:tc>
          <w:tcPr>
            <w:tcW w:w="2162" w:type="dxa"/>
            <w:tcBorders>
              <w:top w:val="nil"/>
              <w:left w:val="nil"/>
              <w:bottom w:val="single" w:sz="8" w:space="0" w:color="auto"/>
              <w:right w:val="single" w:sz="8" w:space="0" w:color="auto"/>
            </w:tcBorders>
            <w:shd w:val="clear" w:color="auto" w:fill="auto"/>
            <w:noWrap/>
            <w:vAlign w:val="center"/>
            <w:hideMark/>
          </w:tcPr>
          <w:p w14:paraId="01857EA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0.0962</w:t>
            </w:r>
          </w:p>
        </w:tc>
        <w:tc>
          <w:tcPr>
            <w:tcW w:w="1483" w:type="dxa"/>
            <w:tcBorders>
              <w:top w:val="nil"/>
              <w:left w:val="nil"/>
              <w:bottom w:val="single" w:sz="8" w:space="0" w:color="auto"/>
              <w:right w:val="single" w:sz="8" w:space="0" w:color="auto"/>
            </w:tcBorders>
            <w:shd w:val="clear" w:color="auto" w:fill="auto"/>
            <w:noWrap/>
            <w:vAlign w:val="center"/>
            <w:hideMark/>
          </w:tcPr>
          <w:p w14:paraId="7957AB6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0.0962</w:t>
            </w:r>
          </w:p>
        </w:tc>
        <w:tc>
          <w:tcPr>
            <w:tcW w:w="1230" w:type="dxa"/>
            <w:tcBorders>
              <w:top w:val="nil"/>
              <w:left w:val="nil"/>
              <w:bottom w:val="single" w:sz="8" w:space="0" w:color="auto"/>
              <w:right w:val="single" w:sz="8" w:space="0" w:color="auto"/>
            </w:tcBorders>
            <w:shd w:val="clear" w:color="auto" w:fill="auto"/>
            <w:noWrap/>
            <w:vAlign w:val="center"/>
            <w:hideMark/>
          </w:tcPr>
          <w:p w14:paraId="33582C4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0.0962</w:t>
            </w:r>
          </w:p>
        </w:tc>
        <w:tc>
          <w:tcPr>
            <w:tcW w:w="7478" w:type="dxa"/>
            <w:tcBorders>
              <w:top w:val="nil"/>
              <w:left w:val="nil"/>
              <w:bottom w:val="single" w:sz="8" w:space="0" w:color="auto"/>
              <w:right w:val="single" w:sz="8" w:space="0" w:color="auto"/>
            </w:tcBorders>
            <w:shd w:val="clear" w:color="auto" w:fill="auto"/>
            <w:noWrap/>
            <w:vAlign w:val="center"/>
            <w:hideMark/>
          </w:tcPr>
          <w:p w14:paraId="58A736F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resistance against </w:t>
            </w:r>
            <w:r w:rsidRPr="005C0B8F">
              <w:rPr>
                <w:rFonts w:eastAsia="Times New Roman"/>
                <w:b/>
                <w:bCs/>
                <w:color w:val="000000"/>
                <w:szCs w:val="24"/>
                <w:lang w:eastAsia="en-GB"/>
              </w:rPr>
              <w:t xml:space="preserve">SP </w:t>
            </w:r>
            <w:r w:rsidRPr="005C0B8F">
              <w:rPr>
                <w:rFonts w:eastAsia="Times New Roman"/>
                <w:color w:val="000000"/>
                <w:szCs w:val="24"/>
                <w:lang w:eastAsia="en-GB"/>
              </w:rPr>
              <w:t xml:space="preserve">(Day 28 PCR-corrected failure rate (0.0962) for SP </w:t>
            </w:r>
            <w:r w:rsidRPr="005C0B8F">
              <w:rPr>
                <w:rFonts w:eastAsia="Times New Roman"/>
                <w:b/>
                <w:bCs/>
                <w:color w:val="000000"/>
                <w:szCs w:val="24"/>
                <w:lang w:eastAsia="en-GB"/>
              </w:rPr>
              <w:t>(</w:t>
            </w:r>
            <w:r w:rsidRPr="00DB7308">
              <w:rPr>
                <w:rFonts w:eastAsia="Times New Roman"/>
                <w:bCs/>
                <w:color w:val="000000"/>
                <w:szCs w:val="24"/>
                <w:lang w:eastAsia="en-GB"/>
              </w:rPr>
              <w:t>proportion</w:t>
            </w:r>
            <w:r w:rsidRPr="005C0B8F">
              <w:rPr>
                <w:rFonts w:eastAsia="Times New Roman"/>
                <w:b/>
                <w:bCs/>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1F3C0A0" w14:textId="6BB6B5EA"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RMrpFLZD","properties":{"formattedCitation":"[27]","plainCitation":"[27]","noteIndex":0},"citationItems":[{"id":1595,"uris":["http://zotero.org/users/584652/items/BD64SYJL"],"uri":["http://zotero.org/users/584652/items/BD64SYJL"],"itemData":{"id":1595,"type":"article-journal","abstract":"Objective To compare the parasitological failure rates of under-fives and pregnant women with parasitaemia treated with chloroquine (CQ) or sulphadoxine-pyrimethamine (SP). Methods During a clinical trial of CQ, SP, amodiaquine (AQ) and SP plus AQ combination for malaria treatment in pregnant women in Ghana, a parallel study of treatment of children below 5 years of age with symptomatic malaria with CQ and SP was undertaken. Four hundred and fifty pregnant women with malaria parasitaemia and 203 children with malaria parasitaemia were randomized to receive CQ or SP. They were followed up and parasitological failure by days 14 and 28 after the start of treatment was assessed. Results Polymerase chain reaction (PCR)-uncorrected parasitological failure rates by day 28 after the start of treatment with CQ were 58.5% (55/94), 38.5% (45/117), 31% (13/42) and 8.2% (4/49) in children, primigravidae, secundigravidae and multigravidae, respectively. For those treated with SP the rates by day 28 were 36.4% (32/88), 27.1% (29/107), 6.1% (3/49) and 3.8% (2/52) in children, primigravidae, secundigravidae and multigravidae, respectively. In both CQ and SP treatment arms, children were twice as likely to experience recrudescence as pregnant women (RR 2.1 [95% CI 1.6–2.6] P &lt; 0.0001) by day 28 after the start of treatment. Conclusions Parasitological failure rates were significantly lower in asymptomatic pregnant women, particularly in multigravidae, compared with symptomatic children. Reliance on drug sensitivity results observed in children only to decide on antimalarial regimes for pregnant women may not be appropriate.","container-title":"Tropical Medicine &amp; International Health","DOI":"10.1111/j.1365-3156.2007.01927.x","ISSN":"1365-3156","issue":"11","language":"en","page":"1288-1297","source":"Wiley Online Library","title":"Comparison of the therapeutic efficacy of chloroquine and sulphadoxine-pyremethamine in children and pregnant women","volume":"12","author":[{"family":"Tagbor","given":"Harry"},{"family":"Bruce","given":"Jane"},{"family":"Ord","given":"Rosalynn"},{"family":"Randall","given":"Anna"},{"family":"Browne","given":"Edmund"},{"family":"Greenwood","given":"Brian"},{"family":"Chandramohan","given":"Daniel"}],"issued":{"date-parts":[["2007"]]}}}],"schema":"https://github.com/citation-style-language/schema/raw/master/csl-citation.json"} </w:instrText>
            </w:r>
            <w:r>
              <w:rPr>
                <w:rFonts w:eastAsia="Times New Roman"/>
                <w:color w:val="000000"/>
                <w:szCs w:val="24"/>
                <w:lang w:eastAsia="en-GB"/>
              </w:rPr>
              <w:fldChar w:fldCharType="separate"/>
            </w:r>
            <w:r w:rsidRPr="00B57A1E">
              <w:t>[27]</w:t>
            </w:r>
            <w:r>
              <w:rPr>
                <w:rFonts w:eastAsia="Times New Roman"/>
                <w:color w:val="000000"/>
                <w:szCs w:val="24"/>
                <w:lang w:eastAsia="en-GB"/>
              </w:rPr>
              <w:fldChar w:fldCharType="end"/>
            </w:r>
          </w:p>
        </w:tc>
      </w:tr>
      <w:tr w:rsidR="004F3765" w:rsidRPr="005C0B8F" w14:paraId="436E09AA"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9B0574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ac1</w:t>
            </w:r>
          </w:p>
        </w:tc>
        <w:tc>
          <w:tcPr>
            <w:tcW w:w="2162" w:type="dxa"/>
            <w:tcBorders>
              <w:top w:val="nil"/>
              <w:left w:val="nil"/>
              <w:bottom w:val="single" w:sz="8" w:space="0" w:color="auto"/>
              <w:right w:val="single" w:sz="8" w:space="0" w:color="auto"/>
            </w:tcBorders>
            <w:shd w:val="clear" w:color="auto" w:fill="auto"/>
            <w:noWrap/>
            <w:vAlign w:val="center"/>
            <w:hideMark/>
          </w:tcPr>
          <w:p w14:paraId="0D120B8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0.134</w:t>
            </w:r>
          </w:p>
        </w:tc>
        <w:tc>
          <w:tcPr>
            <w:tcW w:w="1483" w:type="dxa"/>
            <w:tcBorders>
              <w:top w:val="nil"/>
              <w:left w:val="nil"/>
              <w:bottom w:val="single" w:sz="8" w:space="0" w:color="auto"/>
              <w:right w:val="single" w:sz="8" w:space="0" w:color="auto"/>
            </w:tcBorders>
            <w:shd w:val="clear" w:color="auto" w:fill="auto"/>
            <w:noWrap/>
            <w:vAlign w:val="center"/>
            <w:hideMark/>
          </w:tcPr>
          <w:p w14:paraId="0851ED4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0.126</w:t>
            </w:r>
          </w:p>
        </w:tc>
        <w:tc>
          <w:tcPr>
            <w:tcW w:w="1230" w:type="dxa"/>
            <w:tcBorders>
              <w:top w:val="nil"/>
              <w:left w:val="nil"/>
              <w:bottom w:val="single" w:sz="8" w:space="0" w:color="auto"/>
              <w:right w:val="single" w:sz="8" w:space="0" w:color="auto"/>
            </w:tcBorders>
            <w:shd w:val="clear" w:color="auto" w:fill="auto"/>
            <w:noWrap/>
            <w:vAlign w:val="center"/>
            <w:hideMark/>
          </w:tcPr>
          <w:p w14:paraId="4A077F9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0.112</w:t>
            </w:r>
          </w:p>
        </w:tc>
        <w:tc>
          <w:tcPr>
            <w:tcW w:w="7478" w:type="dxa"/>
            <w:tcBorders>
              <w:top w:val="nil"/>
              <w:left w:val="nil"/>
              <w:bottom w:val="single" w:sz="8" w:space="0" w:color="auto"/>
              <w:right w:val="single" w:sz="8" w:space="0" w:color="auto"/>
            </w:tcBorders>
            <w:shd w:val="clear" w:color="auto" w:fill="auto"/>
            <w:noWrap/>
            <w:vAlign w:val="center"/>
            <w:hideMark/>
          </w:tcPr>
          <w:p w14:paraId="1CB6F823"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asymptomatic malaria among pregnant women at </w:t>
            </w:r>
            <w:r w:rsidRPr="005C0B8F">
              <w:rPr>
                <w:rFonts w:eastAsia="Times New Roman"/>
                <w:b/>
                <w:bCs/>
                <w:color w:val="000000"/>
                <w:szCs w:val="24"/>
                <w:lang w:eastAsia="en-GB"/>
              </w:rPr>
              <w:t>ANC</w:t>
            </w:r>
          </w:p>
        </w:tc>
        <w:tc>
          <w:tcPr>
            <w:tcW w:w="1742" w:type="dxa"/>
            <w:tcBorders>
              <w:top w:val="nil"/>
              <w:left w:val="nil"/>
              <w:bottom w:val="single" w:sz="8" w:space="0" w:color="auto"/>
              <w:right w:val="single" w:sz="8" w:space="0" w:color="auto"/>
            </w:tcBorders>
            <w:shd w:val="clear" w:color="auto" w:fill="auto"/>
            <w:noWrap/>
            <w:vAlign w:val="center"/>
            <w:hideMark/>
          </w:tcPr>
          <w:p w14:paraId="325A0B3E" w14:textId="1C3DB4C9"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93m1hXj","properties":{"formattedCitation":"[28\\uc0\\u8211{}30]","plainCitation":"[28–30]","noteIndex":0},"citationItems":[{"id":1530,"uris":["http://zotero.org/users/584652/items/TDFHDMNM"],"uri":["http://zotero.org/users/584652/items/TDFHDMNM"],"itemData":{"id":1530,"type":"article-journal","abstract":"Background\nHigh prevalence of malaria and hepatitis B has been reported among pregnant women in Ghana. In endemic areas, the diagnoses of malaria and hepatitis B among pregnant women on antenatal visits are done using histidine-rich protein 2 (HRP2) and hepatitis B surface antigen (HBsAg) rapid diagnostic tests (RDTs), respectively, which are, however, reported to give some false positive results. Also, socio-economic determinants have been drawn from these RDTs results which may have questionable implications. Thus, this study was aimed at evaluating the prevalence of malaria and hepatitis B by comparing RDTs with polymerase chain reaction (PCR) outcomes, and relating the PCR prevalence with socio-economic status among pregnant women in Northern Ghana.\n\nMethods\nWe screened 2071 pregnant women on their first antenatal visit for Plasmodium falciparum and hepatitis B virus (HBV) using HRP2 and HBsAg RDTs, and confirming the infections with PCR. Socio-economic and obstetric information were collected using a pre-tested questionnaire, and associations with the infections were determined using Pearson’s chi-square and multinomial logistic regression analyses at a significance level of p&lt;0.05.\n\nResults\nThe prevalence of the infections by RDTs/PCR was: 14.1%/13.4% for P. falciparum mono-infection, 7.9%/7.5% for HBV mono-infection, and 1.9%/1.7% for P. falciparum/HBV co-infection. No statistical difference in prevalence rates were observed between the RDTs and PCRs (χ2  =  0.119, p = 0.73 for malaria and χ2  =  0.139, p = 0.709 for hepatitis B). Compared with PCRs, the sensitivity/specificity of the RDTs was 97.5%/99.1% and 97.9%/99.4% for HRP2 and HBsAg respectively. Socio-economic status was observed not to influence HBV mono-infection among the pregnant women (educational status: AOR = 0.78, 95% CI = 0.52–1.16, p = 0.222; economic status: AOR = 1.07, 95% CI = 0.72–1.56, p = 0.739; financial status: AOR = 0.66, 95% CI = 0.44–1.00, p = 0.052). However, pregnant women with formal education were at a lower risk for P. falciparum mono-infection (AOR = 0.48, 95% CI  =  0.32–0.71, p&lt;0.001) and P. falciparum/HBV co-infection (AOR = 0.27, 95% CI  =  0.11–0.67, p = 0.005). Also those with good financial status were also at a lower risk for P. falciparum mono-infection (AOR = 0.52, 95% CI  =  0.36–0.74, p&lt;0.001).\n\nConclusion\nOur data has shown that, the RDTs are comparable to PCR and can give a representative picture of the prevalence of malaria and hepatitis B in endemic countries. Also, our results support the facts that improving socio-economic status is paramount in eliminating malaria in endemic settings. However, socio-economic status did not influence the prevalence of HBV mono-infection among pregnant women in Northern Ghana.","container-title":"PLoS ONE","DOI":"10.1371/journal.pone.0210365","ISSN":"1932-6203","issue":"2","journalAbbreviation":"PLoS One","note":"PMID: 30726218\nPMCID: PMC6364880","source":"PubMed Central","title":"Prevalence of malaria and hepatitis B among pregnant women in Northern Ghana: Comparing RDTs with PCR","title-short":"Prevalence of malaria and hepatitis B among pregnant women in Northern Ghana","URL":"https://www.ncbi.nlm.nih.gov/pmc/articles/PMC6364880/","volume":"14","author":[{"family":"Anabire","given":"Nsoh Godwin"},{"family":"Aryee","given":"Paul Armah"},{"family":"Abdul-Karim","given":"Abass"},{"family":"Abdulai","given":"Issah Bakari"},{"family":"Quaye","given":"Osbourne"},{"family":"Awandare","given":"Gordon Akanzuwine"},{"family":"Helegbe","given":"Gideon Kofi"}],"accessed":{"date-parts":[["2019",7,24]]},"issued":{"date-parts":[["2019",2,6]]}}},{"id":1252,"uris":["http://zotero.org/users/584652/items/4NBE2KU3"],"uri":["http://zotero.org/users/584652/items/4NBE2KU3"],"itemData":{"id":1252,"type":"article-journal","container-title":"BMC Research Notes","DOI":"10.1186/s13104-016-2327-5","ISSN":"1756-0500","issue":"1","language":"en","source":"CrossRef","title":"Parasitic infections and maternal anaemia among expectant mothers in the Dangme East District of Ghana","URL":"http://bmcresnotes.biomedcentral.com/articles/10.1186/s13104-016-2327-5","volume":"10","author":[{"family":"Tay","given":"Samuel Crowther Kofi"},{"family":"Nani","given":"Emmanuel Agbeko"},{"family":"Walana","given":"Williams"}],"accessed":{"date-parts":[["2017",7,10]]},"issued":{"date-parts":[["2017",12]]}}},{"id":1160,"uris":["http://zotero.org/users/584652/items/UTQ6NWGK"],"uri":["http://zotero.org/users/584652/items/UTQ6NWGK"],"itemData":{"id":1160,"type":"article-journal","container-title":"Journal of Parasitology Research","DOI":"10.1155/2016/9231946","ISSN":"2090-0023, 2090-0031","language":"en","page":"1-6","source":"CrossRef","title":"Quality of Sulfadoxine-Pyrimethamine Given as Antimalarial Prophylaxis in Pregnant Women in Selected Health Facilities in Central Region of Ghana","volume":"2016","author":[{"family":"Yeboah","given":"Danny F."},{"family":"Afoakwah","given":"Richmond"},{"family":"Nwaefuna","given":"Ekene K."},{"family":"Verner","given":"Orish"},{"family":"Boampong","given":"Johnson N."}],"issued":{"date-parts":[["2016"]]}}}],"schema":"https://github.com/citation-style-language/schema/raw/master/csl-citation.json"} </w:instrText>
            </w:r>
            <w:r>
              <w:rPr>
                <w:rFonts w:eastAsia="Times New Roman"/>
                <w:color w:val="000000"/>
                <w:szCs w:val="24"/>
                <w:lang w:eastAsia="en-GB"/>
              </w:rPr>
              <w:fldChar w:fldCharType="separate"/>
            </w:r>
            <w:r w:rsidRPr="00B57A1E">
              <w:rPr>
                <w:szCs w:val="24"/>
              </w:rPr>
              <w:t>[28–30]</w:t>
            </w:r>
            <w:r>
              <w:rPr>
                <w:rFonts w:eastAsia="Times New Roman"/>
                <w:color w:val="000000"/>
                <w:szCs w:val="24"/>
                <w:lang w:eastAsia="en-GB"/>
              </w:rPr>
              <w:fldChar w:fldCharType="end"/>
            </w:r>
          </w:p>
        </w:tc>
      </w:tr>
      <w:tr w:rsidR="004F3765" w:rsidRPr="005C0B8F" w14:paraId="6DA6A504"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6F7584D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ac2</w:t>
            </w:r>
          </w:p>
        </w:tc>
        <w:tc>
          <w:tcPr>
            <w:tcW w:w="2162" w:type="dxa"/>
            <w:tcBorders>
              <w:top w:val="nil"/>
              <w:left w:val="nil"/>
              <w:bottom w:val="single" w:sz="8" w:space="0" w:color="auto"/>
              <w:right w:val="single" w:sz="8" w:space="0" w:color="auto"/>
            </w:tcBorders>
            <w:shd w:val="clear" w:color="auto" w:fill="auto"/>
            <w:noWrap/>
            <w:vAlign w:val="center"/>
            <w:hideMark/>
          </w:tcPr>
          <w:p w14:paraId="0A75196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0.097</w:t>
            </w:r>
          </w:p>
        </w:tc>
        <w:tc>
          <w:tcPr>
            <w:tcW w:w="1483" w:type="dxa"/>
            <w:tcBorders>
              <w:top w:val="nil"/>
              <w:left w:val="nil"/>
              <w:bottom w:val="single" w:sz="8" w:space="0" w:color="auto"/>
              <w:right w:val="single" w:sz="8" w:space="0" w:color="auto"/>
            </w:tcBorders>
            <w:shd w:val="clear" w:color="auto" w:fill="auto"/>
            <w:noWrap/>
            <w:vAlign w:val="center"/>
            <w:hideMark/>
          </w:tcPr>
          <w:p w14:paraId="495C1F04"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0.097</w:t>
            </w:r>
          </w:p>
        </w:tc>
        <w:tc>
          <w:tcPr>
            <w:tcW w:w="1230" w:type="dxa"/>
            <w:tcBorders>
              <w:top w:val="nil"/>
              <w:left w:val="nil"/>
              <w:bottom w:val="single" w:sz="8" w:space="0" w:color="auto"/>
              <w:right w:val="single" w:sz="8" w:space="0" w:color="auto"/>
            </w:tcBorders>
            <w:shd w:val="clear" w:color="auto" w:fill="auto"/>
            <w:noWrap/>
            <w:vAlign w:val="center"/>
            <w:hideMark/>
          </w:tcPr>
          <w:p w14:paraId="6E1EC8C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0.097</w:t>
            </w:r>
          </w:p>
        </w:tc>
        <w:tc>
          <w:tcPr>
            <w:tcW w:w="7478" w:type="dxa"/>
            <w:tcBorders>
              <w:top w:val="nil"/>
              <w:left w:val="nil"/>
              <w:bottom w:val="single" w:sz="8" w:space="0" w:color="auto"/>
              <w:right w:val="single" w:sz="8" w:space="0" w:color="auto"/>
            </w:tcBorders>
            <w:shd w:val="clear" w:color="auto" w:fill="auto"/>
            <w:noWrap/>
            <w:vAlign w:val="center"/>
            <w:hideMark/>
          </w:tcPr>
          <w:p w14:paraId="2E0A2CFA"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sub-microscopic infection among pregnant women at </w:t>
            </w:r>
            <w:r w:rsidRPr="005C0B8F">
              <w:rPr>
                <w:rFonts w:eastAsia="Times New Roman"/>
                <w:b/>
                <w:bCs/>
                <w:color w:val="000000"/>
                <w:szCs w:val="24"/>
                <w:lang w:eastAsia="en-GB"/>
              </w:rPr>
              <w:t>ANC</w:t>
            </w:r>
          </w:p>
        </w:tc>
        <w:tc>
          <w:tcPr>
            <w:tcW w:w="1742" w:type="dxa"/>
            <w:tcBorders>
              <w:top w:val="nil"/>
              <w:left w:val="nil"/>
              <w:bottom w:val="single" w:sz="8" w:space="0" w:color="auto"/>
              <w:right w:val="single" w:sz="8" w:space="0" w:color="auto"/>
            </w:tcBorders>
            <w:shd w:val="clear" w:color="auto" w:fill="auto"/>
            <w:noWrap/>
            <w:vAlign w:val="center"/>
            <w:hideMark/>
          </w:tcPr>
          <w:p w14:paraId="576C37D4" w14:textId="7FA5883A" w:rsidR="004F3765" w:rsidRPr="005C0B8F" w:rsidRDefault="00B57A1E" w:rsidP="00622896">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RiVzdufy","properties":{"formattedCitation":"[21]","plainCitation":"[21]","noteIndex":0},"citationItems":[{"id":1141,"uris":["http://zotero.org/users/584652/items/JREQEHZD"],"uri":["http://zotero.org/users/584652/items/JREQEHZD"],"itemData":{"id":1141,"type":"article-journal","container-title":"Journal of Parasitology Research","DOI":"10.1155/2015/959427","ISSN":"2090-0023, 2090-0031","language":"en","page":"1-6","source":"CrossRef","title":"Effectiveness of Intermittent Preventive Treatment in Pregnancy with Sulphadoxine-Pyrimethamine against Submicroscopic &lt;i&gt;falciparum&lt;/i&gt; Malaria in Central Region, Ghana","volume":"2015","author":[{"family":"Nwaefuna","given":"Ekene K."},{"family":"Afoakwah","given":"Richmond"},{"family":"Orish","given":"Verner N."},{"family":"Egyir-Yawson","given":"Alexander"},{"family":"Boampong","given":"Johnson N."}],"issued":{"date-parts":[["2015"]]}}}],"schema":"https://github.com/citation-style-language/schema/raw/master/csl-citation.json"} </w:instrText>
            </w:r>
            <w:r>
              <w:rPr>
                <w:rFonts w:eastAsia="Times New Roman"/>
                <w:color w:val="000000"/>
                <w:szCs w:val="24"/>
                <w:lang w:eastAsia="en-GB"/>
              </w:rPr>
              <w:fldChar w:fldCharType="separate"/>
            </w:r>
            <w:r w:rsidRPr="00B57A1E">
              <w:t>[21]</w:t>
            </w:r>
            <w:r>
              <w:rPr>
                <w:rFonts w:eastAsia="Times New Roman"/>
                <w:color w:val="000000"/>
                <w:szCs w:val="24"/>
                <w:lang w:eastAsia="en-GB"/>
              </w:rPr>
              <w:fldChar w:fldCharType="end"/>
            </w:r>
          </w:p>
        </w:tc>
      </w:tr>
      <w:tr w:rsidR="004F3765" w:rsidRPr="005C0B8F" w14:paraId="0E407A04"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2D1584F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pt3</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D9AAA9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0.367</w:t>
            </w:r>
          </w:p>
        </w:tc>
        <w:tc>
          <w:tcPr>
            <w:tcW w:w="7478" w:type="dxa"/>
            <w:tcBorders>
              <w:top w:val="nil"/>
              <w:left w:val="nil"/>
              <w:bottom w:val="single" w:sz="8" w:space="0" w:color="auto"/>
              <w:right w:val="single" w:sz="8" w:space="0" w:color="auto"/>
            </w:tcBorders>
            <w:shd w:val="clear" w:color="auto" w:fill="auto"/>
            <w:noWrap/>
            <w:vAlign w:val="center"/>
            <w:hideMark/>
          </w:tcPr>
          <w:p w14:paraId="218FE2F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proportion of pregnant women taking up at least 3 dose</w:t>
            </w:r>
          </w:p>
        </w:tc>
        <w:tc>
          <w:tcPr>
            <w:tcW w:w="1742" w:type="dxa"/>
            <w:tcBorders>
              <w:top w:val="nil"/>
              <w:left w:val="nil"/>
              <w:bottom w:val="single" w:sz="8" w:space="0" w:color="auto"/>
              <w:right w:val="single" w:sz="8" w:space="0" w:color="auto"/>
            </w:tcBorders>
            <w:shd w:val="clear" w:color="auto" w:fill="auto"/>
            <w:noWrap/>
            <w:vAlign w:val="center"/>
            <w:hideMark/>
          </w:tcPr>
          <w:p w14:paraId="2802CB5D" w14:textId="0C680785"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RmdqjE6X","properties":{"formattedCitation":"[6]","plainCitation":"[6]","noteIndex":0},"citationItems":[{"id":1143,"uris":["http://zotero.org/users/584652/items/KC7RAHJE"],"uri":["http://zotero.org/users/584652/items/KC7RAHJE"],"itemData":{"id":1143,"type":"report","title":"NMCP Annual Bulletin","author":[{"family":"NMCP,Ghana","given":""}],"issued":{"date-parts":[["2016"]]}}}],"schema":"https://github.com/citation-style-language/schema/raw/master/csl-citation.json"} </w:instrText>
            </w:r>
            <w:r>
              <w:rPr>
                <w:rFonts w:eastAsia="Times New Roman"/>
                <w:color w:val="000000"/>
                <w:szCs w:val="24"/>
                <w:lang w:eastAsia="en-GB"/>
              </w:rPr>
              <w:fldChar w:fldCharType="separate"/>
            </w:r>
            <w:r w:rsidRPr="00B57A1E">
              <w:t>[6]</w:t>
            </w:r>
            <w:r>
              <w:rPr>
                <w:rFonts w:eastAsia="Times New Roman"/>
                <w:color w:val="000000"/>
                <w:szCs w:val="24"/>
                <w:lang w:eastAsia="en-GB"/>
              </w:rPr>
              <w:fldChar w:fldCharType="end"/>
            </w:r>
          </w:p>
        </w:tc>
      </w:tr>
      <w:tr w:rsidR="004F3765" w:rsidRPr="005C0B8F" w14:paraId="4A4AFA60"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A95AD04"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ah3</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B1B49D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0.633</w:t>
            </w:r>
          </w:p>
        </w:tc>
        <w:tc>
          <w:tcPr>
            <w:tcW w:w="7478" w:type="dxa"/>
            <w:tcBorders>
              <w:top w:val="nil"/>
              <w:left w:val="nil"/>
              <w:bottom w:val="single" w:sz="8" w:space="0" w:color="auto"/>
              <w:right w:val="single" w:sz="8" w:space="0" w:color="auto"/>
            </w:tcBorders>
            <w:shd w:val="clear" w:color="auto" w:fill="auto"/>
            <w:noWrap/>
            <w:vAlign w:val="center"/>
            <w:hideMark/>
          </w:tcPr>
          <w:p w14:paraId="20EBCF30"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proportion of pregnant women not taking up at least 3 doses</w:t>
            </w:r>
          </w:p>
        </w:tc>
        <w:tc>
          <w:tcPr>
            <w:tcW w:w="1742" w:type="dxa"/>
            <w:tcBorders>
              <w:top w:val="nil"/>
              <w:left w:val="nil"/>
              <w:bottom w:val="single" w:sz="8" w:space="0" w:color="auto"/>
              <w:right w:val="single" w:sz="8" w:space="0" w:color="auto"/>
            </w:tcBorders>
            <w:shd w:val="clear" w:color="auto" w:fill="auto"/>
            <w:noWrap/>
            <w:vAlign w:val="center"/>
            <w:hideMark/>
          </w:tcPr>
          <w:p w14:paraId="11782C5F" w14:textId="0DF522E8"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0Gp4FUpA","properties":{"formattedCitation":"[6]","plainCitation":"[6]","noteIndex":0},"citationItems":[{"id":1143,"uris":["http://zotero.org/users/584652/items/KC7RAHJE"],"uri":["http://zotero.org/users/584652/items/KC7RAHJE"],"itemData":{"id":1143,"type":"report","title":"NMCP Annual Bulletin","author":[{"family":"NMCP,Ghana","given":""}],"issued":{"date-parts":[["2016"]]}}}],"schema":"https://github.com/citation-style-language/schema/raw/master/csl-citation.json"} </w:instrText>
            </w:r>
            <w:r>
              <w:rPr>
                <w:rFonts w:eastAsia="Times New Roman"/>
                <w:color w:val="000000"/>
                <w:szCs w:val="24"/>
                <w:lang w:eastAsia="en-GB"/>
              </w:rPr>
              <w:fldChar w:fldCharType="separate"/>
            </w:r>
            <w:r w:rsidRPr="00B57A1E">
              <w:t>[6]</w:t>
            </w:r>
            <w:r>
              <w:rPr>
                <w:rFonts w:eastAsia="Times New Roman"/>
                <w:color w:val="000000"/>
                <w:szCs w:val="24"/>
                <w:lang w:eastAsia="en-GB"/>
              </w:rPr>
              <w:fldChar w:fldCharType="end"/>
            </w:r>
          </w:p>
        </w:tc>
      </w:tr>
      <w:tr w:rsidR="004F3765" w:rsidRPr="005C0B8F" w14:paraId="602A4D65"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97401C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Nn</w:t>
            </w:r>
          </w:p>
        </w:tc>
        <w:tc>
          <w:tcPr>
            <w:tcW w:w="2162" w:type="dxa"/>
            <w:tcBorders>
              <w:top w:val="nil"/>
              <w:left w:val="nil"/>
              <w:bottom w:val="single" w:sz="8" w:space="0" w:color="auto"/>
              <w:right w:val="single" w:sz="8" w:space="0" w:color="auto"/>
            </w:tcBorders>
            <w:shd w:val="clear" w:color="auto" w:fill="auto"/>
            <w:noWrap/>
            <w:vAlign w:val="center"/>
            <w:hideMark/>
          </w:tcPr>
          <w:p w14:paraId="32740A8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5.1 x 10</w:t>
            </w:r>
            <w:r w:rsidRPr="005C0B8F">
              <w:rPr>
                <w:rFonts w:eastAsia="Times New Roman"/>
                <w:color w:val="000000"/>
                <w:szCs w:val="24"/>
                <w:vertAlign w:val="superscript"/>
                <w:lang w:eastAsia="en-GB"/>
              </w:rPr>
              <w:t>6</w:t>
            </w:r>
          </w:p>
        </w:tc>
        <w:tc>
          <w:tcPr>
            <w:tcW w:w="1483" w:type="dxa"/>
            <w:tcBorders>
              <w:top w:val="nil"/>
              <w:left w:val="nil"/>
              <w:bottom w:val="single" w:sz="8" w:space="0" w:color="auto"/>
              <w:right w:val="single" w:sz="8" w:space="0" w:color="auto"/>
            </w:tcBorders>
            <w:shd w:val="clear" w:color="auto" w:fill="auto"/>
            <w:noWrap/>
            <w:vAlign w:val="center"/>
            <w:hideMark/>
          </w:tcPr>
          <w:p w14:paraId="28C4A67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17.1 x 10</w:t>
            </w:r>
            <w:r w:rsidRPr="005C0B8F">
              <w:rPr>
                <w:rFonts w:eastAsia="Times New Roman"/>
                <w:color w:val="000000"/>
                <w:szCs w:val="24"/>
                <w:vertAlign w:val="superscript"/>
                <w:lang w:eastAsia="en-GB"/>
              </w:rPr>
              <w:t>6</w:t>
            </w:r>
          </w:p>
        </w:tc>
        <w:tc>
          <w:tcPr>
            <w:tcW w:w="1230" w:type="dxa"/>
            <w:tcBorders>
              <w:top w:val="nil"/>
              <w:left w:val="nil"/>
              <w:bottom w:val="single" w:sz="8" w:space="0" w:color="auto"/>
              <w:right w:val="single" w:sz="8" w:space="0" w:color="auto"/>
            </w:tcBorders>
            <w:shd w:val="clear" w:color="auto" w:fill="auto"/>
            <w:noWrap/>
            <w:vAlign w:val="center"/>
            <w:hideMark/>
          </w:tcPr>
          <w:p w14:paraId="1B334A1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8.1 x 10</w:t>
            </w:r>
            <w:r w:rsidRPr="005C0B8F">
              <w:rPr>
                <w:rFonts w:eastAsia="Times New Roman"/>
                <w:color w:val="000000"/>
                <w:szCs w:val="24"/>
                <w:vertAlign w:val="superscript"/>
                <w:lang w:eastAsia="en-GB"/>
              </w:rPr>
              <w:t>6</w:t>
            </w:r>
          </w:p>
        </w:tc>
        <w:tc>
          <w:tcPr>
            <w:tcW w:w="7478" w:type="dxa"/>
            <w:tcBorders>
              <w:top w:val="nil"/>
              <w:left w:val="nil"/>
              <w:bottom w:val="single" w:sz="8" w:space="0" w:color="auto"/>
              <w:right w:val="single" w:sz="8" w:space="0" w:color="auto"/>
            </w:tcBorders>
            <w:shd w:val="clear" w:color="auto" w:fill="auto"/>
            <w:noWrap/>
            <w:vAlign w:val="center"/>
            <w:hideMark/>
          </w:tcPr>
          <w:p w14:paraId="19AE684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human population size (2018 mid-year estimated) (number)</w:t>
            </w:r>
          </w:p>
        </w:tc>
        <w:tc>
          <w:tcPr>
            <w:tcW w:w="1742" w:type="dxa"/>
            <w:tcBorders>
              <w:top w:val="nil"/>
              <w:left w:val="nil"/>
              <w:bottom w:val="single" w:sz="8" w:space="0" w:color="auto"/>
              <w:right w:val="single" w:sz="8" w:space="0" w:color="auto"/>
            </w:tcBorders>
            <w:shd w:val="clear" w:color="auto" w:fill="auto"/>
            <w:noWrap/>
            <w:vAlign w:val="center"/>
            <w:hideMark/>
          </w:tcPr>
          <w:p w14:paraId="52E2C19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DHIMS2</w:t>
            </w:r>
          </w:p>
        </w:tc>
      </w:tr>
      <w:tr w:rsidR="004F3765" w:rsidRPr="005C0B8F" w14:paraId="75A69788"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1E7FFB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Ln</w:t>
            </w:r>
          </w:p>
        </w:tc>
        <w:tc>
          <w:tcPr>
            <w:tcW w:w="2162" w:type="dxa"/>
            <w:tcBorders>
              <w:top w:val="nil"/>
              <w:left w:val="nil"/>
              <w:bottom w:val="single" w:sz="8" w:space="0" w:color="auto"/>
              <w:right w:val="single" w:sz="8" w:space="0" w:color="auto"/>
            </w:tcBorders>
            <w:shd w:val="clear" w:color="auto" w:fill="auto"/>
            <w:noWrap/>
            <w:vAlign w:val="center"/>
            <w:hideMark/>
          </w:tcPr>
          <w:p w14:paraId="4C4A227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25/1000</w:t>
            </w:r>
          </w:p>
        </w:tc>
        <w:tc>
          <w:tcPr>
            <w:tcW w:w="1483" w:type="dxa"/>
            <w:tcBorders>
              <w:top w:val="nil"/>
              <w:left w:val="nil"/>
              <w:bottom w:val="single" w:sz="8" w:space="0" w:color="auto"/>
              <w:right w:val="single" w:sz="8" w:space="0" w:color="auto"/>
            </w:tcBorders>
            <w:shd w:val="clear" w:color="auto" w:fill="auto"/>
            <w:noWrap/>
            <w:vAlign w:val="center"/>
            <w:hideMark/>
          </w:tcPr>
          <w:p w14:paraId="5319FDC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30.6/1000</w:t>
            </w:r>
          </w:p>
        </w:tc>
        <w:tc>
          <w:tcPr>
            <w:tcW w:w="1230" w:type="dxa"/>
            <w:tcBorders>
              <w:top w:val="nil"/>
              <w:left w:val="nil"/>
              <w:bottom w:val="single" w:sz="8" w:space="0" w:color="auto"/>
              <w:right w:val="single" w:sz="8" w:space="0" w:color="auto"/>
            </w:tcBorders>
            <w:shd w:val="clear" w:color="auto" w:fill="auto"/>
            <w:noWrap/>
            <w:vAlign w:val="center"/>
            <w:hideMark/>
          </w:tcPr>
          <w:p w14:paraId="2729E2D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23.5/1000</w:t>
            </w:r>
          </w:p>
        </w:tc>
        <w:tc>
          <w:tcPr>
            <w:tcW w:w="7478" w:type="dxa"/>
            <w:tcBorders>
              <w:top w:val="nil"/>
              <w:left w:val="nil"/>
              <w:bottom w:val="single" w:sz="8" w:space="0" w:color="auto"/>
              <w:right w:val="single" w:sz="8" w:space="0" w:color="auto"/>
            </w:tcBorders>
            <w:shd w:val="clear" w:color="auto" w:fill="auto"/>
            <w:noWrap/>
            <w:vAlign w:val="center"/>
            <w:hideMark/>
          </w:tcPr>
          <w:p w14:paraId="0CEFE4EA"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birth/death rate per 1000  population (year </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6A2DAF2F" w14:textId="1048CA7E"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KgK7kIsY","properties":{"formattedCitation":"[31\\uc0\\u8211{}33]","plainCitation":"[31–33]","noteIndex":0},"citationItems":[{"id":777,"uris":["http://zotero.org/users/584652/items/35EJ666G"],"uri":["http://zotero.org/users/584652/items/35EJ666G"],"itemData":{"id":777,"type":"article-journal","container-title":"International Journal of Epidemiology","DOI":"10.1093/ije/dys111","ISSN":"0300-5771, 1464-3685","issue":"4","language":"en","page":"968-976","source":"CrossRef","title":"Profile of the Navrongo Health and Demographic Surveillance System","volume":"41","author":[{"family":"Oduro","given":"A. R."},{"family":"Wak","given":"G."},{"family":"Azongo","given":"D."},{"family":"Debpuur","given":"C."},{"family":"Wontuo","given":"P."},{"family":"Kondayire","given":"F."},{"family":"Welaga","given":"P."},{"family":"Bawah","given":"A."},{"family":"Nazzar","given":"A."},{"family":"Williams","given":"J."},{"family":"Hodgson","given":"A."},{"family":"Binka","given":"F."}],"issued":{"date-parts":[["2012",8,1]]}}},{"id":44,"uris":["http://zotero.org/users/584652/items/8JP7E6G8"],"uri":["http://zotero.org/users/584652/items/8JP7E6G8"],"itemData":{"id":44,"type":"article-journal","abstract":"Background\nThe dearth of health and demographic data in sub-Saharan Africa from vital registration systems and its impact on effective planning for health and socio-economic development is widely documented. Health and Demographic Surveillance Systems have the capacity to address the dearth of quality data for policy making in resource-poor settings.\n\nObjective\nThis article demonstrates the utility of the Kintampo Health and Demographic Surveillance System (KHDSS) by showing the patterns and trends of population change from 2005 to 2009 in the Kintampo North Municipality and Kintampo South districts of Ghana through data obtained from the KHDSS biannual update rounds.\n\nDesign\nBasic demographic rates for fertility, mortality, and migration were computed by year. School enrolment was computed as a percentage in school by age and sex for 6–18 year-olds. Socio-economic status was derived by use of Principal Components Analysis on household assets.\n\nResults\nOver the period, an earlier fertility decline was reversed in 2009; mortality declined slightly for all age-groups, and a significant share of working-age population was lost through out-migration. Large minorities of children of school-going age are not in school. Socio-economic factors are shown to be important determinants of fertility and mortality.\n\nConclusion\nStrengthening the capacity of HDSSs could offer added value to evidence-driven policymaking at local level.","container-title":"Global Health Action","DOI":"10.3402/gha.v5i0.19033","ISSN":"1654-9716","journalAbbreviation":"Glob Health Action","note":"00023 \nPMID: 23273249\nPMCID: PMC3529298","page":"19033","source":"PubMed Central","title":"Demographic patterns and trends in Central Ghana: baseline indicators from the Kintampo Health and Demographic Surveillance System","volume":"5","author":[{"family":"Owusu-Agyei","given":"Seth"},{"family":"Nettey","given":"Obed Ernest A."},{"family":"Zandoh","given":"Charles"},{"family":"Sulemana","given":"Abubakari"},{"family":"Adda","given":"Robert"},{"family":"Amenga-Etego","given":"Seeba"},{"family":"Mbacke","given":"Cheikh"}],"issued":{"date-parts":[["2012",12,20]]}}},{"id":99,"uris":["http://zotero.org/users/584652/items/IEPJBZC8"],"uri":["http://zotero.org/users/584652/items/IEPJBZC8"],"itemData":{"id":99,"type":"article-journal","abstract":"The Dodowa Health and Demographic Surveillance System (DHDSS) operates in the south-eastern part of Ghana. It was established in 2005 after an initial attempt in 2003 by the Dodowa Health Research Centre (DHRC) to have an accurate population base for piloting a community health insurance scheme.\nAs at 2010, the DHDSS had registered 111 976 residents in 22 767 households. The district is fairly rural, with scattered settlements. Information on pregnancies, births, deaths, migration and marriages using household registration books administered by trained fieldworkers is obtained biannually. Education, immunization status and household socioeconomic measures are obtained annually and verbal autopsies (VA) are conducted on all deaths. Community key informants (CKI) complement the work of field staff by notifying the field office of events that occur after a fieldworker has left a community.\nThe centre has very close working relationships with the district health directorate and the local government authority.\nThe DHDSS subscribes to the INDEPTH data-sharing policy and in addition, contractual arrangements are made with various institutions on specific data-sharing issues.","container-title":"International Journal of Epidemiology","DOI":"10.1093/ije/dyt197","ISSN":"0300-5771, 1464-3685","issue":"6","journalAbbreviation":"Int. J. Epidemiol.","language":"en","note":"00014 \nPMID: 24415607","page":"1686-1696","source":"ije.oxfordjournals.org","title":"Profile: The Dodowa HDSS","title-short":"Profile","volume":"42","author":[{"family":"Gyapong","given":"Margaret"},{"family":"Sarpong","given":"Doris"},{"family":"Awini","given":"Elizabeth"},{"family":"Manyeh","given":"Alfred K."},{"family":"Tei","given":"Desmond"},{"family":"Odonkor","given":"Gabriel"},{"family":"Agyepong","given":"Irene A."},{"family":"Mattah","given":"Precious"},{"family":"Wontuo","given":"Peter"},{"family":"Attaa-Pomaa","given":"Mary"},{"family":"Gyapong","given":"John O."},{"family":"Binka","given":"Fred N."}],"issued":{"date-parts":[["2013",12,1]]}}}],"schema":"https://github.com/citation-style-language/schema/raw/master/csl-citation.json"} </w:instrText>
            </w:r>
            <w:r>
              <w:rPr>
                <w:rFonts w:eastAsia="Times New Roman"/>
                <w:color w:val="000000"/>
                <w:szCs w:val="24"/>
                <w:lang w:eastAsia="en-GB"/>
              </w:rPr>
              <w:fldChar w:fldCharType="separate"/>
            </w:r>
            <w:r w:rsidRPr="00B57A1E">
              <w:rPr>
                <w:szCs w:val="24"/>
              </w:rPr>
              <w:t>[31–33]</w:t>
            </w:r>
            <w:r>
              <w:rPr>
                <w:rFonts w:eastAsia="Times New Roman"/>
                <w:color w:val="000000"/>
                <w:szCs w:val="24"/>
                <w:lang w:eastAsia="en-GB"/>
              </w:rPr>
              <w:fldChar w:fldCharType="end"/>
            </w:r>
          </w:p>
        </w:tc>
      </w:tr>
      <w:tr w:rsidR="004F3765" w:rsidRPr="005C0B8F" w14:paraId="7F523150"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1310271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Kv</w:t>
            </w:r>
          </w:p>
        </w:tc>
        <w:tc>
          <w:tcPr>
            <w:tcW w:w="2162" w:type="dxa"/>
            <w:tcBorders>
              <w:top w:val="nil"/>
              <w:left w:val="nil"/>
              <w:bottom w:val="single" w:sz="8" w:space="0" w:color="auto"/>
              <w:right w:val="single" w:sz="8" w:space="0" w:color="auto"/>
            </w:tcBorders>
            <w:shd w:val="clear" w:color="auto" w:fill="auto"/>
            <w:noWrap/>
            <w:vAlign w:val="center"/>
            <w:hideMark/>
          </w:tcPr>
          <w:p w14:paraId="6DB9037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7.8 x10</w:t>
            </w:r>
            <w:r w:rsidRPr="005C0B8F">
              <w:rPr>
                <w:rFonts w:eastAsia="Times New Roman"/>
                <w:color w:val="000000"/>
                <w:szCs w:val="24"/>
                <w:vertAlign w:val="superscript"/>
                <w:lang w:eastAsia="en-GB"/>
              </w:rPr>
              <w:t>5</w:t>
            </w:r>
          </w:p>
        </w:tc>
        <w:tc>
          <w:tcPr>
            <w:tcW w:w="1483" w:type="dxa"/>
            <w:tcBorders>
              <w:top w:val="nil"/>
              <w:left w:val="nil"/>
              <w:bottom w:val="single" w:sz="8" w:space="0" w:color="auto"/>
              <w:right w:val="single" w:sz="8" w:space="0" w:color="auto"/>
            </w:tcBorders>
            <w:shd w:val="clear" w:color="auto" w:fill="auto"/>
            <w:noWrap/>
            <w:vAlign w:val="center"/>
            <w:hideMark/>
          </w:tcPr>
          <w:p w14:paraId="6DC698B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4.2 x 10</w:t>
            </w:r>
            <w:r w:rsidRPr="005C0B8F">
              <w:rPr>
                <w:rFonts w:eastAsia="Times New Roman"/>
                <w:color w:val="000000"/>
                <w:szCs w:val="24"/>
                <w:vertAlign w:val="superscript"/>
                <w:lang w:eastAsia="en-GB"/>
              </w:rPr>
              <w:t>7</w:t>
            </w:r>
          </w:p>
        </w:tc>
        <w:tc>
          <w:tcPr>
            <w:tcW w:w="1230" w:type="dxa"/>
            <w:tcBorders>
              <w:top w:val="nil"/>
              <w:left w:val="nil"/>
              <w:bottom w:val="single" w:sz="8" w:space="0" w:color="auto"/>
              <w:right w:val="single" w:sz="8" w:space="0" w:color="auto"/>
            </w:tcBorders>
            <w:shd w:val="clear" w:color="auto" w:fill="auto"/>
            <w:noWrap/>
            <w:vAlign w:val="center"/>
            <w:hideMark/>
          </w:tcPr>
          <w:p w14:paraId="76DE609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2.5 x 10</w:t>
            </w:r>
            <w:r w:rsidRPr="005C0B8F">
              <w:rPr>
                <w:rFonts w:eastAsia="Times New Roman"/>
                <w:color w:val="000000"/>
                <w:szCs w:val="24"/>
                <w:vertAlign w:val="superscript"/>
                <w:lang w:eastAsia="en-GB"/>
              </w:rPr>
              <w:t>7</w:t>
            </w:r>
          </w:p>
        </w:tc>
        <w:tc>
          <w:tcPr>
            <w:tcW w:w="7478" w:type="dxa"/>
            <w:tcBorders>
              <w:top w:val="nil"/>
              <w:left w:val="nil"/>
              <w:bottom w:val="single" w:sz="8" w:space="0" w:color="auto"/>
              <w:right w:val="single" w:sz="8" w:space="0" w:color="auto"/>
            </w:tcBorders>
            <w:shd w:val="clear" w:color="auto" w:fill="auto"/>
            <w:noWrap/>
            <w:vAlign w:val="center"/>
            <w:hideMark/>
          </w:tcPr>
          <w:p w14:paraId="4C2CDAF9"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carrying capacity of the environment for larva and pupae stages of mosquitoes (ha</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6FD9530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2907B775"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F3AD64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LLIN</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F3A4FC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0.398</w:t>
            </w:r>
          </w:p>
        </w:tc>
        <w:tc>
          <w:tcPr>
            <w:tcW w:w="7478" w:type="dxa"/>
            <w:tcBorders>
              <w:top w:val="nil"/>
              <w:left w:val="nil"/>
              <w:bottom w:val="single" w:sz="8" w:space="0" w:color="auto"/>
              <w:right w:val="single" w:sz="8" w:space="0" w:color="auto"/>
            </w:tcBorders>
            <w:shd w:val="clear" w:color="auto" w:fill="auto"/>
            <w:noWrap/>
            <w:vAlign w:val="center"/>
            <w:hideMark/>
          </w:tcPr>
          <w:p w14:paraId="5B129EA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protective efficacy of </w:t>
            </w:r>
            <w:r w:rsidRPr="005C0B8F">
              <w:rPr>
                <w:rFonts w:eastAsia="Times New Roman"/>
                <w:b/>
                <w:bCs/>
                <w:color w:val="000000"/>
                <w:szCs w:val="24"/>
                <w:lang w:eastAsia="en-GB"/>
              </w:rPr>
              <w:t xml:space="preserve">LLINs </w:t>
            </w:r>
            <w:r w:rsidRPr="005C0B8F">
              <w:rPr>
                <w:rFonts w:eastAsia="Times New Roman"/>
                <w:color w:val="000000"/>
                <w:szCs w:val="24"/>
                <w:lang w:eastAsia="en-GB"/>
              </w:rPr>
              <w:t>against malaria (based on the IRR</w:t>
            </w:r>
            <w:r w:rsidRPr="005C0B8F">
              <w:rPr>
                <w:rFonts w:eastAsia="Times New Roman"/>
                <w:color w:val="000000"/>
                <w:szCs w:val="24"/>
                <w:vertAlign w:val="superscript"/>
                <w:lang w:eastAsia="en-GB"/>
              </w:rPr>
              <w:t>#</w:t>
            </w:r>
            <w:r w:rsidRPr="005C0B8F">
              <w:rPr>
                <w:rFonts w:eastAsia="Times New Roman"/>
                <w:color w:val="000000"/>
                <w:szCs w:val="24"/>
                <w:lang w:eastAsia="en-GB"/>
              </w:rPr>
              <w:t xml:space="preserve"> or OR</w:t>
            </w:r>
            <w:r w:rsidRPr="005C0B8F">
              <w:rPr>
                <w:rFonts w:eastAsia="Times New Roman"/>
                <w:color w:val="000000"/>
                <w:szCs w:val="24"/>
                <w:vertAlign w:val="superscript"/>
                <w:lang w:eastAsia="en-GB"/>
              </w:rPr>
              <w:t>##</w:t>
            </w:r>
            <w:r w:rsidRPr="005C0B8F">
              <w:rPr>
                <w:rFonts w:eastAsia="Times New Roman"/>
                <w:color w:val="000000"/>
                <w:szCs w:val="24"/>
                <w:lang w:eastAsia="en-GB"/>
              </w:rPr>
              <w:t>)</w:t>
            </w:r>
            <w:r w:rsidRPr="005C0B8F">
              <w:rPr>
                <w:rFonts w:eastAsia="Times New Roman"/>
                <w:b/>
                <w:bCs/>
                <w:color w:val="000000"/>
                <w:szCs w:val="24"/>
                <w:lang w:eastAsia="en-GB"/>
              </w:rPr>
              <w:t xml:space="preserve"> </w:t>
            </w:r>
          </w:p>
        </w:tc>
        <w:tc>
          <w:tcPr>
            <w:tcW w:w="1742" w:type="dxa"/>
            <w:tcBorders>
              <w:top w:val="nil"/>
              <w:left w:val="nil"/>
              <w:bottom w:val="single" w:sz="8" w:space="0" w:color="auto"/>
              <w:right w:val="single" w:sz="8" w:space="0" w:color="auto"/>
            </w:tcBorders>
            <w:shd w:val="clear" w:color="auto" w:fill="auto"/>
            <w:noWrap/>
            <w:vAlign w:val="center"/>
            <w:hideMark/>
          </w:tcPr>
          <w:p w14:paraId="745CD942" w14:textId="538CFDB1"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H82uN1u8","properties":{"formattedCitation":"[34]","plainCitation":"[34]","noteIndex":0},"citationItems":[{"id":1503,"uris":["http://zotero.org/users/584652/items/V9VRU95V"],"uri":["http://zotero.org/users/584652/items/V9VRU95V"],"itemData":{"id":1503,"type":"article-journal","abstract":"Background: Thanks to a considerable increase in funding, malaria control interventions (MCI) whose efficacy had been demonstrated by controlled trials have been largely scaled up during the last decade. Nevertheless, it was not systematically investigated whether this efficacy had been preserved once deployed on the field. Therefore, we sought the literature to assess the disparities between efficacy and effectiveness and the effort to measure the protective effectiveness (PE) of MCI.\nMethods: The PubMed database was searched for references with keywords related to malaria, to control interventions for prevention and to study designs that allow for the measure of the PE against parasitemia or against clinical outcomes.\nResults: Our search retrieved 1423 references, and 162 articles were included in the review. Publications were scarce before the year 2000 but dramatically increased afterwards. Bed nets was the MCI most studied (82.1%). The study design most used was a cross-sectional study (65.4%). Two thirds (67.3%) were conducted at the district level or below, and the majority (56.8%) included only children even if the MCI didn’t target only children. Not all studies demonstrated a significant PE from exposure to MCI: 60.6% of studies evaluating bed nets, 50.0% of those evaluating indoor residual spraying, and 4/8 showed an added PE of using both interventions as compared with one only; this proportion was 62.5% for intermittent preventive treatment of pregnant women, and 20.0% for domestic use of insecticides.\nConclusions: This review identified numerous local findings of low, non-significant PE –or even the absence of a protective effect provided by these MCIs. The identification of such failures in the effectiveness of MCIs advocates for the investigation of the causes of the problem found. Ideal evaluations of the PE of MCIs should incorporate both a large representativeness and an evaluation of the PE stratified by subpopulations.","container-title":"F1000Research","DOI":"10.12688/f1000research.12952.1","ISSN":"2046-1402","language":"en","page":"1932","source":"DOI.org (Crossref)","title":"The protective effectiveness of control interventions for malaria prevention: a systematic review of the literature","title-short":"The protective effectiveness of control interventions for malaria prevention","volume":"6","author":[{"family":"Kesteman","given":"Thomas"},{"family":"Randrianarivelojosia","given":"Milijaona"},{"family":"Rogier","given":"Christophe"}],"issued":{"date-parts":[["2017",11,1]]}}}],"schema":"https://github.com/citation-style-language/schema/raw/master/csl-citation.json"} </w:instrText>
            </w:r>
            <w:r>
              <w:rPr>
                <w:rFonts w:eastAsia="Times New Roman"/>
                <w:color w:val="000000"/>
                <w:szCs w:val="24"/>
                <w:lang w:eastAsia="en-GB"/>
              </w:rPr>
              <w:fldChar w:fldCharType="separate"/>
            </w:r>
            <w:r w:rsidRPr="00B57A1E">
              <w:t>[34]</w:t>
            </w:r>
            <w:r>
              <w:rPr>
                <w:rFonts w:eastAsia="Times New Roman"/>
                <w:color w:val="000000"/>
                <w:szCs w:val="24"/>
                <w:lang w:eastAsia="en-GB"/>
              </w:rPr>
              <w:fldChar w:fldCharType="end"/>
            </w:r>
          </w:p>
        </w:tc>
      </w:tr>
      <w:tr w:rsidR="004F3765" w:rsidRPr="005C0B8F" w14:paraId="0F9429BF"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2815CE5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IRS</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79A648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0.285</w:t>
            </w:r>
          </w:p>
        </w:tc>
        <w:tc>
          <w:tcPr>
            <w:tcW w:w="7478" w:type="dxa"/>
            <w:tcBorders>
              <w:top w:val="nil"/>
              <w:left w:val="nil"/>
              <w:bottom w:val="single" w:sz="8" w:space="0" w:color="auto"/>
              <w:right w:val="single" w:sz="8" w:space="0" w:color="auto"/>
            </w:tcBorders>
            <w:shd w:val="clear" w:color="auto" w:fill="auto"/>
            <w:noWrap/>
            <w:vAlign w:val="center"/>
            <w:hideMark/>
          </w:tcPr>
          <w:p w14:paraId="290E94D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protective efficacy of </w:t>
            </w:r>
            <w:r w:rsidRPr="005C0B8F">
              <w:rPr>
                <w:rFonts w:eastAsia="Times New Roman"/>
                <w:b/>
                <w:bCs/>
                <w:color w:val="000000"/>
                <w:szCs w:val="24"/>
                <w:lang w:eastAsia="en-GB"/>
              </w:rPr>
              <w:t xml:space="preserve">IRS  </w:t>
            </w:r>
            <w:r w:rsidRPr="005C0B8F">
              <w:rPr>
                <w:rFonts w:eastAsia="Times New Roman"/>
                <w:color w:val="000000"/>
                <w:szCs w:val="24"/>
                <w:lang w:eastAsia="en-GB"/>
              </w:rPr>
              <w:t>against malaria (based on the IRR</w:t>
            </w:r>
            <w:r w:rsidRPr="005C0B8F">
              <w:rPr>
                <w:rFonts w:eastAsia="Times New Roman"/>
                <w:color w:val="000000"/>
                <w:szCs w:val="24"/>
                <w:vertAlign w:val="superscript"/>
                <w:lang w:eastAsia="en-GB"/>
              </w:rPr>
              <w:t>#</w:t>
            </w:r>
            <w:r w:rsidRPr="005C0B8F">
              <w:rPr>
                <w:rFonts w:eastAsia="Times New Roman"/>
                <w:color w:val="000000"/>
                <w:szCs w:val="24"/>
                <w:lang w:eastAsia="en-GB"/>
              </w:rPr>
              <w:t xml:space="preserve"> or OR</w:t>
            </w:r>
            <w:r w:rsidRPr="005C0B8F">
              <w:rPr>
                <w:rFonts w:eastAsia="Times New Roman"/>
                <w:color w:val="000000"/>
                <w:szCs w:val="24"/>
                <w:vertAlign w:val="superscript"/>
                <w:lang w:eastAsia="en-GB"/>
              </w:rPr>
              <w:t>##</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F70A5C4" w14:textId="62ED58CC"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MRvvHhm","properties":{"formattedCitation":"[34]","plainCitation":"[34]","noteIndex":0},"citationItems":[{"id":1503,"uris":["http://zotero.org/users/584652/items/V9VRU95V"],"uri":["http://zotero.org/users/584652/items/V9VRU95V"],"itemData":{"id":1503,"type":"article-journal","abstract":"Background: Thanks to a considerable increase in funding, malaria control interventions (MCI) whose efficacy had been demonstrated by controlled trials have been largely scaled up during the last decade. Nevertheless, it was not systematically investigated whether this efficacy had been preserved once deployed on the field. Therefore, we sought the literature to assess the disparities between efficacy and effectiveness and the effort to measure the protective effectiveness (PE) of MCI.\nMethods: The PubMed database was searched for references with keywords related to malaria, to control interventions for prevention and to study designs that allow for the measure of the PE against parasitemia or against clinical outcomes.\nResults: Our search retrieved 1423 references, and 162 articles were included in the review. Publications were scarce before the year 2000 but dramatically increased afterwards. Bed nets was the MCI most studied (82.1%). The study design most used was a cross-sectional study (65.4%). Two thirds (67.3%) were conducted at the district level or below, and the majority (56.8%) included only children even if the MCI didn’t target only children. Not all studies demonstrated a significant PE from exposure to MCI: 60.6% of studies evaluating bed nets, 50.0% of those evaluating indoor residual spraying, and 4/8 showed an added PE of using both interventions as compared with one only; this proportion was 62.5% for intermittent preventive treatment of pregnant women, and 20.0% for domestic use of insecticides.\nConclusions: This review identified numerous local findings of low, non-significant PE –or even the absence of a protective effect provided by these MCIs. The identification of such failures in the effectiveness of MCIs advocates for the investigation of the causes of the problem found. Ideal evaluations of the PE of MCIs should incorporate both a large representativeness and an evaluation of the PE stratified by subpopulations.","container-title":"F1000Research","DOI":"10.12688/f1000research.12952.1","ISSN":"2046-1402","language":"en","page":"1932","source":"DOI.org (Crossref)","title":"The protective effectiveness of control interventions for malaria prevention: a systematic review of the literature","title-short":"The protective effectiveness of control interventions for malaria prevention","volume":"6","author":[{"family":"Kesteman","given":"Thomas"},{"family":"Randrianarivelojosia","given":"Milijaona"},{"family":"Rogier","given":"Christophe"}],"issued":{"date-parts":[["2017",11,1]]}}}],"schema":"https://github.com/citation-style-language/schema/raw/master/csl-citation.json"} </w:instrText>
            </w:r>
            <w:r>
              <w:rPr>
                <w:rFonts w:eastAsia="Times New Roman"/>
                <w:color w:val="000000"/>
                <w:szCs w:val="24"/>
                <w:lang w:eastAsia="en-GB"/>
              </w:rPr>
              <w:fldChar w:fldCharType="separate"/>
            </w:r>
            <w:r w:rsidRPr="00B57A1E">
              <w:t>[34]</w:t>
            </w:r>
            <w:r>
              <w:rPr>
                <w:rFonts w:eastAsia="Times New Roman"/>
                <w:color w:val="000000"/>
                <w:szCs w:val="24"/>
                <w:lang w:eastAsia="en-GB"/>
              </w:rPr>
              <w:fldChar w:fldCharType="end"/>
            </w:r>
          </w:p>
        </w:tc>
      </w:tr>
      <w:tr w:rsidR="004F3765" w:rsidRPr="005C0B8F" w14:paraId="5547E990"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2123A2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ss</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04F06F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365.25/5</w:t>
            </w:r>
          </w:p>
        </w:tc>
        <w:tc>
          <w:tcPr>
            <w:tcW w:w="7478" w:type="dxa"/>
            <w:tcBorders>
              <w:top w:val="nil"/>
              <w:left w:val="nil"/>
              <w:bottom w:val="single" w:sz="8" w:space="0" w:color="auto"/>
              <w:right w:val="single" w:sz="8" w:space="0" w:color="auto"/>
            </w:tcBorders>
            <w:shd w:val="clear" w:color="auto" w:fill="auto"/>
            <w:noWrap/>
            <w:vAlign w:val="center"/>
            <w:hideMark/>
          </w:tcPr>
          <w:p w14:paraId="02CA650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rate of progressing into severe disease(days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991B134" w14:textId="467480B9"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ttLLjc2B","properties":{"formattedCitation":"[35]","plainCitation":"[35]","noteIndex":0},"citationItems":[{"id":1378,"uris":["http://zotero.org/users/584652/items/FSJ234TD"],"uri":["http://zotero.org/users/584652/items/FSJ234TD"],"itemData":{"id":1378,"type":"article-journal","abstract":"Objective : Despite a substantial disease burden, little is known about the natural history of complicated falciparum malaria. Therefore, the present prospective study was undertaken to assess the clinical course, outcome, and resolution time of various complications of falciparum malaria.\nMethods : This prospective study has been conducted in a tertiary health care institution with high prevalence of malaria. A cohort of 608 patients of complicated falciparum malaria with single and multiple complications were enrolled. After discharge, all patients were followed up for 1 month except patients with anaemia who were followed up for 3 months. The onset time, interval of progression of one complication to other, resolution time of complications and mortality were determined.\nResults : At the time of admission there were 288 (46.8%) patients with single complication (SC) and 320 (53.2%) patients with multiple complications (MC). Majority (n=214, 74.3%) of patients with SC had cerebral malaria, followed by jaundice (14.6%), anaemia (6.9%), hypoglycaemia (2.1%), and respiratory distress (2.1%). The multiple complications were found in various combinations and majority (n=136, 42.5%) had constellation of 3 different complications. Cerebral malaria, jaundice, and renal failure (102 of 136, 75.3%) were the most common combination. Regardless of number of complications, cerebral malaria was present in 91.6% (293 of 320) patients with MC. As the population of patients progressed from single to multiple complications, increasing proportions had jaundice, renal failure, and anaemia. 12.8% to 36.2% of patients in any category progressed from one complication to other complication within 72 hrs. There mortality rate was 14.6%, 21.3%, 30.9%, 38.5%, 100%, and 100% among patients with 1,2,3,4,5, and 6 complications respectively.\nConclusion : This is the first prospective study that provides the clinical evidence that complicated malaria represents a hierarchical continuum of abnormalities resulting from malaria infection. All complications developed within 5 days (median 72 hrs, range-2 to120hrs.) of onset of fever. Pre-pernicious stage had been recognised in cases of cerebral malaria. Each complication is unique in its onset and recovery time. Not only the number but also the type of complication influences the outcome of complicated malaria. ©","language":"en","page":"6","source":"Zotero","title":"The Natural History of Complicated Falciparum Malaria — A Prospective Study","volume":"54","author":[{"family":"Mohapatra","given":"MK"}],"issued":{"date-parts":[["2006"]]}}}],"schema":"https://github.com/citation-style-language/schema/raw/master/csl-citation.json"} </w:instrText>
            </w:r>
            <w:r>
              <w:rPr>
                <w:rFonts w:eastAsia="Times New Roman"/>
                <w:color w:val="000000"/>
                <w:szCs w:val="24"/>
                <w:lang w:eastAsia="en-GB"/>
              </w:rPr>
              <w:fldChar w:fldCharType="separate"/>
            </w:r>
            <w:r w:rsidRPr="00B57A1E">
              <w:t>[35]</w:t>
            </w:r>
            <w:r>
              <w:rPr>
                <w:rFonts w:eastAsia="Times New Roman"/>
                <w:color w:val="000000"/>
                <w:szCs w:val="24"/>
                <w:lang w:eastAsia="en-GB"/>
              </w:rPr>
              <w:fldChar w:fldCharType="end"/>
            </w:r>
          </w:p>
        </w:tc>
      </w:tr>
      <w:tr w:rsidR="004F3765" w:rsidRPr="005C0B8F" w14:paraId="0DF39C5A"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2D829B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q</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79C4C9E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365.25/194</w:t>
            </w:r>
          </w:p>
        </w:tc>
        <w:tc>
          <w:tcPr>
            <w:tcW w:w="7478" w:type="dxa"/>
            <w:tcBorders>
              <w:top w:val="nil"/>
              <w:left w:val="nil"/>
              <w:bottom w:val="single" w:sz="8" w:space="0" w:color="auto"/>
              <w:right w:val="single" w:sz="8" w:space="0" w:color="auto"/>
            </w:tcBorders>
            <w:shd w:val="clear" w:color="auto" w:fill="auto"/>
            <w:noWrap/>
            <w:vAlign w:val="center"/>
            <w:hideMark/>
          </w:tcPr>
          <w:p w14:paraId="0D82E297"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duration of progressing from </w:t>
            </w:r>
            <w:r w:rsidRPr="005C0B8F">
              <w:rPr>
                <w:rFonts w:eastAsia="Times New Roman"/>
                <w:b/>
                <w:bCs/>
                <w:color w:val="000000"/>
                <w:szCs w:val="24"/>
                <w:lang w:eastAsia="en-GB"/>
              </w:rPr>
              <w:t>Ia</w:t>
            </w:r>
            <w:r w:rsidRPr="005C0B8F">
              <w:rPr>
                <w:rFonts w:eastAsia="Times New Roman"/>
                <w:color w:val="000000"/>
                <w:szCs w:val="24"/>
                <w:lang w:eastAsia="en-GB"/>
              </w:rPr>
              <w:t xml:space="preserve"> into </w:t>
            </w:r>
            <w:r w:rsidRPr="005C0B8F">
              <w:rPr>
                <w:rFonts w:eastAsia="Times New Roman"/>
                <w:b/>
                <w:bCs/>
                <w:color w:val="000000"/>
                <w:szCs w:val="24"/>
                <w:lang w:eastAsia="en-GB"/>
              </w:rPr>
              <w:t>Ic</w:t>
            </w:r>
            <w:r w:rsidRPr="005C0B8F">
              <w:rPr>
                <w:rFonts w:eastAsia="Times New Roman"/>
                <w:color w:val="000000"/>
                <w:szCs w:val="24"/>
                <w:lang w:eastAsia="en-GB"/>
              </w:rPr>
              <w:t xml:space="preserve"> (days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713B608B" w14:textId="629D21DC" w:rsidR="004F3765" w:rsidRPr="005C0B8F" w:rsidRDefault="00B57A1E" w:rsidP="00622896">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PezJEzM","properties":{"formattedCitation":"[23,36,37]","plainCitation":"[23,36,37]","noteIndex":0},"citationItems":[{"id":1131,"uris":["http://zotero.org/users/584652/items/D2JHWJSJ"],"uri":["http://zotero.org/users/584652/items/D2JHWJSJ"],"itemData":{"id":1131,"type":"article-journal","container-title":"PLoS ONE","DOI":"10.1371/journal.pone.0109032","ISSN":"1932-6203","issue":"10","language":"en","page":"e109032","source":"CrossRef","title":"The Impact of Text Message Reminders on Adherence to Antimalarial Treatment in Northern Ghana: A Randomized Trial","title-short":"The Impact of Text Message Reminders on Adherence to Antimalarial Treatment in Northern Ghana","volume":"9","author":[{"family":"Raifman","given":"Julia R. G."},{"family":"Lanthorn","given":"Heather E."},{"family":"Rokicki","given":"Slawa"},{"family":"Fink","given":"Günther"}],"editor":[{"family":"Slutsker","given":"Laurence"}],"issued":{"date-parts":[["2014",10,28]]}}},{"id":1273,"uris":["http://zotero.org/users/584652/items/R69NDKA4"],"uri":["http://zotero.org/users/584652/items/R69NDKA4"],"itemData":{"id":1273,"type":"article-journal","issue":"8","journalAbbreviation":"ijird","title":"Rural Folks’ Knowledge on and adherence towards Artemisinin-based combination Therepies","volume":"5","author":[{"family":"Appiah","given":"Michael Karikari"},{"family":"Diji","given":"Abigail Kusi-Amponsah"}],"issued":{"date-parts":[["2016"]]}}},{"id":1279,"uris":["http://zotero.org/users/584652/items/W5WB42WF"],"uri":["http://zotero.org/users/584652/items/W5WB42WF"],"itemData":{"id":1279,"type":"article-journal","container-title":"Malaria Research and Treatment","DOI":"10.1155/2015/452539","ISSN":"2090-8075, 2044-4362","language":"en","page":"1-8","source":"CrossRef","title":"Patient Related Factors Affecting Adherence to Antimalarial Medication in an Urban Estate in Ghana","volume":"2015","author":[{"family":"Amponsah","given":"Alexandria O."},{"family":"Vosper","given":"Helen"},{"family":"Marfo","given":"Afia F. A."}],"issued":{"date-parts":[["2015"]]}}}],"schema":"https://github.com/citation-style-language/schema/raw/master/csl-citation.json"} </w:instrText>
            </w:r>
            <w:r>
              <w:rPr>
                <w:rFonts w:eastAsia="Times New Roman"/>
                <w:color w:val="000000"/>
                <w:szCs w:val="24"/>
                <w:lang w:eastAsia="en-GB"/>
              </w:rPr>
              <w:fldChar w:fldCharType="separate"/>
            </w:r>
            <w:r w:rsidRPr="00B57A1E">
              <w:t>[23,36,37]</w:t>
            </w:r>
            <w:r>
              <w:rPr>
                <w:rFonts w:eastAsia="Times New Roman"/>
                <w:color w:val="000000"/>
                <w:szCs w:val="24"/>
                <w:lang w:eastAsia="en-GB"/>
              </w:rPr>
              <w:fldChar w:fldCharType="end"/>
            </w:r>
          </w:p>
        </w:tc>
      </w:tr>
      <w:tr w:rsidR="004F3765" w:rsidRPr="005C0B8F" w14:paraId="28C670DE"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5C1D2E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gamma</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7C3E5B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365.25/21</w:t>
            </w:r>
          </w:p>
        </w:tc>
        <w:tc>
          <w:tcPr>
            <w:tcW w:w="7478" w:type="dxa"/>
            <w:tcBorders>
              <w:top w:val="nil"/>
              <w:left w:val="nil"/>
              <w:bottom w:val="single" w:sz="8" w:space="0" w:color="auto"/>
              <w:right w:val="single" w:sz="8" w:space="0" w:color="auto"/>
            </w:tcBorders>
            <w:shd w:val="clear" w:color="auto" w:fill="auto"/>
            <w:noWrap/>
            <w:vAlign w:val="center"/>
            <w:hideMark/>
          </w:tcPr>
          <w:p w14:paraId="014F9CFC"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duration of latent period in human population(days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66460F51" w14:textId="4128DDF9"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xq0tUywP","properties":{"formattedCitation":"[38]","plainCitation":"[38]","noteIndex":0},"citationItems":[{"id":1133,"uris":["http://zotero.org/users/584652/items/DR6P2B4A"],"uri":["http://zotero.org/users/584652/items/DR6P2B4A"],"itemData":{"id":1133,"type":"article-journal","container-title":"Mediterranean Journal of Hematology and Infectious Diseases","DOI":"10.4084/mjhid.2012.026","ISSN":"2035-3006","issue":"1","page":"2012026","source":"CrossRef","title":"CLINICAL ASPECTS OF UNCOMPLICATED AND SEVERE MALARIA","volume":"4","author":[{"family":"Bartoloni","given":"Alessandro"},{"family":"Zammarchi","given":"Lorenzo"}],"issued":{"date-parts":[["2012",5,4]]}}}],"schema":"https://github.com/citation-style-language/schema/raw/master/csl-citation.json"} </w:instrText>
            </w:r>
            <w:r>
              <w:rPr>
                <w:rFonts w:eastAsia="Times New Roman"/>
                <w:color w:val="000000"/>
                <w:szCs w:val="24"/>
                <w:lang w:eastAsia="en-GB"/>
              </w:rPr>
              <w:fldChar w:fldCharType="separate"/>
            </w:r>
            <w:r w:rsidRPr="00B57A1E">
              <w:t>[38]</w:t>
            </w:r>
            <w:r>
              <w:rPr>
                <w:rFonts w:eastAsia="Times New Roman"/>
                <w:color w:val="000000"/>
                <w:szCs w:val="24"/>
                <w:lang w:eastAsia="en-GB"/>
              </w:rPr>
              <w:fldChar w:fldCharType="end"/>
            </w:r>
          </w:p>
        </w:tc>
      </w:tr>
      <w:tr w:rsidR="004F3765" w:rsidRPr="005C0B8F" w14:paraId="230EA2AB"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FE4BCC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t1</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52C019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365.25/3</w:t>
            </w:r>
          </w:p>
        </w:tc>
        <w:tc>
          <w:tcPr>
            <w:tcW w:w="7478" w:type="dxa"/>
            <w:tcBorders>
              <w:top w:val="nil"/>
              <w:left w:val="nil"/>
              <w:bottom w:val="single" w:sz="8" w:space="0" w:color="auto"/>
              <w:right w:val="single" w:sz="8" w:space="0" w:color="auto"/>
            </w:tcBorders>
            <w:shd w:val="clear" w:color="auto" w:fill="auto"/>
            <w:noWrap/>
            <w:vAlign w:val="center"/>
            <w:hideMark/>
          </w:tcPr>
          <w:p w14:paraId="644657D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duration after onset of illness </w:t>
            </w:r>
            <w:r w:rsidRPr="005C0B8F">
              <w:rPr>
                <w:rFonts w:eastAsia="Times New Roman"/>
                <w:b/>
                <w:bCs/>
                <w:color w:val="000000"/>
                <w:szCs w:val="24"/>
                <w:lang w:eastAsia="en-GB"/>
              </w:rPr>
              <w:t>ACT</w:t>
            </w:r>
            <w:r w:rsidRPr="005C0B8F">
              <w:rPr>
                <w:rFonts w:eastAsia="Times New Roman"/>
                <w:color w:val="000000"/>
                <w:szCs w:val="24"/>
                <w:lang w:eastAsia="en-GB"/>
              </w:rPr>
              <w:t xml:space="preserve"> treatment was sought (days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79A3FC2F" w14:textId="57D86642"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NaEZFyO4","properties":{"formattedCitation":"[38]","plainCitation":"[38]","noteIndex":0},"citationItems":[{"id":1133,"uris":["http://zotero.org/users/584652/items/DR6P2B4A"],"uri":["http://zotero.org/users/584652/items/DR6P2B4A"],"itemData":{"id":1133,"type":"article-journal","container-title":"Mediterranean Journal of Hematology and Infectious Diseases","DOI":"10.4084/mjhid.2012.026","ISSN":"2035-3006","issue":"1","page":"2012026","source":"CrossRef","title":"CLINICAL ASPECTS OF UNCOMPLICATED AND SEVERE MALARIA","volume":"4","author":[{"family":"Bartoloni","given":"Alessandro"},{"family":"Zammarchi","given":"Lorenzo"}],"issued":{"date-parts":[["2012",5,4]]}}}],"schema":"https://github.com/citation-style-language/schema/raw/master/csl-citation.json"} </w:instrText>
            </w:r>
            <w:r>
              <w:rPr>
                <w:rFonts w:eastAsia="Times New Roman"/>
                <w:color w:val="000000"/>
                <w:szCs w:val="24"/>
                <w:lang w:eastAsia="en-GB"/>
              </w:rPr>
              <w:fldChar w:fldCharType="separate"/>
            </w:r>
            <w:r w:rsidRPr="00B57A1E">
              <w:t>[38]</w:t>
            </w:r>
            <w:r>
              <w:rPr>
                <w:rFonts w:eastAsia="Times New Roman"/>
                <w:color w:val="000000"/>
                <w:szCs w:val="24"/>
                <w:lang w:eastAsia="en-GB"/>
              </w:rPr>
              <w:fldChar w:fldCharType="end"/>
            </w:r>
          </w:p>
        </w:tc>
      </w:tr>
      <w:tr w:rsidR="004F3765" w:rsidRPr="005C0B8F" w14:paraId="6590B6E2"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3833CE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rho1</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CC37DD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365.25/3</w:t>
            </w:r>
          </w:p>
        </w:tc>
        <w:tc>
          <w:tcPr>
            <w:tcW w:w="7478" w:type="dxa"/>
            <w:tcBorders>
              <w:top w:val="nil"/>
              <w:left w:val="nil"/>
              <w:bottom w:val="single" w:sz="8" w:space="0" w:color="auto"/>
              <w:right w:val="single" w:sz="8" w:space="0" w:color="auto"/>
            </w:tcBorders>
            <w:shd w:val="clear" w:color="auto" w:fill="auto"/>
            <w:noWrap/>
            <w:vAlign w:val="center"/>
            <w:hideMark/>
          </w:tcPr>
          <w:p w14:paraId="52C0B0B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recovery rate after ACT treatment(days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454790F4" w14:textId="23D7D2C9"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29zJYoqx","properties":{"formattedCitation":"[38,39]","plainCitation":"[38,39]","noteIndex":0},"citationItems":[{"id":1133,"uris":["http://zotero.org/users/584652/items/DR6P2B4A"],"uri":["http://zotero.org/users/584652/items/DR6P2B4A"],"itemData":{"id":1133,"type":"article-journal","container-title":"Mediterranean Journal of Hematology and Infectious Diseases","DOI":"10.4084/mjhid.2012.026","ISSN":"2035-3006","issue":"1","page":"2012026","source":"CrossRef","title":"CLINICAL ASPECTS OF UNCOMPLICATED AND SEVERE MALARIA","volume":"4","author":[{"family":"Bartoloni","given":"Alessandro"},{"family":"Zammarchi","given":"Lorenzo"}],"issued":{"date-parts":[["2012",5,4]]}}},{"id":1501,"uris":["http://zotero.org/users/584652/items/NW8647UI"],"uri":["http://zotero.org/users/584652/items/NW8647UI"],"itemData":{"id":1501,"type":"article-journal","abstract":"Current World Health Organization (WHO) guidelines for the treatment of uncomplicated falciparum malaria recommend the use of artemisinin-based combination therapy (ACT). Artemether/lumefantrine is an ACT prequalified by the WHO for efficacy, safety and quality, approved by Swissmedic in December 2008 and recently approved by the USA FDA. Coartem is a fixed-dose combination of artemether and lumefantrine. Its two components have different modes of action that provide synergistic anti-malarial activity. It is indicated for the treatment of infants, children and adults with acute, uncomplicated infection due to Plasmodium falciparum or mixed infections including P. falciparum. A formulation with improved palatability has been developed especially for children (Coartem Dispersible), which rapidly disperses in a small amount of water for ease of administration. The efficacy of the six-dose regimen of artemether/lumefantrine has been confirmed in many different patient populations around the world, consistently achieving 28-day PCR (polymerase chain reaction)-corrected cure rates of &gt;95% in the evaluable population, rapidly clearing parasitaemia and fever, and demonstrating a significant gametocidal effect, even in areas of widespread parasite resistance to other antimalarials.","container-title":"Malaria Journal","DOI":"10.1186/1475-2875-8-S1-S5","ISSN":"1475-2875","journalAbbreviation":"Malar. J.","language":"eng","note":"PMID: 19818172\nPMCID: PMC2760240","page":"S5","source":"PubMed","title":"The clinical efficacy of artemether/lumefantrine (Coartem)","volume":"8 Suppl 1","author":[{"family":"Makanga","given":"Michael"},{"family":"Krudsood","given":"Srivicha"}],"issued":{"date-parts":[["2009",10,12]]}}}],"schema":"https://github.com/citation-style-language/schema/raw/master/csl-citation.json"} </w:instrText>
            </w:r>
            <w:r>
              <w:rPr>
                <w:rFonts w:eastAsia="Times New Roman"/>
                <w:color w:val="000000"/>
                <w:szCs w:val="24"/>
                <w:lang w:eastAsia="en-GB"/>
              </w:rPr>
              <w:fldChar w:fldCharType="separate"/>
            </w:r>
            <w:r w:rsidRPr="00B57A1E">
              <w:t>[38,39]</w:t>
            </w:r>
            <w:r>
              <w:rPr>
                <w:rFonts w:eastAsia="Times New Roman"/>
                <w:color w:val="000000"/>
                <w:szCs w:val="24"/>
                <w:lang w:eastAsia="en-GB"/>
              </w:rPr>
              <w:fldChar w:fldCharType="end"/>
            </w:r>
          </w:p>
        </w:tc>
      </w:tr>
      <w:tr w:rsidR="004F3765" w:rsidRPr="005C0B8F" w14:paraId="02FECB43"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BC4D88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rho2</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49B4EBB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365.25/6</w:t>
            </w:r>
          </w:p>
        </w:tc>
        <w:tc>
          <w:tcPr>
            <w:tcW w:w="7478" w:type="dxa"/>
            <w:tcBorders>
              <w:top w:val="nil"/>
              <w:left w:val="nil"/>
              <w:bottom w:val="single" w:sz="8" w:space="0" w:color="auto"/>
              <w:right w:val="single" w:sz="8" w:space="0" w:color="auto"/>
            </w:tcBorders>
            <w:shd w:val="clear" w:color="auto" w:fill="auto"/>
            <w:noWrap/>
            <w:vAlign w:val="center"/>
            <w:hideMark/>
          </w:tcPr>
          <w:p w14:paraId="3CC2EE58"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recovery rate after </w:t>
            </w:r>
            <w:r w:rsidRPr="005C0B8F">
              <w:rPr>
                <w:rFonts w:eastAsia="Times New Roman"/>
                <w:b/>
                <w:bCs/>
                <w:color w:val="000000"/>
                <w:szCs w:val="24"/>
                <w:lang w:eastAsia="en-GB"/>
              </w:rPr>
              <w:t>QUININE</w:t>
            </w:r>
            <w:r w:rsidRPr="005C0B8F">
              <w:rPr>
                <w:rFonts w:eastAsia="Times New Roman"/>
                <w:color w:val="000000"/>
                <w:szCs w:val="24"/>
                <w:lang w:eastAsia="en-GB"/>
              </w:rPr>
              <w:t xml:space="preserve"> treatment(days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1D3E8847" w14:textId="29BE3692"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BqtE5CFA","properties":{"formattedCitation":"[40]","plainCitation":"[40]","noteIndex":0},"citationItems":[{"id":1500,"uris":["http://zotero.org/users/584652/items/KRUFUWDT"],"uri":["http://zotero.org/users/584652/items/KRUFUWDT"],"itemData":{"id":1500,"type":"article-journal","abstract":"All cases of falciparum malaria are potentially severe and life threatening, especially when managed inappropriately. A major reason for progression from mild through complicated to severe disease is missed or delayed diagnosis. Once diagnosed, the priority for treatment of complicated and severe disease is the parenteral administration of adequate, safe doses of an appropriate antimalarial, in the setting of the highest possible level of clinical care (i.e. usually an intensive care unit). Supportive management of complications such as coma, convulsions, metabolic acidosis, hypoglycaemia, fluid and electrolyte disturbances, renal failure, secondary infections, bleeding disorders and anaemia is also important. The most recent advance in antimalarial chemotherapy has been the use of artemisinin derivatives especially intravenous artesunate, which may well revolutionize the management of severe disease. Outside antimalarial therapy, mechanical ventilation and renal replacement have also played an important role in reducing mortality of this life-threatening condition.","container-title":"British Medical Bulletin","DOI":"10.1093/bmb/ldh059","ISSN":"0007-1420","journalAbbreviation":"Br. Med. Bull.","language":"eng","note":"PMID: 16495509","page":"29-47","source":"PubMed","title":"The treatment of complicated and severe malaria","volume":"75-76","author":[{"family":"Pasvol","given":"Geoffrey"}],"issued":{"date-parts":[["2005"]]}}}],"schema":"https://github.com/citation-style-language/schema/raw/master/csl-citation.json"} </w:instrText>
            </w:r>
            <w:r>
              <w:rPr>
                <w:rFonts w:eastAsia="Times New Roman"/>
                <w:color w:val="000000"/>
                <w:szCs w:val="24"/>
                <w:lang w:eastAsia="en-GB"/>
              </w:rPr>
              <w:fldChar w:fldCharType="separate"/>
            </w:r>
            <w:r w:rsidRPr="00B57A1E">
              <w:t>[40]</w:t>
            </w:r>
            <w:r>
              <w:rPr>
                <w:rFonts w:eastAsia="Times New Roman"/>
                <w:color w:val="000000"/>
                <w:szCs w:val="24"/>
                <w:lang w:eastAsia="en-GB"/>
              </w:rPr>
              <w:fldChar w:fldCharType="end"/>
            </w:r>
          </w:p>
        </w:tc>
      </w:tr>
      <w:tr w:rsidR="004F3765" w:rsidRPr="005C0B8F" w14:paraId="2E20A029"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3C8770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v</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C8BD98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52/5.5</w:t>
            </w:r>
          </w:p>
        </w:tc>
        <w:tc>
          <w:tcPr>
            <w:tcW w:w="7478" w:type="dxa"/>
            <w:tcBorders>
              <w:top w:val="nil"/>
              <w:left w:val="nil"/>
              <w:bottom w:val="single" w:sz="8" w:space="0" w:color="auto"/>
              <w:right w:val="single" w:sz="8" w:space="0" w:color="auto"/>
            </w:tcBorders>
            <w:shd w:val="clear" w:color="auto" w:fill="auto"/>
            <w:noWrap/>
            <w:vAlign w:val="center"/>
            <w:hideMark/>
          </w:tcPr>
          <w:p w14:paraId="5C26176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rate of recovery from </w:t>
            </w:r>
            <w:r w:rsidRPr="005C0B8F">
              <w:rPr>
                <w:rFonts w:eastAsia="Times New Roman"/>
                <w:b/>
                <w:bCs/>
                <w:color w:val="000000"/>
                <w:szCs w:val="24"/>
                <w:lang w:eastAsia="en-GB"/>
              </w:rPr>
              <w:t>Ia</w:t>
            </w:r>
            <w:r w:rsidRPr="005C0B8F">
              <w:rPr>
                <w:rFonts w:eastAsia="Times New Roman"/>
                <w:color w:val="000000"/>
                <w:szCs w:val="24"/>
                <w:lang w:eastAsia="en-GB"/>
              </w:rPr>
              <w:t xml:space="preserve"> to </w:t>
            </w:r>
            <w:r w:rsidRPr="005C0B8F">
              <w:rPr>
                <w:rFonts w:eastAsia="Times New Roman"/>
                <w:b/>
                <w:bCs/>
                <w:color w:val="000000"/>
                <w:szCs w:val="24"/>
                <w:lang w:eastAsia="en-GB"/>
              </w:rPr>
              <w:t>Ism</w:t>
            </w:r>
            <w:r w:rsidRPr="005C0B8F">
              <w:rPr>
                <w:rFonts w:eastAsia="Times New Roman"/>
                <w:color w:val="000000"/>
                <w:szCs w:val="24"/>
                <w:lang w:eastAsia="en-GB"/>
              </w:rPr>
              <w:t xml:space="preserve"> without treatment(weeks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3C5BF05B" w14:textId="014058CF"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BXlUA1ch","properties":{"formattedCitation":"[41]","plainCitation":"[41]","noteIndex":0},"citationItems":[{"id":125,"uris":["http://zotero.org/users/584652/items/PKIRUZZF"],"uri":["http://zotero.org/users/584652/items/PKIRUZZF"],"itemData":{"id":125,"type":"article-journal","container-title":"Malaria Journal","DOI":"10.1186/s12936-015-0776-2","ISSN":"1475-2875","issue":"1","language":"en","source":"CrossRef","title":"Predicting the impact of border control on malaria transmission: a simulated focal screen and treat campaign","title-short":"Predicting the impact of border control on malaria transmission","volume":"14","author":[{"family":"Silal","given":"Sheetal P"},{"family":"Little","given":"Francesca"},{"family":"Barnes","given":"Karen I"},{"family":"White","given":"Lisa J"}],"accessed":{"date-parts":[["2016",4,29]]},"issued":{"date-parts":[["2015",12]]}}}],"schema":"https://github.com/citation-style-language/schema/raw/master/csl-citation.json"} </w:instrText>
            </w:r>
            <w:r>
              <w:rPr>
                <w:rFonts w:eastAsia="Times New Roman"/>
                <w:color w:val="000000"/>
                <w:szCs w:val="24"/>
                <w:lang w:eastAsia="en-GB"/>
              </w:rPr>
              <w:fldChar w:fldCharType="separate"/>
            </w:r>
            <w:r w:rsidRPr="00B57A1E">
              <w:t>[41]</w:t>
            </w:r>
            <w:r>
              <w:rPr>
                <w:rFonts w:eastAsia="Times New Roman"/>
                <w:color w:val="000000"/>
                <w:szCs w:val="24"/>
                <w:lang w:eastAsia="en-GB"/>
              </w:rPr>
              <w:fldChar w:fldCharType="end"/>
            </w:r>
          </w:p>
        </w:tc>
      </w:tr>
      <w:tr w:rsidR="004F3765" w:rsidRPr="005C0B8F" w14:paraId="67063F94"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4AD1B3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nr</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FF9CA0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365.25/130</w:t>
            </w:r>
          </w:p>
        </w:tc>
        <w:tc>
          <w:tcPr>
            <w:tcW w:w="7478" w:type="dxa"/>
            <w:tcBorders>
              <w:top w:val="nil"/>
              <w:left w:val="nil"/>
              <w:bottom w:val="single" w:sz="8" w:space="0" w:color="auto"/>
              <w:right w:val="single" w:sz="8" w:space="0" w:color="auto"/>
            </w:tcBorders>
            <w:shd w:val="clear" w:color="auto" w:fill="auto"/>
            <w:noWrap/>
            <w:vAlign w:val="center"/>
            <w:hideMark/>
          </w:tcPr>
          <w:p w14:paraId="5CC9099F"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rate of natural recovery from infection(days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782FBE5" w14:textId="1C9BA18B"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xJhsX4UF","properties":{"formattedCitation":"[42]","plainCitation":"[42]","noteIndex":0},"citationItems":[{"id":1502,"uris":["http://zotero.org/users/584652/items/HZGCPWJN"],"uri":["http://zotero.org/users/584652/items/HZGCPWJN"],"itemData":{"id":1502,"type":"article-journal","container-title":"Transactions of the Royal Society of Tropical Medicine and Hygiene","DOI":"10.1016/0035-9203(58)90036-1","ISSN":"00359203","issue":"2","language":"en","page":"152-168","source":"DOI.org (Crossref)","title":"Observations on the natural history of malaria in the semi-resistant West African","volume":"52","author":[{"family":"Miller","given":"Max J"}],"issued":{"date-parts":[["1958",3]]}}}],"schema":"https://github.com/citation-style-language/schema/raw/master/csl-citation.json"} </w:instrText>
            </w:r>
            <w:r>
              <w:rPr>
                <w:rFonts w:eastAsia="Times New Roman"/>
                <w:color w:val="000000"/>
                <w:szCs w:val="24"/>
                <w:lang w:eastAsia="en-GB"/>
              </w:rPr>
              <w:fldChar w:fldCharType="separate"/>
            </w:r>
            <w:r w:rsidRPr="00B57A1E">
              <w:t>[42]</w:t>
            </w:r>
            <w:r>
              <w:rPr>
                <w:rFonts w:eastAsia="Times New Roman"/>
                <w:color w:val="000000"/>
                <w:szCs w:val="24"/>
                <w:lang w:eastAsia="en-GB"/>
              </w:rPr>
              <w:fldChar w:fldCharType="end"/>
            </w:r>
          </w:p>
        </w:tc>
      </w:tr>
      <w:tr w:rsidR="004F3765" w:rsidRPr="005C0B8F" w14:paraId="4CC8EC70"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5C2043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AC</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F2921C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365.25/30</w:t>
            </w:r>
          </w:p>
        </w:tc>
        <w:tc>
          <w:tcPr>
            <w:tcW w:w="7478" w:type="dxa"/>
            <w:tcBorders>
              <w:top w:val="nil"/>
              <w:left w:val="nil"/>
              <w:bottom w:val="single" w:sz="8" w:space="0" w:color="auto"/>
              <w:right w:val="single" w:sz="8" w:space="0" w:color="auto"/>
            </w:tcBorders>
            <w:shd w:val="clear" w:color="auto" w:fill="auto"/>
            <w:noWrap/>
            <w:vAlign w:val="center"/>
            <w:hideMark/>
          </w:tcPr>
          <w:p w14:paraId="5800A62E"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rate of antenatal  attendance(days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BF40DFA" w14:textId="199108A6"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mh1kIkRX","properties":{"formattedCitation":"[9]","plainCitation":"[9]","noteIndex":0},"citationItems":[{"id":1395,"uris":["http://zotero.org/users/584652/items/P7MHVKSY"],"uri":["http://zotero.org/users/584652/items/P7MHVKSY"],"itemData":{"id":1395,"type":"article-journal","container-title":"The Lancet","DOI":"10.1016/S0140-6736(15)00837-5","ISSN":"01406736","issue":"10018","language":"en","page":"587-603","source":"Crossref","title":"Stillbirths: rates, risk factors, and acceleration towards 2030","title-short":"Stillbirths","volume":"387","author":[{"family":"Lawn","given":"Joy E"},{"family":"Blencowe","given":"Hannah"},{"family":"Waiswa","given":"Peter"},{"family":"Amouzou","given":"Agbessi"},{"family":"Mathers","given":"Colin"},{"family":"Hogan","given":"Dan"},{"family":"Flenady","given":"Vicki"},{"family":"Frøen","given":"J Frederik"},{"family":"Qureshi","given":"Zeshan U"},{"family":"Calderwood","given":"Claire"},{"family":"Shiekh","given":"Suhail"},{"family":"Jassir","given":"Fiorella Bianchi"},{"family":"You","given":"Danzhen"},{"family":"McClure","given":"Elizabeth M"},{"family":"Mathai","given":"Matthews"},{"family":"Cousens","given":"Simon"}],"issued":{"date-parts":[["2016",2]]}}}],"schema":"https://github.com/citation-style-language/schema/raw/master/csl-citation.json"} </w:instrText>
            </w:r>
            <w:r>
              <w:rPr>
                <w:rFonts w:eastAsia="Times New Roman"/>
                <w:color w:val="000000"/>
                <w:szCs w:val="24"/>
                <w:lang w:eastAsia="en-GB"/>
              </w:rPr>
              <w:fldChar w:fldCharType="separate"/>
            </w:r>
            <w:r w:rsidRPr="00B57A1E">
              <w:t>[9]</w:t>
            </w:r>
            <w:r>
              <w:rPr>
                <w:rFonts w:eastAsia="Times New Roman"/>
                <w:color w:val="000000"/>
                <w:szCs w:val="24"/>
                <w:lang w:eastAsia="en-GB"/>
              </w:rPr>
              <w:fldChar w:fldCharType="end"/>
            </w:r>
          </w:p>
        </w:tc>
      </w:tr>
      <w:tr w:rsidR="004F3765" w:rsidRPr="005C0B8F" w14:paraId="44A614F3"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3235C8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hlsp</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EA0963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365.25/8</w:t>
            </w:r>
          </w:p>
        </w:tc>
        <w:tc>
          <w:tcPr>
            <w:tcW w:w="7478" w:type="dxa"/>
            <w:tcBorders>
              <w:top w:val="nil"/>
              <w:left w:val="nil"/>
              <w:bottom w:val="single" w:sz="8" w:space="0" w:color="auto"/>
              <w:right w:val="single" w:sz="8" w:space="0" w:color="auto"/>
            </w:tcBorders>
            <w:shd w:val="clear" w:color="auto" w:fill="auto"/>
            <w:noWrap/>
            <w:vAlign w:val="center"/>
            <w:hideMark/>
          </w:tcPr>
          <w:p w14:paraId="41AF44D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rate of recovering after </w:t>
            </w:r>
            <w:r w:rsidRPr="005C0B8F">
              <w:rPr>
                <w:rFonts w:eastAsia="Times New Roman"/>
                <w:b/>
                <w:bCs/>
                <w:color w:val="000000"/>
                <w:szCs w:val="24"/>
                <w:lang w:eastAsia="en-GB"/>
              </w:rPr>
              <w:t>SP</w:t>
            </w:r>
            <w:r w:rsidRPr="005C0B8F">
              <w:rPr>
                <w:rFonts w:eastAsia="Times New Roman"/>
                <w:color w:val="000000"/>
                <w:szCs w:val="24"/>
                <w:lang w:eastAsia="en-GB"/>
              </w:rPr>
              <w:t xml:space="preserve"> treatment at </w:t>
            </w:r>
            <w:r w:rsidRPr="005C0B8F">
              <w:rPr>
                <w:rFonts w:eastAsia="Times New Roman"/>
                <w:b/>
                <w:bCs/>
                <w:color w:val="000000"/>
                <w:szCs w:val="24"/>
                <w:lang w:eastAsia="en-GB"/>
              </w:rPr>
              <w:t>ANC</w:t>
            </w:r>
            <w:r w:rsidRPr="005C0B8F">
              <w:rPr>
                <w:rFonts w:eastAsia="Times New Roman"/>
                <w:color w:val="000000"/>
                <w:szCs w:val="24"/>
                <w:lang w:eastAsia="en-GB"/>
              </w:rPr>
              <w:t>(days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7BF016C2" w14:textId="6C057B4B"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dSvREjV","properties":{"formattedCitation":"[43]","plainCitation":"[43]","noteIndex":0},"citationItems":[{"id":1499,"uris":["http://zotero.org/users/584652/items/Z3EFVMHG"],"uri":["http://zotero.org/users/584652/items/Z3EFVMHG"],"itemData":{"id":1499,"type":"webpage","title":"WHO Model Prescribing Information: Drugs Used in Parasitic Diseases - Second Edition: Protozoa: Malaria: Pyrimethamine/sulfadoxine","URL":"http://apps.who.int/medicinedocs/en/d/Jh2922e/2.5.3.html#Jh2922e.2.5.3","accessed":{"date-parts":[["2019",4,17]]}}}],"schema":"https://github.com/citation-style-language/schema/raw/master/csl-citation.json"} </w:instrText>
            </w:r>
            <w:r>
              <w:rPr>
                <w:rFonts w:eastAsia="Times New Roman"/>
                <w:color w:val="000000"/>
                <w:szCs w:val="24"/>
                <w:lang w:eastAsia="en-GB"/>
              </w:rPr>
              <w:fldChar w:fldCharType="separate"/>
            </w:r>
            <w:r w:rsidRPr="00B57A1E">
              <w:t>[43]</w:t>
            </w:r>
            <w:r>
              <w:rPr>
                <w:rFonts w:eastAsia="Times New Roman"/>
                <w:color w:val="000000"/>
                <w:szCs w:val="24"/>
                <w:lang w:eastAsia="en-GB"/>
              </w:rPr>
              <w:fldChar w:fldCharType="end"/>
            </w:r>
          </w:p>
        </w:tc>
      </w:tr>
      <w:tr w:rsidR="004F3765" w:rsidRPr="005C0B8F" w14:paraId="026213C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27E8D8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RDTMicSens</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C07AF4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0.49</w:t>
            </w:r>
          </w:p>
        </w:tc>
        <w:tc>
          <w:tcPr>
            <w:tcW w:w="7478" w:type="dxa"/>
            <w:tcBorders>
              <w:top w:val="nil"/>
              <w:left w:val="nil"/>
              <w:bottom w:val="single" w:sz="8" w:space="0" w:color="auto"/>
              <w:right w:val="single" w:sz="8" w:space="0" w:color="auto"/>
            </w:tcBorders>
            <w:shd w:val="clear" w:color="auto" w:fill="auto"/>
            <w:noWrap/>
            <w:vAlign w:val="center"/>
            <w:hideMark/>
          </w:tcPr>
          <w:p w14:paraId="0DDB5A8F"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average sensitivity of </w:t>
            </w:r>
            <w:r w:rsidRPr="005C0B8F">
              <w:rPr>
                <w:rFonts w:eastAsia="Times New Roman"/>
                <w:b/>
                <w:bCs/>
                <w:color w:val="000000"/>
                <w:szCs w:val="24"/>
                <w:lang w:eastAsia="en-GB"/>
              </w:rPr>
              <w:t>RDTs</w:t>
            </w:r>
            <w:r w:rsidRPr="005C0B8F">
              <w:rPr>
                <w:rFonts w:eastAsia="Times New Roman"/>
                <w:color w:val="000000"/>
                <w:szCs w:val="24"/>
                <w:lang w:eastAsia="en-GB"/>
              </w:rPr>
              <w:t xml:space="preserve"> and Microscopy in health facilities (proportion)</w:t>
            </w:r>
          </w:p>
        </w:tc>
        <w:tc>
          <w:tcPr>
            <w:tcW w:w="1742" w:type="dxa"/>
            <w:tcBorders>
              <w:top w:val="nil"/>
              <w:left w:val="nil"/>
              <w:bottom w:val="single" w:sz="8" w:space="0" w:color="auto"/>
              <w:right w:val="single" w:sz="8" w:space="0" w:color="auto"/>
            </w:tcBorders>
            <w:shd w:val="clear" w:color="auto" w:fill="auto"/>
            <w:noWrap/>
            <w:vAlign w:val="center"/>
            <w:hideMark/>
          </w:tcPr>
          <w:p w14:paraId="332DE2C9" w14:textId="2EA99207" w:rsidR="00B57A1E" w:rsidRPr="005C0B8F" w:rsidRDefault="00B57A1E" w:rsidP="00B57A1E">
            <w:pPr>
              <w:spacing w:after="0" w:line="240" w:lineRule="auto"/>
              <w:jc w:val="center"/>
              <w:rPr>
                <w:rFonts w:eastAsia="Times New Roman"/>
                <w:color w:val="000000"/>
                <w:szCs w:val="24"/>
                <w:lang w:eastAsia="en-GB"/>
              </w:rPr>
            </w:pPr>
            <w:r w:rsidRPr="00B57A1E">
              <w:rPr>
                <w:rFonts w:eastAsia="Times New Roman"/>
                <w:color w:val="000000"/>
                <w:szCs w:val="24"/>
                <w:lang w:eastAsia="en-GB"/>
              </w:rPr>
              <w:t>[11]</w:t>
            </w:r>
            <w:r w:rsidRPr="005C0B8F">
              <w:rPr>
                <w:rFonts w:eastAsia="Times New Roman"/>
                <w:color w:val="000000"/>
                <w:szCs w:val="24"/>
                <w:lang w:eastAsia="en-GB"/>
              </w:rPr>
              <w:t xml:space="preserve"> </w:t>
            </w:r>
          </w:p>
        </w:tc>
      </w:tr>
    </w:tbl>
    <w:p w14:paraId="079CD20C" w14:textId="77777777" w:rsidR="004F3765" w:rsidRPr="00AE2607" w:rsidRDefault="004F3765" w:rsidP="004F3765">
      <w:pPr>
        <w:spacing w:after="0" w:line="360" w:lineRule="auto"/>
        <w:rPr>
          <w:rFonts w:eastAsia="Times New Roman"/>
          <w:i/>
          <w:sz w:val="18"/>
          <w:szCs w:val="18"/>
        </w:rPr>
      </w:pPr>
      <w:r w:rsidRPr="00AE2607">
        <w:rPr>
          <w:rFonts w:eastAsia="Times New Roman"/>
          <w:i/>
          <w:sz w:val="18"/>
          <w:szCs w:val="18"/>
          <w:vertAlign w:val="superscript"/>
        </w:rPr>
        <w:t>#</w:t>
      </w:r>
      <w:r w:rsidRPr="00AE2607">
        <w:rPr>
          <w:rFonts w:eastAsia="Times New Roman"/>
          <w:i/>
          <w:sz w:val="18"/>
          <w:szCs w:val="18"/>
        </w:rPr>
        <w:t xml:space="preserve"> IRR –Incidence rate ratio</w:t>
      </w:r>
    </w:p>
    <w:p w14:paraId="2632BE4D" w14:textId="77777777" w:rsidR="004F3765" w:rsidRPr="00AE2607" w:rsidRDefault="004F3765" w:rsidP="004F3765">
      <w:pPr>
        <w:rPr>
          <w:sz w:val="18"/>
          <w:szCs w:val="18"/>
        </w:rPr>
      </w:pPr>
      <w:r w:rsidRPr="00AE2607">
        <w:rPr>
          <w:rFonts w:eastAsia="Times New Roman"/>
          <w:i/>
          <w:sz w:val="18"/>
          <w:szCs w:val="18"/>
          <w:vertAlign w:val="superscript"/>
        </w:rPr>
        <w:t>##</w:t>
      </w:r>
      <w:r w:rsidRPr="00AE2607">
        <w:rPr>
          <w:rFonts w:eastAsia="Times New Roman"/>
          <w:i/>
          <w:sz w:val="18"/>
          <w:szCs w:val="18"/>
        </w:rPr>
        <w:t xml:space="preserve"> OR-Odds ratio</w:t>
      </w:r>
    </w:p>
    <w:p w14:paraId="075068E1" w14:textId="77777777" w:rsidR="004F3765" w:rsidRDefault="004F3765" w:rsidP="007E1F9B">
      <w:pPr>
        <w:tabs>
          <w:tab w:val="left" w:pos="1537"/>
          <w:tab w:val="left" w:pos="2160"/>
          <w:tab w:val="left" w:pos="2880"/>
          <w:tab w:val="left" w:pos="3600"/>
          <w:tab w:val="left" w:pos="4320"/>
          <w:tab w:val="left" w:pos="5040"/>
          <w:tab w:val="left" w:pos="5760"/>
          <w:tab w:val="left" w:pos="6480"/>
          <w:tab w:val="left" w:pos="7200"/>
          <w:tab w:val="left" w:pos="7920"/>
          <w:tab w:val="left" w:pos="8640"/>
          <w:tab w:val="left" w:pos="9360"/>
          <w:tab w:val="left" w:pos="10846"/>
        </w:tabs>
        <w:rPr>
          <w:rFonts w:ascii="Cambria Math" w:eastAsia="Times New Roman" w:hAnsi="Cambria Math"/>
          <w:sz w:val="28"/>
          <w:szCs w:val="28"/>
        </w:rPr>
      </w:pPr>
    </w:p>
    <w:p w14:paraId="1E1B4F37" w14:textId="77777777" w:rsidR="004F3765" w:rsidRDefault="004F3765" w:rsidP="007E1F9B">
      <w:pPr>
        <w:tabs>
          <w:tab w:val="left" w:pos="1537"/>
          <w:tab w:val="left" w:pos="2160"/>
          <w:tab w:val="left" w:pos="2880"/>
          <w:tab w:val="left" w:pos="3600"/>
          <w:tab w:val="left" w:pos="4320"/>
          <w:tab w:val="left" w:pos="5040"/>
          <w:tab w:val="left" w:pos="5760"/>
          <w:tab w:val="left" w:pos="6480"/>
          <w:tab w:val="left" w:pos="7200"/>
          <w:tab w:val="left" w:pos="7920"/>
          <w:tab w:val="left" w:pos="8640"/>
          <w:tab w:val="left" w:pos="9360"/>
          <w:tab w:val="left" w:pos="10846"/>
        </w:tabs>
        <w:rPr>
          <w:rFonts w:ascii="Cambria Math" w:eastAsia="Times New Roman" w:hAnsi="Cambria Math"/>
          <w:sz w:val="28"/>
          <w:szCs w:val="28"/>
        </w:rPr>
        <w:sectPr w:rsidR="004F3765" w:rsidSect="002B6379">
          <w:type w:val="continuous"/>
          <w:pgSz w:w="16838" w:h="11906" w:orient="landscape"/>
          <w:pgMar w:top="1440" w:right="1080" w:bottom="1440" w:left="1080" w:header="708" w:footer="708" w:gutter="0"/>
          <w:cols w:space="708"/>
          <w:docGrid w:linePitch="360"/>
        </w:sectPr>
      </w:pPr>
    </w:p>
    <w:p w14:paraId="34E25B4C" w14:textId="77777777" w:rsidR="007E1F9B" w:rsidRDefault="007E1F9B" w:rsidP="008F1408">
      <w:pPr>
        <w:spacing w:after="0" w:line="480" w:lineRule="auto"/>
        <w:jc w:val="both"/>
        <w:rPr>
          <w:rFonts w:eastAsia="Times New Roman"/>
          <w:b/>
          <w:szCs w:val="24"/>
        </w:rPr>
      </w:pPr>
      <w:r w:rsidRPr="004C2A45">
        <w:rPr>
          <w:rFonts w:eastAsia="Times New Roman"/>
          <w:b/>
          <w:szCs w:val="24"/>
        </w:rPr>
        <w:lastRenderedPageBreak/>
        <w:t>Force of infection</w:t>
      </w:r>
    </w:p>
    <w:p w14:paraId="6AD5324C" w14:textId="77777777" w:rsidR="007E1F9B" w:rsidRDefault="007E1F9B" w:rsidP="002B6379">
      <w:pPr>
        <w:spacing w:after="0" w:line="480" w:lineRule="auto"/>
        <w:jc w:val="both"/>
        <w:rPr>
          <w:rFonts w:eastAsia="Times New Roman"/>
          <w:szCs w:val="24"/>
        </w:rPr>
      </w:pPr>
      <w:r>
        <w:rPr>
          <w:rFonts w:eastAsia="Times New Roman"/>
          <w:szCs w:val="24"/>
        </w:rPr>
        <w:t>T</w:t>
      </w:r>
      <w:r w:rsidRPr="004C2A45">
        <w:rPr>
          <w:rFonts w:eastAsia="Times New Roman"/>
          <w:szCs w:val="24"/>
        </w:rPr>
        <w:t xml:space="preserve">ransmission of malaria </w:t>
      </w:r>
      <w:r>
        <w:rPr>
          <w:rFonts w:eastAsia="Times New Roman"/>
          <w:szCs w:val="24"/>
        </w:rPr>
        <w:t>parasites</w:t>
      </w:r>
      <w:r w:rsidRPr="004C2A45">
        <w:rPr>
          <w:rFonts w:eastAsia="Times New Roman"/>
          <w:szCs w:val="24"/>
        </w:rPr>
        <w:t xml:space="preserve"> </w:t>
      </w:r>
      <w:r>
        <w:rPr>
          <w:rFonts w:eastAsia="Times New Roman"/>
          <w:szCs w:val="24"/>
        </w:rPr>
        <w:t>between humans and mosquitoes</w:t>
      </w:r>
      <w:r w:rsidRPr="004C2A45">
        <w:rPr>
          <w:rFonts w:eastAsia="Times New Roman"/>
          <w:szCs w:val="24"/>
        </w:rPr>
        <w:t xml:space="preserve"> is</w:t>
      </w:r>
      <w:r w:rsidRPr="004C2A45" w:rsidDel="00AC50B4">
        <w:rPr>
          <w:rFonts w:eastAsia="Times New Roman"/>
          <w:szCs w:val="24"/>
        </w:rPr>
        <w:t xml:space="preserve"> </w:t>
      </w:r>
      <w:r>
        <w:rPr>
          <w:rFonts w:eastAsia="Times New Roman"/>
          <w:szCs w:val="24"/>
        </w:rPr>
        <w:t>through the draw of</w:t>
      </w:r>
      <w:r w:rsidRPr="004C2A45">
        <w:rPr>
          <w:rFonts w:eastAsia="Times New Roman"/>
          <w:szCs w:val="24"/>
        </w:rPr>
        <w:t xml:space="preserve"> a blood meal</w:t>
      </w:r>
      <w:r>
        <w:rPr>
          <w:rFonts w:eastAsia="Times New Roman"/>
          <w:szCs w:val="24"/>
        </w:rPr>
        <w:t xml:space="preserve"> from</w:t>
      </w:r>
      <w:r w:rsidRPr="004C2A45">
        <w:rPr>
          <w:rFonts w:eastAsia="Times New Roman"/>
          <w:szCs w:val="24"/>
        </w:rPr>
        <w:t xml:space="preserve"> humans</w:t>
      </w:r>
      <w:r>
        <w:rPr>
          <w:rFonts w:eastAsia="Times New Roman"/>
          <w:szCs w:val="24"/>
        </w:rPr>
        <w:t xml:space="preserve"> by infectious mosquitoes</w:t>
      </w:r>
      <w:r w:rsidRPr="004C2A45">
        <w:rPr>
          <w:rFonts w:eastAsia="Times New Roman"/>
          <w:szCs w:val="24"/>
        </w:rPr>
        <w:t xml:space="preserve">. The likelihood of humans being infected upon a successful bite of a </w:t>
      </w:r>
      <w:r>
        <w:rPr>
          <w:rFonts w:eastAsia="Times New Roman"/>
          <w:szCs w:val="24"/>
        </w:rPr>
        <w:t>mosquito</w:t>
      </w:r>
      <w:r w:rsidRPr="004C2A45">
        <w:rPr>
          <w:rFonts w:eastAsia="Times New Roman"/>
          <w:szCs w:val="24"/>
        </w:rPr>
        <w:t xml:space="preserve"> will to some extent depend on the level of susceptibility of getting infected.  On the other hand a non-infected </w:t>
      </w:r>
      <w:r>
        <w:rPr>
          <w:rFonts w:eastAsia="Times New Roman"/>
          <w:szCs w:val="24"/>
        </w:rPr>
        <w:t>mosquito</w:t>
      </w:r>
      <w:r w:rsidRPr="004C2A45">
        <w:rPr>
          <w:rFonts w:eastAsia="Times New Roman"/>
          <w:szCs w:val="24"/>
        </w:rPr>
        <w:t xml:space="preserve"> drawing a blood meal from an infected human also has a probability of ingesting gametocytes which later develop into sporozoites.</w:t>
      </w:r>
    </w:p>
    <w:p w14:paraId="0FF77696" w14:textId="77777777" w:rsidR="007E1F9B" w:rsidRPr="004C2A45" w:rsidRDefault="007E1F9B" w:rsidP="002B6379">
      <w:pPr>
        <w:spacing w:after="0" w:line="480" w:lineRule="auto"/>
        <w:jc w:val="both"/>
        <w:rPr>
          <w:rFonts w:eastAsia="Times New Roman"/>
          <w:szCs w:val="24"/>
        </w:rPr>
      </w:pPr>
    </w:p>
    <w:p w14:paraId="238D1E67" w14:textId="43B89130" w:rsidR="007E1F9B" w:rsidRDefault="007E1F9B" w:rsidP="002B6379">
      <w:pPr>
        <w:spacing w:after="0" w:line="480" w:lineRule="auto"/>
        <w:jc w:val="both"/>
        <w:rPr>
          <w:rFonts w:eastAsia="Times New Roman"/>
          <w:szCs w:val="24"/>
        </w:rPr>
      </w:pPr>
      <w:r w:rsidRPr="004C2A45">
        <w:rPr>
          <w:rFonts w:eastAsia="Times New Roman"/>
          <w:szCs w:val="24"/>
        </w:rPr>
        <w:t xml:space="preserve">In this model, a 50% chance of transmitting the malaria parasite between humans and </w:t>
      </w:r>
      <w:r>
        <w:rPr>
          <w:rFonts w:eastAsia="Times New Roman"/>
          <w:szCs w:val="24"/>
        </w:rPr>
        <w:t>mosquitoes</w:t>
      </w:r>
      <w:r w:rsidRPr="004C2A45">
        <w:rPr>
          <w:rFonts w:eastAsia="Times New Roman"/>
          <w:szCs w:val="24"/>
        </w:rPr>
        <w:t xml:space="preserve"> following a successful bite of an infected </w:t>
      </w:r>
      <w:r>
        <w:rPr>
          <w:rFonts w:eastAsia="Times New Roman"/>
          <w:szCs w:val="24"/>
        </w:rPr>
        <w:t>mosquito</w:t>
      </w:r>
      <w:r w:rsidRPr="004C2A45">
        <w:rPr>
          <w:rFonts w:eastAsia="Times New Roman"/>
          <w:szCs w:val="24"/>
        </w:rPr>
        <w:t xml:space="preserve"> on humans or an uninfected mosquito on humans in any of the infected stages was considered</w:t>
      </w:r>
      <w:r>
        <w:rPr>
          <w:rFonts w:eastAsia="Times New Roman"/>
          <w:szCs w:val="24"/>
        </w:rPr>
        <w:t xml:space="preserve"> </w:t>
      </w:r>
      <w:r>
        <w:rPr>
          <w:rFonts w:eastAsia="Times New Roman"/>
          <w:szCs w:val="24"/>
        </w:rPr>
        <w:fldChar w:fldCharType="begin"/>
      </w:r>
      <w:r w:rsidR="0064214D">
        <w:rPr>
          <w:rFonts w:eastAsia="Times New Roman"/>
          <w:szCs w:val="24"/>
        </w:rPr>
        <w:instrText xml:space="preserve"> ADDIN ZOTERO_ITEM CSL_CITATION {"citationID":"96FvaMFJ","properties":{"formattedCitation":"[20]","plainCitation":"[20]","noteIndex":0},"citationItems":[{"id":10,"uris":["http://zotero.org/users/584652/items/38ZVAVFH"],"uri":["http://zotero.org/users/584652/items/38ZVAVFH"],"itemData":{"id":10,"type":"article-journal","abstract":"Mathematical models have been used to provide an explicit framework for understanding malaria transmission dynamics in human population for over 100 years. With the disease still thriving and threatening to be a major source of death and disability due to changed environmental and socio-economic conditions, it is necessary to make a critical assessment of the existing models, and study their evolution and efficacy in describing the host-parasite biology. In this article, starting from the basic Ross model, the key mathematical models and their underlying features, based on their specific contributions in the understanding of spread and transmission of malaria have been discussed. The first aim of this article is to develop, starting from the basic models, a hierarchical structure of a range of deterministic models of different levels of complexity. The second objective is to elaborate, using some of the representative mathematical models, the evolution of modelling strategies to describe malaria incidence by including the critical features of host-vector-parasite interactions. Emphasis is more on the evolution of the deterministic differential equation based epidemiological compartment models with a brief discussion on data based statistical models. In this comprehensive survey, the approach has been to summarize the modelling activity in this area so that it helps reach a wider range of researchers working on epidemiology, transmission, and other aspects of malaria. This may facilitate the mathematicians to further develop suitable models in this direction relevant to the present scenario, and help the biologists and public health personnel to adopt better understanding of the modelling strategies to control the disease","container-title":"Malaria Journal","DOI":"10.1186/1475-2875-10-202","ISSN":"1475-2875","journalAbbreviation":"Malar J","note":"00079 \nPMID: 21777413\nPMCID: PMC3162588","page":"202","source":"PubMed Central","title":"Mathematical models of malaria - a review","volume":"10","author":[{"family":"Mandal","given":"Sandip"},{"family":"Sarkar","given":"Ram Rup"},{"family":"Sinha","given":"Somdatta"}],"issued":{"date-parts":[["2011",7,21]]}}}],"schema":"https://github.com/citation-style-language/schema/raw/master/csl-citation.json"} </w:instrText>
      </w:r>
      <w:r>
        <w:rPr>
          <w:rFonts w:eastAsia="Times New Roman"/>
          <w:szCs w:val="24"/>
        </w:rPr>
        <w:fldChar w:fldCharType="separate"/>
      </w:r>
      <w:r w:rsidR="0064214D" w:rsidRPr="0064214D">
        <w:t>[20]</w:t>
      </w:r>
      <w:r>
        <w:rPr>
          <w:rFonts w:eastAsia="Times New Roman"/>
          <w:szCs w:val="24"/>
        </w:rPr>
        <w:fldChar w:fldCharType="end"/>
      </w:r>
      <w:r w:rsidRPr="004C2A45">
        <w:rPr>
          <w:rFonts w:eastAsia="Times New Roman"/>
          <w:szCs w:val="24"/>
        </w:rPr>
        <w:t>.</w:t>
      </w:r>
    </w:p>
    <w:p w14:paraId="77D41AF3" w14:textId="77777777" w:rsidR="007E1F9B" w:rsidRPr="004C2A45" w:rsidRDefault="007E1F9B" w:rsidP="002B6379">
      <w:pPr>
        <w:spacing w:after="0" w:line="480" w:lineRule="auto"/>
        <w:jc w:val="both"/>
        <w:rPr>
          <w:rFonts w:eastAsia="Times New Roman"/>
          <w:b/>
          <w:szCs w:val="24"/>
        </w:rPr>
      </w:pPr>
    </w:p>
    <w:p w14:paraId="1F1ACBB3" w14:textId="77777777" w:rsidR="007E1F9B" w:rsidRPr="004C2A45" w:rsidRDefault="007E1F9B" w:rsidP="002B6379">
      <w:pPr>
        <w:spacing w:after="0" w:line="480" w:lineRule="auto"/>
        <w:jc w:val="both"/>
        <w:rPr>
          <w:rFonts w:eastAsia="Times New Roman"/>
          <w:szCs w:val="24"/>
        </w:rPr>
      </w:pPr>
      <w:r w:rsidRPr="004C2A45">
        <w:rPr>
          <w:rFonts w:eastAsia="Times New Roman"/>
          <w:szCs w:val="24"/>
        </w:rPr>
        <w:t>The forces of infections are defined as</w:t>
      </w:r>
      <w:r>
        <w:rPr>
          <w:rFonts w:eastAsia="Times New Roman"/>
          <w:szCs w:val="24"/>
        </w:rPr>
        <w:t>:</w:t>
      </w:r>
    </w:p>
    <w:tbl>
      <w:tblPr>
        <w:tblW w:w="11160" w:type="dxa"/>
        <w:jc w:val="center"/>
        <w:tblLook w:val="04A0" w:firstRow="1" w:lastRow="0" w:firstColumn="1" w:lastColumn="0" w:noHBand="0" w:noVBand="1"/>
      </w:tblPr>
      <w:tblGrid>
        <w:gridCol w:w="9419"/>
        <w:gridCol w:w="852"/>
        <w:gridCol w:w="550"/>
        <w:gridCol w:w="339"/>
      </w:tblGrid>
      <w:tr w:rsidR="007E1F9B" w:rsidRPr="004C2A45" w14:paraId="76D4DE78" w14:textId="77777777" w:rsidTr="00465BD2">
        <w:trPr>
          <w:trHeight w:val="332"/>
          <w:jc w:val="center"/>
        </w:trPr>
        <w:tc>
          <w:tcPr>
            <w:tcW w:w="10271" w:type="dxa"/>
            <w:gridSpan w:val="2"/>
            <w:shd w:val="clear" w:color="auto" w:fill="auto"/>
            <w:vAlign w:val="center"/>
          </w:tcPr>
          <w:p w14:paraId="62054966" w14:textId="7630BA6F" w:rsidR="007E1F9B" w:rsidRPr="00465BD2" w:rsidRDefault="00465BD2" w:rsidP="007E1F9B">
            <w:pPr>
              <w:spacing w:after="0" w:line="480" w:lineRule="auto"/>
              <w:jc w:val="both"/>
              <w:rPr>
                <w:rFonts w:eastAsia="Times New Roman"/>
                <w:szCs w:val="24"/>
              </w:rPr>
            </w:pPr>
            <m:oMathPara>
              <m:oMath>
                <m:r>
                  <m:rPr>
                    <m:sty m:val="p"/>
                  </m:rPr>
                  <w:rPr>
                    <w:rFonts w:ascii="Cambria Math" w:hAnsi="Cambria Math"/>
                    <w:szCs w:val="24"/>
                  </w:rPr>
                  <m:t xml:space="preserve"> </m:t>
                </m:r>
                <m:sSub>
                  <m:sSubPr>
                    <m:ctrlPr>
                      <w:rPr>
                        <w:rFonts w:ascii="Cambria Math" w:hAnsi="Cambria Math"/>
                        <w:b/>
                        <w:szCs w:val="24"/>
                      </w:rPr>
                    </m:ctrlPr>
                  </m:sSubPr>
                  <m:e>
                    <m:r>
                      <m:rPr>
                        <m:sty m:val="b"/>
                      </m:rPr>
                      <w:rPr>
                        <w:rFonts w:ascii="Cambria Math" w:hAnsi="Cambria Math"/>
                        <w:szCs w:val="24"/>
                      </w:rPr>
                      <m:t>λ</m:t>
                    </m:r>
                  </m:e>
                  <m:sub>
                    <m:r>
                      <m:rPr>
                        <m:sty m:val="b"/>
                      </m:rPr>
                      <w:rPr>
                        <w:rFonts w:ascii="Cambria Math" w:hAnsi="Cambria Math"/>
                        <w:szCs w:val="24"/>
                      </w:rPr>
                      <m:t>hm</m:t>
                    </m:r>
                  </m:sub>
                </m:sSub>
                <m:r>
                  <m:rPr>
                    <m:sty m:val="p"/>
                  </m:rPr>
                  <w:rPr>
                    <w:rFonts w:ascii="Cambria Math" w:hAnsi="Cambria Math"/>
                    <w:szCs w:val="24"/>
                  </w:rPr>
                  <m:t>= prob_inf⁡*(1- ITNcov*ITNeff*ITNusage)*(1- IRScov*IRSeff)*BR*</m:t>
                </m:r>
                <m:f>
                  <m:fPr>
                    <m:ctrlPr>
                      <w:rPr>
                        <w:rFonts w:ascii="Cambria Math" w:hAnsi="Cambria Math"/>
                        <w:szCs w:val="24"/>
                      </w:rPr>
                    </m:ctrlPr>
                  </m:fPr>
                  <m:num>
                    <m:d>
                      <m:dPr>
                        <m:ctrlPr>
                          <w:rPr>
                            <w:rFonts w:ascii="Cambria Math" w:hAnsi="Cambria Math"/>
                            <w:szCs w:val="24"/>
                          </w:rPr>
                        </m:ctrlPr>
                      </m:dPr>
                      <m:e>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Isd</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IancP</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Tr1</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Tr2</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Tr3</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Trf1</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Trf2</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Trf3</m:t>
                            </m:r>
                          </m:e>
                          <m:sub>
                            <m:r>
                              <m:rPr>
                                <m:sty m:val="p"/>
                              </m:rPr>
                              <w:rPr>
                                <w:rFonts w:ascii="Cambria Math" w:hAnsi="Cambria Math"/>
                                <w:szCs w:val="24"/>
                              </w:rPr>
                              <m:t>h</m:t>
                            </m:r>
                          </m:sub>
                        </m:sSub>
                      </m:e>
                    </m:d>
                  </m:num>
                  <m:den>
                    <m:sSub>
                      <m:sSubPr>
                        <m:ctrlPr>
                          <w:rPr>
                            <w:rFonts w:ascii="Cambria Math" w:hAnsi="Cambria Math"/>
                            <w:szCs w:val="24"/>
                          </w:rPr>
                        </m:ctrlPr>
                      </m:sSubPr>
                      <m:e>
                        <m:r>
                          <m:rPr>
                            <m:sty m:val="p"/>
                          </m:rPr>
                          <w:rPr>
                            <w:rFonts w:ascii="Cambria Math" w:hAnsi="Cambria Math"/>
                            <w:szCs w:val="24"/>
                          </w:rPr>
                          <m:t>N</m:t>
                        </m:r>
                      </m:e>
                      <m:sub>
                        <m:r>
                          <m:rPr>
                            <m:sty m:val="p"/>
                          </m:rPr>
                          <w:rPr>
                            <w:rFonts w:ascii="Cambria Math" w:hAnsi="Cambria Math"/>
                            <w:szCs w:val="24"/>
                          </w:rPr>
                          <m:t>h</m:t>
                        </m:r>
                      </m:sub>
                    </m:sSub>
                  </m:den>
                </m:f>
              </m:oMath>
            </m:oMathPara>
          </w:p>
        </w:tc>
        <w:tc>
          <w:tcPr>
            <w:tcW w:w="889" w:type="dxa"/>
            <w:gridSpan w:val="2"/>
            <w:shd w:val="clear" w:color="auto" w:fill="auto"/>
            <w:vAlign w:val="center"/>
          </w:tcPr>
          <w:p w14:paraId="7FDDB0CE"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w:t>
            </w:r>
            <w:r w:rsidRPr="004C2A45">
              <w:rPr>
                <w:rFonts w:eastAsia="Times New Roman"/>
                <w:szCs w:val="24"/>
              </w:rPr>
              <w:fldChar w:fldCharType="begin"/>
            </w:r>
            <w:r w:rsidRPr="004C2A45">
              <w:rPr>
                <w:rFonts w:eastAsia="Times New Roman"/>
                <w:szCs w:val="24"/>
              </w:rPr>
              <w:instrText xml:space="preserve"> SEQ eq \* MERGEFORMAT </w:instrText>
            </w:r>
            <w:r w:rsidRPr="004C2A45">
              <w:rPr>
                <w:rFonts w:eastAsia="Times New Roman"/>
                <w:szCs w:val="24"/>
              </w:rPr>
              <w:fldChar w:fldCharType="separate"/>
            </w:r>
            <w:r w:rsidRPr="004C2A45">
              <w:rPr>
                <w:rFonts w:eastAsia="Times New Roman"/>
                <w:noProof/>
                <w:szCs w:val="24"/>
              </w:rPr>
              <w:t>1</w:t>
            </w:r>
            <w:r w:rsidRPr="004C2A45">
              <w:rPr>
                <w:rFonts w:eastAsia="Times New Roman"/>
                <w:szCs w:val="24"/>
              </w:rPr>
              <w:fldChar w:fldCharType="end"/>
            </w:r>
            <w:r w:rsidRPr="004C2A45">
              <w:rPr>
                <w:rFonts w:eastAsia="Times New Roman"/>
                <w:szCs w:val="24"/>
              </w:rPr>
              <w:t>)</w:t>
            </w:r>
          </w:p>
        </w:tc>
      </w:tr>
      <w:tr w:rsidR="007E1F9B" w:rsidRPr="004C2A45" w14:paraId="1D04EA54" w14:textId="77777777" w:rsidTr="00465BD2">
        <w:trPr>
          <w:gridAfter w:val="1"/>
          <w:wAfter w:w="339" w:type="dxa"/>
          <w:trHeight w:val="332"/>
          <w:jc w:val="center"/>
        </w:trPr>
        <w:tc>
          <w:tcPr>
            <w:tcW w:w="9419" w:type="dxa"/>
            <w:shd w:val="clear" w:color="auto" w:fill="auto"/>
            <w:vAlign w:val="center"/>
          </w:tcPr>
          <w:p w14:paraId="5F67A9BD" w14:textId="77777777" w:rsidR="007E1F9B" w:rsidRPr="00465BD2" w:rsidRDefault="00F52C24" w:rsidP="007E1F9B">
            <w:pPr>
              <w:spacing w:after="0" w:line="480" w:lineRule="auto"/>
              <w:jc w:val="both"/>
              <w:rPr>
                <w:rFonts w:eastAsia="Times New Roman"/>
                <w:szCs w:val="24"/>
              </w:rPr>
            </w:pPr>
            <m:oMathPara>
              <m:oMathParaPr>
                <m:jc m:val="left"/>
              </m:oMathParaPr>
              <m:oMath>
                <m:sSub>
                  <m:sSubPr>
                    <m:ctrlPr>
                      <w:rPr>
                        <w:rFonts w:ascii="Cambria Math" w:hAnsi="Cambria Math"/>
                        <w:b/>
                        <w:szCs w:val="24"/>
                      </w:rPr>
                    </m:ctrlPr>
                  </m:sSubPr>
                  <m:e>
                    <m:r>
                      <m:rPr>
                        <m:sty m:val="b"/>
                      </m:rPr>
                      <w:rPr>
                        <w:rFonts w:ascii="Cambria Math" w:hAnsi="Cambria Math"/>
                        <w:szCs w:val="24"/>
                      </w:rPr>
                      <m:t>λ</m:t>
                    </m:r>
                  </m:e>
                  <m:sub>
                    <m:r>
                      <m:rPr>
                        <m:sty m:val="b"/>
                      </m:rPr>
                      <w:rPr>
                        <w:rFonts w:ascii="Cambria Math" w:hAnsi="Cambria Math"/>
                        <w:szCs w:val="24"/>
                      </w:rPr>
                      <m:t>mh</m:t>
                    </m:r>
                  </m:sub>
                </m:sSub>
                <m:r>
                  <m:rPr>
                    <m:sty m:val="b"/>
                  </m:rPr>
                  <w:rPr>
                    <w:rFonts w:ascii="Cambria Math" w:hAnsi="Cambria Math"/>
                    <w:szCs w:val="24"/>
                  </w:rPr>
                  <m:t>=</m:t>
                </m:r>
                <m:r>
                  <m:rPr>
                    <m:sty m:val="p"/>
                  </m:rPr>
                  <w:rPr>
                    <w:rFonts w:ascii="Cambria Math" w:hAnsi="Cambria Math"/>
                    <w:szCs w:val="24"/>
                  </w:rPr>
                  <m:t>prob_inf*(1- ITNcov*ITNeff*ITNusage)*(1- IRScov*IRSeff)*BR*</m:t>
                </m:r>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I</m:t>
                        </m:r>
                      </m:e>
                      <m:sub>
                        <m:r>
                          <m:rPr>
                            <m:sty m:val="p"/>
                          </m:rPr>
                          <w:rPr>
                            <w:rFonts w:ascii="Cambria Math" w:hAnsi="Cambria Math"/>
                            <w:szCs w:val="24"/>
                          </w:rPr>
                          <m:t>m</m:t>
                        </m:r>
                      </m:sub>
                    </m:sSub>
                  </m:num>
                  <m:den>
                    <m:sSub>
                      <m:sSubPr>
                        <m:ctrlPr>
                          <w:rPr>
                            <w:rFonts w:ascii="Cambria Math" w:hAnsi="Cambria Math"/>
                            <w:szCs w:val="24"/>
                          </w:rPr>
                        </m:ctrlPr>
                      </m:sSubPr>
                      <m:e>
                        <m:r>
                          <m:rPr>
                            <m:sty m:val="p"/>
                          </m:rPr>
                          <w:rPr>
                            <w:rFonts w:ascii="Cambria Math" w:hAnsi="Cambria Math"/>
                            <w:szCs w:val="24"/>
                          </w:rPr>
                          <m:t>N</m:t>
                        </m:r>
                      </m:e>
                      <m:sub>
                        <m:r>
                          <m:rPr>
                            <m:sty m:val="p"/>
                          </m:rPr>
                          <w:rPr>
                            <w:rFonts w:ascii="Cambria Math" w:hAnsi="Cambria Math"/>
                            <w:szCs w:val="24"/>
                          </w:rPr>
                          <m:t>h</m:t>
                        </m:r>
                      </m:sub>
                    </m:sSub>
                  </m:den>
                </m:f>
                <m:r>
                  <m:rPr>
                    <m:sty m:val="p"/>
                  </m:rPr>
                  <w:rPr>
                    <w:rFonts w:ascii="Cambria Math" w:eastAsia="Times New Roman" w:hAnsi="Cambria Math"/>
                    <w:szCs w:val="24"/>
                  </w:rPr>
                  <w:br/>
                </m:r>
              </m:oMath>
            </m:oMathPara>
          </w:p>
        </w:tc>
        <w:tc>
          <w:tcPr>
            <w:tcW w:w="1402" w:type="dxa"/>
            <w:gridSpan w:val="2"/>
            <w:shd w:val="clear" w:color="auto" w:fill="auto"/>
            <w:vAlign w:val="center"/>
          </w:tcPr>
          <w:p w14:paraId="26E79326" w14:textId="77777777" w:rsidR="007E1F9B" w:rsidRPr="004C2A45" w:rsidRDefault="007E1F9B" w:rsidP="007E1F9B">
            <w:pPr>
              <w:spacing w:after="0" w:line="480" w:lineRule="auto"/>
              <w:ind w:right="35"/>
              <w:jc w:val="both"/>
              <w:rPr>
                <w:rFonts w:eastAsia="Times New Roman"/>
                <w:szCs w:val="24"/>
              </w:rPr>
            </w:pPr>
            <w:r w:rsidRPr="004C2A45">
              <w:rPr>
                <w:rFonts w:eastAsia="Times New Roman"/>
                <w:szCs w:val="24"/>
              </w:rPr>
              <w:t xml:space="preserve">             (</w:t>
            </w:r>
            <w:r w:rsidRPr="004C2A45">
              <w:rPr>
                <w:rFonts w:eastAsia="Times New Roman"/>
                <w:szCs w:val="24"/>
              </w:rPr>
              <w:fldChar w:fldCharType="begin"/>
            </w:r>
            <w:r w:rsidRPr="004C2A45">
              <w:rPr>
                <w:rFonts w:eastAsia="Times New Roman"/>
                <w:szCs w:val="24"/>
              </w:rPr>
              <w:instrText xml:space="preserve"> SEQ eq \* MERGEFORMAT </w:instrText>
            </w:r>
            <w:r w:rsidRPr="004C2A45">
              <w:rPr>
                <w:rFonts w:eastAsia="Times New Roman"/>
                <w:szCs w:val="24"/>
              </w:rPr>
              <w:fldChar w:fldCharType="separate"/>
            </w:r>
            <w:r w:rsidRPr="004C2A45">
              <w:rPr>
                <w:rFonts w:eastAsia="Times New Roman"/>
                <w:noProof/>
                <w:szCs w:val="24"/>
              </w:rPr>
              <w:t>2</w:t>
            </w:r>
            <w:r w:rsidRPr="004C2A45">
              <w:rPr>
                <w:rFonts w:eastAsia="Times New Roman"/>
                <w:szCs w:val="24"/>
              </w:rPr>
              <w:fldChar w:fldCharType="end"/>
            </w:r>
            <w:r w:rsidRPr="004C2A45">
              <w:rPr>
                <w:rFonts w:eastAsia="Times New Roman"/>
                <w:szCs w:val="24"/>
              </w:rPr>
              <w:t>)</w:t>
            </w:r>
          </w:p>
        </w:tc>
      </w:tr>
    </w:tbl>
    <w:p w14:paraId="609E63F7" w14:textId="730C4FCA" w:rsidR="007E1F9B" w:rsidRDefault="007E1F9B" w:rsidP="007E1F9B">
      <w:pPr>
        <w:spacing w:after="0" w:line="480" w:lineRule="auto"/>
        <w:jc w:val="both"/>
        <w:rPr>
          <w:rFonts w:eastAsia="Times New Roman"/>
          <w:szCs w:val="24"/>
        </w:rPr>
      </w:pPr>
      <w:r w:rsidRPr="004C2A45">
        <w:rPr>
          <w:rFonts w:eastAsia="Times New Roman"/>
          <w:szCs w:val="24"/>
        </w:rPr>
        <w:t xml:space="preserve">where Equation (1) represents the force of infection from humans to </w:t>
      </w:r>
      <w:r>
        <w:rPr>
          <w:rFonts w:eastAsia="Times New Roman"/>
          <w:szCs w:val="24"/>
        </w:rPr>
        <w:t>mosquitoes</w:t>
      </w:r>
      <w:r w:rsidRPr="004C2A45">
        <w:rPr>
          <w:rFonts w:eastAsia="Times New Roman"/>
          <w:szCs w:val="24"/>
        </w:rPr>
        <w:t xml:space="preserve"> likewise with Equation (2) for the force of infection from </w:t>
      </w:r>
      <w:r>
        <w:rPr>
          <w:rFonts w:eastAsia="Times New Roman"/>
          <w:szCs w:val="24"/>
        </w:rPr>
        <w:t>mosquitoes</w:t>
      </w:r>
      <w:r w:rsidRPr="004C2A45">
        <w:rPr>
          <w:rFonts w:eastAsia="Times New Roman"/>
          <w:szCs w:val="24"/>
        </w:rPr>
        <w:t xml:space="preserve"> to humans. The contact rate is represented by the Biting Rate (BR). The BR data were obtained from field studies from each of the zones through human landing catches (HLC).  They are defined as the average number of bites received by a human in the population per month (b/p/m) as shown on Fig 2a, 2b, 2c respectively </w:t>
      </w:r>
      <w:r w:rsidRPr="004C2A45">
        <w:rPr>
          <w:rFonts w:eastAsia="Times New Roman"/>
          <w:szCs w:val="24"/>
        </w:rPr>
        <w:fldChar w:fldCharType="begin"/>
      </w:r>
      <w:r w:rsidR="00B57A1E">
        <w:rPr>
          <w:rFonts w:eastAsia="Times New Roman"/>
          <w:szCs w:val="24"/>
        </w:rPr>
        <w:instrText xml:space="preserve"> ADDIN ZOTERO_ITEM CSL_CITATION {"citationID":"KgSs3Uav","properties":{"formattedCitation":"[44,45]","plainCitation":"[44,45]","noteIndex":0},"citationItems":[{"id":1464,"uris":["http://zotero.org/users/584652/items/DF824ZHQ"],"uri":["http://zotero.org/users/584652/items/DF824ZHQ"],"itemData":{"id":1464,"type":"thesis","publisher":"Kwame Nkrumah University of Science and Technology","title":"Malaria transmission dynamics and insecticide resistance of malaria vectors in the Kassena-Nankana districts of Ghana","author":[{"family":"Asoala","given":"Victor"}],"issued":{"literal":"(Unpublished)"}}},{"id":1475,"uris":["http://zotero.org/users/584652/items/7HLN239I"],"uri":["http://zotero.org/users/584652/items/7HLN239I"],"itemData":{"id":1475,"type":"thesis","publisher":"Kwame Nkrumah University of Science and Technology","title":"Estimation of malaria transmission intensity in southern Ghana using rapid diagnostic test derived sero-prevalence rates.","URL":"http://ir.knust.edu.gh/xmlui/handle/123456789/7048/browse?value=Quartey%2C+Alberta+Amu&amp;type=author","author":[{"family":"Quartey","given":"Alberta Amu"}],"issued":{"date-parts":[["2016",9,28]]}}}],"schema":"https://github.com/citation-style-language/schema/raw/master/csl-citation.json"} </w:instrText>
      </w:r>
      <w:r w:rsidRPr="004C2A45">
        <w:rPr>
          <w:rFonts w:eastAsia="Times New Roman"/>
          <w:szCs w:val="24"/>
        </w:rPr>
        <w:fldChar w:fldCharType="separate"/>
      </w:r>
      <w:r w:rsidR="00B57A1E" w:rsidRPr="00B57A1E">
        <w:t>[44,45]</w:t>
      </w:r>
      <w:r w:rsidRPr="004C2A45">
        <w:rPr>
          <w:rFonts w:eastAsia="Times New Roman"/>
          <w:szCs w:val="24"/>
        </w:rPr>
        <w:fldChar w:fldCharType="end"/>
      </w:r>
      <w:r w:rsidRPr="004C2A45">
        <w:rPr>
          <w:rFonts w:eastAsia="Times New Roman"/>
          <w:szCs w:val="24"/>
        </w:rPr>
        <w:t>.</w:t>
      </w:r>
    </w:p>
    <w:p w14:paraId="376DF790" w14:textId="77777777" w:rsidR="007E1F9B" w:rsidRPr="004C2A45" w:rsidRDefault="007E1F9B" w:rsidP="007E1F9B">
      <w:pPr>
        <w:spacing w:after="0" w:line="480" w:lineRule="auto"/>
        <w:jc w:val="both"/>
        <w:rPr>
          <w:rFonts w:eastAsia="Times New Roman"/>
          <w:szCs w:val="24"/>
        </w:rPr>
      </w:pPr>
    </w:p>
    <w:p w14:paraId="10BF1A52" w14:textId="77777777" w:rsidR="007E1F9B" w:rsidRDefault="007E1F9B" w:rsidP="007E1F9B">
      <w:pPr>
        <w:spacing w:after="0" w:line="480" w:lineRule="auto"/>
        <w:jc w:val="both"/>
        <w:rPr>
          <w:rFonts w:eastAsia="Times New Roman"/>
          <w:szCs w:val="24"/>
        </w:rPr>
      </w:pPr>
      <w:r w:rsidRPr="004C2A45">
        <w:rPr>
          <w:rFonts w:eastAsia="Times New Roman"/>
          <w:szCs w:val="24"/>
        </w:rPr>
        <w:lastRenderedPageBreak/>
        <w:t xml:space="preserve">The probability that, following a bite, sporozoites or gametocytes from infected humans may be transmitted or transferred to </w:t>
      </w:r>
      <w:r>
        <w:rPr>
          <w:rFonts w:eastAsia="Times New Roman"/>
          <w:szCs w:val="24"/>
        </w:rPr>
        <w:t>mosquitoes</w:t>
      </w:r>
      <w:r w:rsidRPr="004C2A45">
        <w:rPr>
          <w:rFonts w:eastAsia="Times New Roman"/>
          <w:szCs w:val="24"/>
        </w:rPr>
        <w:t xml:space="preserve"> of from infected </w:t>
      </w:r>
      <w:r>
        <w:rPr>
          <w:rFonts w:eastAsia="Times New Roman"/>
          <w:szCs w:val="24"/>
        </w:rPr>
        <w:t>mosquitoes</w:t>
      </w:r>
      <w:r w:rsidRPr="004C2A45">
        <w:rPr>
          <w:rFonts w:eastAsia="Times New Roman"/>
          <w:szCs w:val="24"/>
        </w:rPr>
        <w:t xml:space="preserve"> to humans respectively is represented by</w:t>
      </w:r>
      <w:r w:rsidRPr="00DB21A1">
        <w:rPr>
          <w:rFonts w:eastAsia="Times New Roman"/>
          <w:color w:val="FF0000"/>
          <w:szCs w:val="24"/>
        </w:rPr>
        <w:t xml:space="preserve"> </w:t>
      </w:r>
      <w:r w:rsidRPr="00143AFF">
        <w:rPr>
          <w:rFonts w:eastAsia="Times New Roman"/>
          <w:b/>
          <w:szCs w:val="24"/>
        </w:rPr>
        <w:t>prob_inf</w:t>
      </w:r>
      <w:r w:rsidRPr="00143AFF">
        <w:rPr>
          <w:rFonts w:eastAsia="Times New Roman"/>
          <w:szCs w:val="24"/>
        </w:rPr>
        <w:t>.</w:t>
      </w:r>
      <w:r w:rsidRPr="00C87B3D">
        <w:rPr>
          <w:rFonts w:eastAsia="Times New Roman"/>
          <w:szCs w:val="24"/>
        </w:rPr>
        <w:t xml:space="preserve"> </w:t>
      </w:r>
    </w:p>
    <w:p w14:paraId="0E616873" w14:textId="77777777" w:rsidR="007E1F9B" w:rsidRPr="004C2A45" w:rsidRDefault="007E1F9B" w:rsidP="007E1F9B">
      <w:pPr>
        <w:spacing w:after="0" w:line="480" w:lineRule="auto"/>
        <w:jc w:val="both"/>
        <w:rPr>
          <w:rFonts w:eastAsia="Times New Roman"/>
          <w:szCs w:val="24"/>
        </w:rPr>
      </w:pPr>
    </w:p>
    <w:p w14:paraId="49F0C125" w14:textId="29327A2D" w:rsidR="007E1F9B" w:rsidRPr="004C2A45" w:rsidRDefault="007E1F9B" w:rsidP="007E1F9B">
      <w:pPr>
        <w:spacing w:after="0" w:line="480" w:lineRule="auto"/>
        <w:jc w:val="both"/>
        <w:rPr>
          <w:rFonts w:eastAsia="Times New Roman"/>
          <w:szCs w:val="24"/>
        </w:rPr>
      </w:pPr>
      <w:r w:rsidRPr="004C2A45">
        <w:rPr>
          <w:rFonts w:eastAsia="Times New Roman"/>
          <w:szCs w:val="24"/>
        </w:rPr>
        <w:t xml:space="preserve">The fraction of the population of infected humans carrying sporozoites, with a 50% probability of infecting a mosquito upon a draw of a blood meal, we considered to be contained in the compartments </w:t>
      </w:r>
      <m:oMath>
        <m:f>
          <m:fPr>
            <m:ctrlPr>
              <w:rPr>
                <w:rFonts w:ascii="Cambria Math" w:hAnsi="Cambria Math"/>
                <w:b/>
                <w:sz w:val="28"/>
                <w:szCs w:val="28"/>
              </w:rPr>
            </m:ctrlPr>
          </m:fPr>
          <m:num>
            <m:d>
              <m:dPr>
                <m:ctrlPr>
                  <w:rPr>
                    <w:rFonts w:ascii="Cambria Math" w:hAnsi="Cambria Math"/>
                    <w:b/>
                    <w:sz w:val="28"/>
                    <w:szCs w:val="28"/>
                  </w:rPr>
                </m:ctrlPr>
              </m:dPr>
              <m:e>
                <m:sSub>
                  <m:sSubPr>
                    <m:ctrlPr>
                      <w:rPr>
                        <w:rFonts w:ascii="Cambria Math" w:hAnsi="Cambria Math"/>
                        <w:b/>
                        <w:sz w:val="28"/>
                        <w:szCs w:val="28"/>
                      </w:rPr>
                    </m:ctrlPr>
                  </m:sSubPr>
                  <m:e>
                    <m:r>
                      <m:rPr>
                        <m:sty m:val="b"/>
                      </m:rPr>
                      <w:rPr>
                        <w:rFonts w:ascii="Cambria Math" w:hAnsi="Cambria Math"/>
                        <w:sz w:val="28"/>
                        <w:szCs w:val="28"/>
                      </w:rPr>
                      <m:t>Ic</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Ia</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Isd</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Ism</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IancP</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Tr1</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Tr2</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Tr3</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Trf1</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Trf2</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Trf3</m:t>
                    </m:r>
                  </m:e>
                  <m:sub>
                    <m:r>
                      <m:rPr>
                        <m:sty m:val="b"/>
                      </m:rPr>
                      <w:rPr>
                        <w:rFonts w:ascii="Cambria Math" w:hAnsi="Cambria Math"/>
                        <w:sz w:val="28"/>
                        <w:szCs w:val="28"/>
                      </w:rPr>
                      <m:t>h</m:t>
                    </m:r>
                  </m:sub>
                </m:sSub>
              </m:e>
            </m:d>
          </m:num>
          <m:den>
            <m:sSub>
              <m:sSubPr>
                <m:ctrlPr>
                  <w:rPr>
                    <w:rFonts w:ascii="Cambria Math" w:hAnsi="Cambria Math"/>
                    <w:b/>
                    <w:sz w:val="28"/>
                    <w:szCs w:val="28"/>
                  </w:rPr>
                </m:ctrlPr>
              </m:sSubPr>
              <m:e>
                <m:r>
                  <m:rPr>
                    <m:sty m:val="b"/>
                  </m:rPr>
                  <w:rPr>
                    <w:rFonts w:ascii="Cambria Math" w:hAnsi="Cambria Math"/>
                    <w:sz w:val="28"/>
                    <w:szCs w:val="28"/>
                  </w:rPr>
                  <m:t>N</m:t>
                </m:r>
              </m:e>
              <m:sub>
                <m:r>
                  <m:rPr>
                    <m:sty m:val="b"/>
                  </m:rPr>
                  <w:rPr>
                    <w:rFonts w:ascii="Cambria Math" w:hAnsi="Cambria Math"/>
                    <w:sz w:val="28"/>
                    <w:szCs w:val="28"/>
                  </w:rPr>
                  <m:t>h</m:t>
                </m:r>
              </m:sub>
            </m:sSub>
          </m:den>
        </m:f>
      </m:oMath>
      <w:r w:rsidRPr="004C2A45">
        <w:rPr>
          <w:rFonts w:eastAsia="Times New Roman"/>
          <w:szCs w:val="24"/>
        </w:rPr>
        <w:t xml:space="preserve">  as in Equation (1) and similarly the fraction of the mosquito population considered to be carrying gametocytes that could potentially be passed on to the blood stream of a human victim is also represented by</w:t>
      </w:r>
      <w:r w:rsidRPr="0097728A">
        <w:rPr>
          <w:rFonts w:eastAsia="Times New Roman"/>
          <w:b/>
          <w:sz w:val="28"/>
          <w:szCs w:val="28"/>
        </w:rPr>
        <w:t xml:space="preserve"> </w:t>
      </w:r>
      <m:oMath>
        <m:f>
          <m:fPr>
            <m:ctrlPr>
              <w:rPr>
                <w:rFonts w:ascii="Cambria Math" w:hAnsi="Cambria Math"/>
                <w:b/>
                <w:sz w:val="28"/>
                <w:szCs w:val="28"/>
              </w:rPr>
            </m:ctrlPr>
          </m:fPr>
          <m:num>
            <m:sSub>
              <m:sSubPr>
                <m:ctrlPr>
                  <w:rPr>
                    <w:rFonts w:ascii="Cambria Math" w:hAnsi="Cambria Math"/>
                    <w:b/>
                    <w:sz w:val="28"/>
                    <w:szCs w:val="28"/>
                  </w:rPr>
                </m:ctrlPr>
              </m:sSubPr>
              <m:e>
                <m:r>
                  <m:rPr>
                    <m:sty m:val="b"/>
                  </m:rPr>
                  <w:rPr>
                    <w:rFonts w:ascii="Cambria Math" w:hAnsi="Cambria Math"/>
                    <w:sz w:val="28"/>
                    <w:szCs w:val="28"/>
                  </w:rPr>
                  <m:t>I</m:t>
                </m:r>
              </m:e>
              <m:sub>
                <m:r>
                  <m:rPr>
                    <m:sty m:val="b"/>
                  </m:rPr>
                  <w:rPr>
                    <w:rFonts w:ascii="Cambria Math" w:hAnsi="Cambria Math"/>
                    <w:sz w:val="28"/>
                    <w:szCs w:val="28"/>
                  </w:rPr>
                  <m:t>m</m:t>
                </m:r>
              </m:sub>
            </m:sSub>
          </m:num>
          <m:den>
            <m:sSub>
              <m:sSubPr>
                <m:ctrlPr>
                  <w:rPr>
                    <w:rFonts w:ascii="Cambria Math" w:hAnsi="Cambria Math"/>
                    <w:b/>
                    <w:sz w:val="28"/>
                    <w:szCs w:val="28"/>
                  </w:rPr>
                </m:ctrlPr>
              </m:sSubPr>
              <m:e>
                <m:r>
                  <m:rPr>
                    <m:sty m:val="b"/>
                  </m:rPr>
                  <w:rPr>
                    <w:rFonts w:ascii="Cambria Math" w:hAnsi="Cambria Math"/>
                    <w:sz w:val="28"/>
                    <w:szCs w:val="28"/>
                  </w:rPr>
                  <m:t>N</m:t>
                </m:r>
              </m:e>
              <m:sub>
                <m:r>
                  <m:rPr>
                    <m:sty m:val="b"/>
                  </m:rPr>
                  <w:rPr>
                    <w:rFonts w:ascii="Cambria Math" w:hAnsi="Cambria Math"/>
                    <w:sz w:val="28"/>
                    <w:szCs w:val="28"/>
                  </w:rPr>
                  <m:t>h</m:t>
                </m:r>
              </m:sub>
            </m:sSub>
          </m:den>
        </m:f>
      </m:oMath>
      <w:r w:rsidRPr="004C2A45">
        <w:rPr>
          <w:rFonts w:eastAsia="Times New Roman"/>
          <w:szCs w:val="24"/>
        </w:rPr>
        <w:t>.</w:t>
      </w:r>
      <w:r>
        <w:rPr>
          <w:rFonts w:eastAsia="Times New Roman"/>
          <w:szCs w:val="24"/>
        </w:rPr>
        <w:t xml:space="preserve"> </w:t>
      </w:r>
      <w:r>
        <w:rPr>
          <w:rFonts w:eastAsia="Times New Roman"/>
          <w:szCs w:val="24"/>
        </w:rPr>
        <w:fldChar w:fldCharType="begin"/>
      </w:r>
      <w:r w:rsidR="0064214D">
        <w:rPr>
          <w:rFonts w:eastAsia="Times New Roman"/>
          <w:szCs w:val="24"/>
        </w:rPr>
        <w:instrText xml:space="preserve"> ADDIN ZOTERO_ITEM CSL_CITATION {"citationID":"4zkpJtcg","properties":{"formattedCitation":"[20]","plainCitation":"[20]","noteIndex":0},"citationItems":[{"id":10,"uris":["http://zotero.org/users/584652/items/38ZVAVFH"],"uri":["http://zotero.org/users/584652/items/38ZVAVFH"],"itemData":{"id":10,"type":"article-journal","abstract":"Mathematical models have been used to provide an explicit framework for understanding malaria transmission dynamics in human population for over 100 years. With the disease still thriving and threatening to be a major source of death and disability due to changed environmental and socio-economic conditions, it is necessary to make a critical assessment of the existing models, and study their evolution and efficacy in describing the host-parasite biology. In this article, starting from the basic Ross model, the key mathematical models and their underlying features, based on their specific contributions in the understanding of spread and transmission of malaria have been discussed. The first aim of this article is to develop, starting from the basic models, a hierarchical structure of a range of deterministic models of different levels of complexity. The second objective is to elaborate, using some of the representative mathematical models, the evolution of modelling strategies to describe malaria incidence by including the critical features of host-vector-parasite interactions. Emphasis is more on the evolution of the deterministic differential equation based epidemiological compartment models with a brief discussion on data based statistical models. In this comprehensive survey, the approach has been to summarize the modelling activity in this area so that it helps reach a wider range of researchers working on epidemiology, transmission, and other aspects of malaria. This may facilitate the mathematicians to further develop suitable models in this direction relevant to the present scenario, and help the biologists and public health personnel to adopt better understanding of the modelling strategies to control the disease","container-title":"Malaria Journal","DOI":"10.1186/1475-2875-10-202","ISSN":"1475-2875","journalAbbreviation":"Malar J","note":"00079 \nPMID: 21777413\nPMCID: PMC3162588","page":"202","source":"PubMed Central","title":"Mathematical models of malaria - a review","volume":"10","author":[{"family":"Mandal","given":"Sandip"},{"family":"Sarkar","given":"Ram Rup"},{"family":"Sinha","given":"Somdatta"}],"issued":{"date-parts":[["2011",7,21]]}}}],"schema":"https://github.com/citation-style-language/schema/raw/master/csl-citation.json"} </w:instrText>
      </w:r>
      <w:r>
        <w:rPr>
          <w:rFonts w:eastAsia="Times New Roman"/>
          <w:szCs w:val="24"/>
        </w:rPr>
        <w:fldChar w:fldCharType="separate"/>
      </w:r>
      <w:r w:rsidR="0064214D" w:rsidRPr="0064214D">
        <w:t>[20]</w:t>
      </w:r>
      <w:r>
        <w:rPr>
          <w:rFonts w:eastAsia="Times New Roman"/>
          <w:szCs w:val="24"/>
        </w:rPr>
        <w:fldChar w:fldCharType="end"/>
      </w:r>
      <w:r>
        <w:rPr>
          <w:rFonts w:eastAsia="Times New Roman"/>
          <w:szCs w:val="24"/>
        </w:rPr>
        <w:t>.</w:t>
      </w:r>
    </w:p>
    <w:p w14:paraId="342E7937" w14:textId="77777777" w:rsidR="007E1F9B" w:rsidRDefault="007E1F9B" w:rsidP="007E1F9B">
      <w:pPr>
        <w:spacing w:after="0" w:line="480" w:lineRule="auto"/>
        <w:jc w:val="both"/>
        <w:rPr>
          <w:szCs w:val="24"/>
        </w:rPr>
      </w:pPr>
      <w:r w:rsidRPr="004C2A45">
        <w:rPr>
          <w:rFonts w:eastAsia="Times New Roman"/>
          <w:szCs w:val="24"/>
        </w:rPr>
        <w:t xml:space="preserve">Coverage levels and effectiveness of ITNs and IRS are denoted by </w:t>
      </w:r>
      <w:r w:rsidRPr="00B73531">
        <w:rPr>
          <w:i/>
          <w:szCs w:val="24"/>
        </w:rPr>
        <w:t>itnc(t)</w:t>
      </w:r>
      <w:r w:rsidRPr="005837D3">
        <w:rPr>
          <w:szCs w:val="24"/>
        </w:rPr>
        <w:t xml:space="preserve"> = (1</w:t>
      </w:r>
      <w:r>
        <w:rPr>
          <w:szCs w:val="24"/>
        </w:rPr>
        <w:t xml:space="preserve"> </w:t>
      </w:r>
      <w:r w:rsidRPr="005837D3">
        <w:rPr>
          <w:szCs w:val="24"/>
        </w:rPr>
        <w:t>-</w:t>
      </w:r>
      <w:r>
        <w:rPr>
          <w:szCs w:val="24"/>
        </w:rPr>
        <w:t xml:space="preserve"> </w:t>
      </w:r>
      <w:r w:rsidRPr="00B73531">
        <w:rPr>
          <w:i/>
          <w:szCs w:val="24"/>
        </w:rPr>
        <w:t>itncov*itneff</w:t>
      </w:r>
      <w:r>
        <w:rPr>
          <w:i/>
          <w:szCs w:val="24"/>
        </w:rPr>
        <w:t>*itnusage</w:t>
      </w:r>
      <w:r w:rsidRPr="005837D3">
        <w:rPr>
          <w:szCs w:val="24"/>
        </w:rPr>
        <w:t>)</w:t>
      </w:r>
      <w:r>
        <w:rPr>
          <w:szCs w:val="24"/>
        </w:rPr>
        <w:t xml:space="preserve"> </w:t>
      </w:r>
      <w:r w:rsidRPr="005837D3">
        <w:rPr>
          <w:szCs w:val="24"/>
        </w:rPr>
        <w:t xml:space="preserve">and </w:t>
      </w:r>
      <w:r w:rsidRPr="00B73531">
        <w:rPr>
          <w:i/>
          <w:szCs w:val="24"/>
        </w:rPr>
        <w:t>irsc(t)</w:t>
      </w:r>
      <w:r w:rsidRPr="005837D3">
        <w:rPr>
          <w:szCs w:val="24"/>
        </w:rPr>
        <w:t xml:space="preserve"> = (1</w:t>
      </w:r>
      <w:r>
        <w:rPr>
          <w:szCs w:val="24"/>
        </w:rPr>
        <w:t xml:space="preserve"> </w:t>
      </w:r>
      <w:r w:rsidRPr="005837D3">
        <w:rPr>
          <w:szCs w:val="24"/>
        </w:rPr>
        <w:t>-</w:t>
      </w:r>
      <w:r>
        <w:rPr>
          <w:szCs w:val="24"/>
        </w:rPr>
        <w:t xml:space="preserve"> </w:t>
      </w:r>
      <w:r w:rsidRPr="00B73531">
        <w:rPr>
          <w:i/>
          <w:szCs w:val="24"/>
        </w:rPr>
        <w:t>irscov</w:t>
      </w:r>
      <w:r w:rsidRPr="005837D3">
        <w:rPr>
          <w:szCs w:val="24"/>
        </w:rPr>
        <w:t>*</w:t>
      </w:r>
      <w:r w:rsidRPr="00B73531">
        <w:rPr>
          <w:i/>
          <w:szCs w:val="24"/>
        </w:rPr>
        <w:t>irseff</w:t>
      </w:r>
      <w:r>
        <w:rPr>
          <w:szCs w:val="24"/>
        </w:rPr>
        <w:t>)</w:t>
      </w:r>
      <w:r w:rsidRPr="005837D3">
        <w:rPr>
          <w:szCs w:val="24"/>
        </w:rPr>
        <w:t xml:space="preserve"> respectively, where </w:t>
      </w:r>
      <w:r w:rsidRPr="00B73531">
        <w:rPr>
          <w:i/>
          <w:szCs w:val="24"/>
        </w:rPr>
        <w:t>itncov</w:t>
      </w:r>
      <w:r w:rsidRPr="005837D3">
        <w:rPr>
          <w:szCs w:val="24"/>
        </w:rPr>
        <w:t xml:space="preserve"> and </w:t>
      </w:r>
      <w:r w:rsidRPr="00B73531">
        <w:rPr>
          <w:i/>
          <w:szCs w:val="24"/>
        </w:rPr>
        <w:t>irscov</w:t>
      </w:r>
      <w:r w:rsidRPr="005837D3">
        <w:rPr>
          <w:szCs w:val="24"/>
        </w:rPr>
        <w:t xml:space="preserve"> and </w:t>
      </w:r>
      <w:r w:rsidRPr="00B73531">
        <w:rPr>
          <w:i/>
          <w:szCs w:val="24"/>
        </w:rPr>
        <w:t>itneff</w:t>
      </w:r>
      <w:r w:rsidRPr="005837D3">
        <w:rPr>
          <w:szCs w:val="24"/>
        </w:rPr>
        <w:t xml:space="preserve"> and </w:t>
      </w:r>
      <w:r w:rsidRPr="00B73531">
        <w:rPr>
          <w:i/>
          <w:szCs w:val="24"/>
        </w:rPr>
        <w:t>irseff</w:t>
      </w:r>
      <w:r w:rsidRPr="005837D3">
        <w:rPr>
          <w:szCs w:val="24"/>
        </w:rPr>
        <w:t xml:space="preserve"> represent coverage levels and effectiveness for both ITNs and IRS respectively</w:t>
      </w:r>
      <w:r>
        <w:rPr>
          <w:szCs w:val="24"/>
        </w:rPr>
        <w:t xml:space="preserve"> with time and </w:t>
      </w:r>
      <w:r w:rsidRPr="009C77AD">
        <w:rPr>
          <w:i/>
          <w:szCs w:val="24"/>
        </w:rPr>
        <w:t>itn</w:t>
      </w:r>
      <w:r>
        <w:rPr>
          <w:i/>
          <w:szCs w:val="24"/>
        </w:rPr>
        <w:t xml:space="preserve">usage </w:t>
      </w:r>
      <w:r w:rsidRPr="009C77AD">
        <w:rPr>
          <w:szCs w:val="24"/>
        </w:rPr>
        <w:t>is level of ITN/LLIN usage</w:t>
      </w:r>
      <w:r w:rsidRPr="005837D3">
        <w:rPr>
          <w:szCs w:val="24"/>
        </w:rPr>
        <w:t>.</w:t>
      </w:r>
    </w:p>
    <w:p w14:paraId="75ED0579" w14:textId="77777777" w:rsidR="007E1F9B" w:rsidRDefault="007E1F9B" w:rsidP="007E1F9B">
      <w:pPr>
        <w:spacing w:after="0" w:line="480" w:lineRule="auto"/>
        <w:jc w:val="both"/>
        <w:rPr>
          <w:szCs w:val="24"/>
        </w:rPr>
      </w:pPr>
    </w:p>
    <w:p w14:paraId="20F7F2A3" w14:textId="77777777" w:rsidR="007E1F9B" w:rsidRPr="004C2A45" w:rsidRDefault="007E1F9B" w:rsidP="007E1F9B">
      <w:pPr>
        <w:spacing w:after="0" w:line="480" w:lineRule="auto"/>
        <w:jc w:val="both"/>
        <w:rPr>
          <w:rFonts w:eastAsia="Times New Roman"/>
          <w:b/>
          <w:szCs w:val="24"/>
        </w:rPr>
      </w:pPr>
      <w:r w:rsidRPr="004C2A45">
        <w:rPr>
          <w:rFonts w:eastAsia="Times New Roman"/>
          <w:b/>
          <w:szCs w:val="24"/>
        </w:rPr>
        <w:t>Data fitting</w:t>
      </w:r>
      <w:r>
        <w:rPr>
          <w:rFonts w:eastAsia="Times New Roman"/>
          <w:b/>
          <w:szCs w:val="24"/>
        </w:rPr>
        <w:t xml:space="preserve"> and Model calibration</w:t>
      </w:r>
    </w:p>
    <w:p w14:paraId="63241E78" w14:textId="12D11DA5" w:rsidR="007E1F9B" w:rsidRDefault="007E1F9B" w:rsidP="007E1F9B">
      <w:pPr>
        <w:spacing w:after="0" w:line="480" w:lineRule="auto"/>
        <w:jc w:val="both"/>
        <w:rPr>
          <w:rFonts w:eastAsia="Times New Roman"/>
          <w:szCs w:val="24"/>
        </w:rPr>
      </w:pPr>
      <w:r w:rsidRPr="004C2A45">
        <w:rPr>
          <w:rFonts w:eastAsia="Times New Roman"/>
          <w:szCs w:val="24"/>
        </w:rPr>
        <w:t>The model was fitted with zone specific monthly confirmed uncomplicated malaria cases, severe malaria cases and malaria among pregnant women. Data captured from 2008 to 2011 (DHIMS1) and 2012 to 2017 (DHIMS2) were used.</w:t>
      </w:r>
      <w:r>
        <w:rPr>
          <w:rFonts w:eastAsia="Times New Roman"/>
          <w:szCs w:val="24"/>
        </w:rPr>
        <w:t xml:space="preserve"> The pattern of the data from 2008 to 2017 seem to suggest an increasing trend in the incidence of malaria in Ghana. However as pointed out elsewhere, these seeming increasing trend is largely due to reporting, increasing diagnostic testing and perhaps improvement in the health seeking </w:t>
      </w:r>
      <w:r>
        <w:rPr>
          <w:rFonts w:eastAsia="Times New Roman"/>
          <w:szCs w:val="24"/>
        </w:rPr>
        <w:fldChar w:fldCharType="begin"/>
      </w:r>
      <w:r w:rsidR="006F1B7D">
        <w:rPr>
          <w:rFonts w:eastAsia="Times New Roman"/>
          <w:szCs w:val="24"/>
        </w:rPr>
        <w:instrText xml:space="preserve"> ADDIN ZOTERO_ITEM CSL_CITATION {"citationID":"5NTmGOCZ","properties":{"formattedCitation":"[2]","plainCitation":"[2]","noteIndex":0},"citationItems":[{"id":1330,"uris":["http://zotero.org/users/584652/items/EZE5MR95"],"uri":["http://zotero.org/users/584652/items/EZE5MR95"],"itemData":{"id":1330,"type":"article-journal","container-title":"PLOS ONE","DOI":"10.1371/journal.pone.0191707","ISSN":"1932-6203","issue":"1","language":"en","page":"e0191707","source":"CrossRef","title":"Spatio-temporal heterogeneity of malaria morbidity in Ghana: Analysis of routine health facility data","title-short":"Spatio-temporal heterogeneity of malaria morbidity in Ghana","volume":"13","author":[{"family":"Awine","given":"Timothy"},{"family":"Malm","given":"Keziah"},{"family":"Peprah","given":"Nana Yaw"},{"family":"Silal","given":"Sheetal P."}],"editor":[{"family":"Munderloh","given":"Ulrike Gertrud"}],"issued":{"date-parts":[["2018",1,29]]}}}],"schema":"https://github.com/citation-style-language/schema/raw/master/csl-citation.json"} </w:instrText>
      </w:r>
      <w:r>
        <w:rPr>
          <w:rFonts w:eastAsia="Times New Roman"/>
          <w:szCs w:val="24"/>
        </w:rPr>
        <w:fldChar w:fldCharType="separate"/>
      </w:r>
      <w:r w:rsidRPr="00E55DA6">
        <w:t>[2]</w:t>
      </w:r>
      <w:r>
        <w:rPr>
          <w:rFonts w:eastAsia="Times New Roman"/>
          <w:szCs w:val="24"/>
        </w:rPr>
        <w:fldChar w:fldCharType="end"/>
      </w:r>
      <w:r>
        <w:rPr>
          <w:rFonts w:eastAsia="Times New Roman"/>
          <w:szCs w:val="24"/>
        </w:rPr>
        <w:t>.</w:t>
      </w:r>
      <w:r w:rsidRPr="004C2A45">
        <w:rPr>
          <w:rFonts w:eastAsia="Times New Roman"/>
          <w:szCs w:val="24"/>
        </w:rPr>
        <w:t xml:space="preserve"> </w:t>
      </w:r>
      <w:r>
        <w:rPr>
          <w:rFonts w:eastAsia="Times New Roman"/>
          <w:szCs w:val="24"/>
        </w:rPr>
        <w:t>The data fitting process was therefore also adjusted for using reporting probabilities of the health facilities capturing all confirmed cases of malaria onto the DHIMS2 platform.</w:t>
      </w:r>
    </w:p>
    <w:p w14:paraId="7BB1D7D4" w14:textId="77777777" w:rsidR="007E1F9B" w:rsidRDefault="007E1F9B" w:rsidP="007E1F9B">
      <w:pPr>
        <w:spacing w:after="0" w:line="480" w:lineRule="auto"/>
        <w:jc w:val="both"/>
        <w:rPr>
          <w:rFonts w:eastAsia="Times New Roman"/>
          <w:szCs w:val="24"/>
        </w:rPr>
      </w:pPr>
    </w:p>
    <w:p w14:paraId="70B1D1FB" w14:textId="77777777" w:rsidR="007E1F9B" w:rsidRDefault="007E1F9B" w:rsidP="007E1F9B">
      <w:pPr>
        <w:spacing w:after="0" w:line="480" w:lineRule="auto"/>
        <w:jc w:val="both"/>
        <w:rPr>
          <w:rFonts w:eastAsia="Times New Roman"/>
          <w:szCs w:val="24"/>
        </w:rPr>
      </w:pPr>
      <w:r w:rsidRPr="004C2A45">
        <w:rPr>
          <w:rFonts w:eastAsia="Times New Roman"/>
          <w:szCs w:val="24"/>
        </w:rPr>
        <w:lastRenderedPageBreak/>
        <w:t>Universal household coverage levels of ITNs/LLINs and IRS were incorporated in the model build up and a reporting probability of patients to the health facility as well as the gradual capacity improvement of the DHIMS to capture more data were also included.</w:t>
      </w:r>
    </w:p>
    <w:p w14:paraId="783DB5F3" w14:textId="77777777" w:rsidR="00695EB3" w:rsidRPr="004C2A45" w:rsidRDefault="00695EB3" w:rsidP="007E1F9B">
      <w:pPr>
        <w:spacing w:after="0" w:line="480" w:lineRule="auto"/>
        <w:jc w:val="both"/>
        <w:rPr>
          <w:rFonts w:eastAsia="Times New Roman"/>
          <w:szCs w:val="24"/>
        </w:rPr>
      </w:pPr>
    </w:p>
    <w:p w14:paraId="70D16EA9" w14:textId="4CC4ED67" w:rsidR="007E1F9B" w:rsidRDefault="007E1F9B" w:rsidP="007E1F9B">
      <w:pPr>
        <w:spacing w:after="0" w:line="480" w:lineRule="auto"/>
        <w:jc w:val="both"/>
        <w:rPr>
          <w:rFonts w:eastAsia="Times New Roman"/>
          <w:szCs w:val="24"/>
        </w:rPr>
      </w:pPr>
      <w:r w:rsidRPr="004C2A45">
        <w:rPr>
          <w:rFonts w:eastAsia="Times New Roman"/>
          <w:szCs w:val="24"/>
        </w:rPr>
        <w:t xml:space="preserve">As shown on Fig 3 in Appendix A, the models were evaluated for ten years from 1988 to 1998 so as to allow it to reach equilibrium state. Estimated prevailing ITN and IRS coverage levels </w:t>
      </w:r>
      <w:r w:rsidR="006F1B7D">
        <w:rPr>
          <w:rFonts w:eastAsia="Times New Roman"/>
          <w:szCs w:val="24"/>
        </w:rPr>
        <w:t xml:space="preserve">(Table 4) </w:t>
      </w:r>
      <w:r w:rsidRPr="004C2A45">
        <w:rPr>
          <w:rFonts w:eastAsia="Times New Roman"/>
          <w:szCs w:val="24"/>
        </w:rPr>
        <w:t>were then adjusted for from 2008</w:t>
      </w:r>
      <w:r w:rsidR="006F1B7D">
        <w:rPr>
          <w:rFonts w:eastAsia="Times New Roman"/>
          <w:szCs w:val="24"/>
        </w:rPr>
        <w:t xml:space="preserve"> to 2017</w:t>
      </w:r>
      <w:r w:rsidRPr="004C2A45">
        <w:rPr>
          <w:rFonts w:eastAsia="Times New Roman"/>
          <w:szCs w:val="24"/>
        </w:rPr>
        <w:t xml:space="preserve">. </w:t>
      </w:r>
    </w:p>
    <w:p w14:paraId="1399BF35" w14:textId="77777777" w:rsidR="00622896" w:rsidRDefault="00622896" w:rsidP="007E1F9B">
      <w:pPr>
        <w:spacing w:after="0" w:line="480" w:lineRule="auto"/>
        <w:jc w:val="both"/>
        <w:rPr>
          <w:rFonts w:eastAsia="Times New Roman"/>
          <w:szCs w:val="24"/>
        </w:rPr>
      </w:pPr>
    </w:p>
    <w:p w14:paraId="0BA83CA8" w14:textId="0C911CE5" w:rsidR="00622896" w:rsidRDefault="00622896" w:rsidP="00622896">
      <w:pPr>
        <w:rPr>
          <w:szCs w:val="24"/>
        </w:rPr>
      </w:pPr>
      <w:r w:rsidRPr="00D7581F">
        <w:rPr>
          <w:b/>
          <w:szCs w:val="24"/>
        </w:rPr>
        <w:t>Table 4 LLIN and IRS coverage levels</w:t>
      </w:r>
      <w:r>
        <w:rPr>
          <w:b/>
          <w:szCs w:val="24"/>
        </w:rPr>
        <w:t xml:space="preserve"> by zone</w:t>
      </w:r>
    </w:p>
    <w:tbl>
      <w:tblPr>
        <w:tblW w:w="9356" w:type="dxa"/>
        <w:tblInd w:w="108" w:type="dxa"/>
        <w:tblLook w:val="04A0" w:firstRow="1" w:lastRow="0" w:firstColumn="1" w:lastColumn="0" w:noHBand="0" w:noVBand="1"/>
      </w:tblPr>
      <w:tblGrid>
        <w:gridCol w:w="763"/>
        <w:gridCol w:w="1190"/>
        <w:gridCol w:w="1483"/>
        <w:gridCol w:w="1190"/>
        <w:gridCol w:w="1190"/>
        <w:gridCol w:w="1483"/>
        <w:gridCol w:w="1190"/>
        <w:gridCol w:w="923"/>
      </w:tblGrid>
      <w:tr w:rsidR="00622896" w:rsidRPr="00622896" w14:paraId="1CA19673" w14:textId="77777777" w:rsidTr="000A7AF8">
        <w:trPr>
          <w:trHeight w:val="262"/>
        </w:trPr>
        <w:tc>
          <w:tcPr>
            <w:tcW w:w="76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08E9ADCC"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years</w:t>
            </w:r>
          </w:p>
        </w:tc>
        <w:tc>
          <w:tcPr>
            <w:tcW w:w="3863"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7BD252F"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LLIN coverage (%)</w:t>
            </w:r>
          </w:p>
        </w:tc>
        <w:tc>
          <w:tcPr>
            <w:tcW w:w="3863"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7E4826C8"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IRS coverage (%)</w:t>
            </w:r>
          </w:p>
        </w:tc>
        <w:tc>
          <w:tcPr>
            <w:tcW w:w="867"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50524F9B" w14:textId="77777777" w:rsidR="000A7AF8" w:rsidRDefault="000A7AF8" w:rsidP="00622896">
            <w:pPr>
              <w:spacing w:after="0" w:line="240" w:lineRule="auto"/>
              <w:rPr>
                <w:rFonts w:eastAsia="Times New Roman"/>
                <w:b/>
                <w:bCs/>
                <w:color w:val="000000"/>
                <w:szCs w:val="24"/>
                <w:lang w:eastAsia="en-GB"/>
              </w:rPr>
            </w:pPr>
          </w:p>
          <w:p w14:paraId="4CA3CAC8" w14:textId="77777777" w:rsidR="00622896" w:rsidRDefault="00622896" w:rsidP="00622896">
            <w:pPr>
              <w:spacing w:after="0" w:line="240" w:lineRule="auto"/>
              <w:rPr>
                <w:rFonts w:eastAsia="Times New Roman"/>
                <w:b/>
                <w:bCs/>
                <w:color w:val="000000"/>
                <w:szCs w:val="24"/>
                <w:lang w:eastAsia="en-GB"/>
              </w:rPr>
            </w:pPr>
            <w:r w:rsidRPr="00622896">
              <w:rPr>
                <w:rFonts w:eastAsia="Times New Roman"/>
                <w:b/>
                <w:bCs/>
                <w:color w:val="000000"/>
                <w:szCs w:val="24"/>
                <w:lang w:eastAsia="en-GB"/>
              </w:rPr>
              <w:t>Source</w:t>
            </w:r>
          </w:p>
          <w:p w14:paraId="3104B507" w14:textId="42F28344" w:rsidR="00622896" w:rsidRPr="00622896" w:rsidRDefault="00622896" w:rsidP="000A7AF8">
            <w:pPr>
              <w:spacing w:after="0" w:line="240" w:lineRule="auto"/>
              <w:rPr>
                <w:rFonts w:eastAsia="Times New Roman"/>
                <w:b/>
                <w:bCs/>
                <w:color w:val="000000"/>
                <w:szCs w:val="24"/>
                <w:lang w:val="en-GB" w:eastAsia="en-GB"/>
              </w:rPr>
            </w:pPr>
            <w:r w:rsidRPr="00622896">
              <w:rPr>
                <w:rFonts w:eastAsia="Times New Roman"/>
                <w:b/>
                <w:bCs/>
                <w:color w:val="000000"/>
                <w:szCs w:val="24"/>
                <w:lang w:eastAsia="en-GB"/>
              </w:rPr>
              <w:t xml:space="preserve"> </w:t>
            </w:r>
          </w:p>
        </w:tc>
      </w:tr>
      <w:tr w:rsidR="00622896" w:rsidRPr="00622896" w14:paraId="077BCC72" w14:textId="77777777" w:rsidTr="000A7AF8">
        <w:trPr>
          <w:trHeight w:val="489"/>
        </w:trPr>
        <w:tc>
          <w:tcPr>
            <w:tcW w:w="763" w:type="dxa"/>
            <w:vMerge/>
            <w:tcBorders>
              <w:top w:val="single" w:sz="8" w:space="0" w:color="auto"/>
              <w:left w:val="single" w:sz="8" w:space="0" w:color="auto"/>
              <w:bottom w:val="single" w:sz="8" w:space="0" w:color="000000"/>
              <w:right w:val="single" w:sz="8" w:space="0" w:color="auto"/>
            </w:tcBorders>
            <w:vAlign w:val="center"/>
            <w:hideMark/>
          </w:tcPr>
          <w:p w14:paraId="7E15897F"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val="restart"/>
            <w:tcBorders>
              <w:top w:val="nil"/>
              <w:left w:val="nil"/>
              <w:bottom w:val="single" w:sz="8" w:space="0" w:color="000000"/>
              <w:right w:val="single" w:sz="8" w:space="0" w:color="auto"/>
            </w:tcBorders>
            <w:shd w:val="clear" w:color="auto" w:fill="auto"/>
            <w:vAlign w:val="center"/>
            <w:hideMark/>
          </w:tcPr>
          <w:p w14:paraId="4824B814" w14:textId="77777777" w:rsidR="00622896" w:rsidRDefault="00622896" w:rsidP="00622896">
            <w:pPr>
              <w:spacing w:after="0" w:line="240" w:lineRule="auto"/>
              <w:jc w:val="center"/>
              <w:rPr>
                <w:rFonts w:eastAsia="Times New Roman"/>
                <w:b/>
                <w:bCs/>
                <w:color w:val="000000"/>
                <w:szCs w:val="24"/>
                <w:lang w:eastAsia="en-GB"/>
              </w:rPr>
            </w:pPr>
            <w:r w:rsidRPr="00622896">
              <w:rPr>
                <w:rFonts w:eastAsia="Times New Roman"/>
                <w:b/>
                <w:bCs/>
                <w:color w:val="000000"/>
                <w:szCs w:val="24"/>
                <w:lang w:eastAsia="en-GB"/>
              </w:rPr>
              <w:t xml:space="preserve">Guinea </w:t>
            </w:r>
          </w:p>
          <w:p w14:paraId="1B48D788" w14:textId="43B6B8AC"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savannah</w:t>
            </w:r>
          </w:p>
        </w:tc>
        <w:tc>
          <w:tcPr>
            <w:tcW w:w="1483" w:type="dxa"/>
            <w:vMerge w:val="restart"/>
            <w:tcBorders>
              <w:top w:val="nil"/>
              <w:left w:val="single" w:sz="8" w:space="0" w:color="auto"/>
              <w:bottom w:val="single" w:sz="8" w:space="0" w:color="000000"/>
              <w:right w:val="single" w:sz="8" w:space="0" w:color="auto"/>
            </w:tcBorders>
            <w:shd w:val="clear" w:color="auto" w:fill="auto"/>
            <w:vAlign w:val="center"/>
            <w:hideMark/>
          </w:tcPr>
          <w:p w14:paraId="548142C3"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Transitional forest</w:t>
            </w:r>
          </w:p>
        </w:tc>
        <w:tc>
          <w:tcPr>
            <w:tcW w:w="1190" w:type="dxa"/>
            <w:vMerge w:val="restart"/>
            <w:tcBorders>
              <w:top w:val="nil"/>
              <w:left w:val="single" w:sz="8" w:space="0" w:color="auto"/>
              <w:bottom w:val="single" w:sz="8" w:space="0" w:color="000000"/>
              <w:right w:val="single" w:sz="8" w:space="0" w:color="auto"/>
            </w:tcBorders>
            <w:shd w:val="clear" w:color="auto" w:fill="auto"/>
            <w:vAlign w:val="center"/>
            <w:hideMark/>
          </w:tcPr>
          <w:p w14:paraId="7F63E0E0" w14:textId="77777777" w:rsidR="00622896" w:rsidRDefault="00622896" w:rsidP="00622896">
            <w:pPr>
              <w:spacing w:after="0" w:line="240" w:lineRule="auto"/>
              <w:jc w:val="center"/>
              <w:rPr>
                <w:rFonts w:eastAsia="Times New Roman"/>
                <w:b/>
                <w:bCs/>
                <w:color w:val="000000"/>
                <w:szCs w:val="24"/>
                <w:lang w:eastAsia="en-GB"/>
              </w:rPr>
            </w:pPr>
            <w:r w:rsidRPr="00622896">
              <w:rPr>
                <w:rFonts w:eastAsia="Times New Roman"/>
                <w:b/>
                <w:bCs/>
                <w:color w:val="000000"/>
                <w:szCs w:val="24"/>
                <w:lang w:eastAsia="en-GB"/>
              </w:rPr>
              <w:t xml:space="preserve">Coastal </w:t>
            </w:r>
          </w:p>
          <w:p w14:paraId="7DEB222E" w14:textId="35B6FD6B"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savannah</w:t>
            </w:r>
          </w:p>
        </w:tc>
        <w:tc>
          <w:tcPr>
            <w:tcW w:w="1190" w:type="dxa"/>
            <w:vMerge w:val="restart"/>
            <w:tcBorders>
              <w:top w:val="nil"/>
              <w:left w:val="single" w:sz="8" w:space="0" w:color="auto"/>
              <w:bottom w:val="single" w:sz="8" w:space="0" w:color="000000"/>
              <w:right w:val="single" w:sz="8" w:space="0" w:color="auto"/>
            </w:tcBorders>
            <w:shd w:val="clear" w:color="auto" w:fill="auto"/>
            <w:vAlign w:val="center"/>
            <w:hideMark/>
          </w:tcPr>
          <w:p w14:paraId="65922C14" w14:textId="77777777" w:rsidR="00622896" w:rsidRDefault="00622896" w:rsidP="00622896">
            <w:pPr>
              <w:spacing w:after="0" w:line="240" w:lineRule="auto"/>
              <w:jc w:val="center"/>
              <w:rPr>
                <w:rFonts w:eastAsia="Times New Roman"/>
                <w:b/>
                <w:bCs/>
                <w:color w:val="000000"/>
                <w:szCs w:val="24"/>
                <w:lang w:eastAsia="en-GB"/>
              </w:rPr>
            </w:pPr>
            <w:r w:rsidRPr="00622896">
              <w:rPr>
                <w:rFonts w:eastAsia="Times New Roman"/>
                <w:b/>
                <w:bCs/>
                <w:color w:val="000000"/>
                <w:szCs w:val="24"/>
                <w:lang w:eastAsia="en-GB"/>
              </w:rPr>
              <w:t>Guinea</w:t>
            </w:r>
          </w:p>
          <w:p w14:paraId="408B3BC4" w14:textId="3F74F35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savannah</w:t>
            </w:r>
          </w:p>
        </w:tc>
        <w:tc>
          <w:tcPr>
            <w:tcW w:w="1483" w:type="dxa"/>
            <w:vMerge w:val="restart"/>
            <w:tcBorders>
              <w:top w:val="nil"/>
              <w:left w:val="single" w:sz="8" w:space="0" w:color="auto"/>
              <w:bottom w:val="single" w:sz="8" w:space="0" w:color="000000"/>
              <w:right w:val="single" w:sz="8" w:space="0" w:color="auto"/>
            </w:tcBorders>
            <w:shd w:val="clear" w:color="auto" w:fill="auto"/>
            <w:vAlign w:val="center"/>
            <w:hideMark/>
          </w:tcPr>
          <w:p w14:paraId="7E848A5E" w14:textId="77777777" w:rsidR="00622896" w:rsidRDefault="00622896" w:rsidP="00622896">
            <w:pPr>
              <w:spacing w:after="0" w:line="240" w:lineRule="auto"/>
              <w:jc w:val="center"/>
              <w:rPr>
                <w:rFonts w:eastAsia="Times New Roman"/>
                <w:b/>
                <w:bCs/>
                <w:color w:val="000000"/>
                <w:szCs w:val="24"/>
                <w:lang w:eastAsia="en-GB"/>
              </w:rPr>
            </w:pPr>
            <w:r w:rsidRPr="00622896">
              <w:rPr>
                <w:rFonts w:eastAsia="Times New Roman"/>
                <w:b/>
                <w:bCs/>
                <w:color w:val="000000"/>
                <w:szCs w:val="24"/>
                <w:lang w:eastAsia="en-GB"/>
              </w:rPr>
              <w:t xml:space="preserve">Transitional </w:t>
            </w:r>
          </w:p>
          <w:p w14:paraId="3880AE30" w14:textId="3DBD3774"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forest</w:t>
            </w:r>
          </w:p>
        </w:tc>
        <w:tc>
          <w:tcPr>
            <w:tcW w:w="1190" w:type="dxa"/>
            <w:vMerge w:val="restart"/>
            <w:tcBorders>
              <w:top w:val="nil"/>
              <w:left w:val="single" w:sz="8" w:space="0" w:color="auto"/>
              <w:bottom w:val="single" w:sz="8" w:space="0" w:color="000000"/>
              <w:right w:val="single" w:sz="8" w:space="0" w:color="auto"/>
            </w:tcBorders>
            <w:shd w:val="clear" w:color="auto" w:fill="auto"/>
            <w:vAlign w:val="center"/>
            <w:hideMark/>
          </w:tcPr>
          <w:p w14:paraId="3BA73510"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Coastal savannah</w:t>
            </w:r>
          </w:p>
        </w:tc>
        <w:tc>
          <w:tcPr>
            <w:tcW w:w="867" w:type="dxa"/>
            <w:vMerge/>
            <w:tcBorders>
              <w:top w:val="single" w:sz="8" w:space="0" w:color="auto"/>
              <w:left w:val="single" w:sz="8" w:space="0" w:color="auto"/>
              <w:bottom w:val="single" w:sz="8" w:space="0" w:color="000000"/>
              <w:right w:val="single" w:sz="8" w:space="0" w:color="auto"/>
            </w:tcBorders>
            <w:vAlign w:val="center"/>
            <w:hideMark/>
          </w:tcPr>
          <w:p w14:paraId="18AB878C" w14:textId="77777777" w:rsidR="00622896" w:rsidRPr="00622896" w:rsidRDefault="00622896" w:rsidP="00622896">
            <w:pPr>
              <w:spacing w:after="0" w:line="240" w:lineRule="auto"/>
              <w:rPr>
                <w:rFonts w:eastAsia="Times New Roman"/>
                <w:b/>
                <w:bCs/>
                <w:color w:val="000000"/>
                <w:szCs w:val="24"/>
                <w:lang w:val="en-GB" w:eastAsia="en-GB"/>
              </w:rPr>
            </w:pPr>
          </w:p>
        </w:tc>
      </w:tr>
      <w:tr w:rsidR="00622896" w:rsidRPr="00622896" w14:paraId="20B590E6" w14:textId="77777777" w:rsidTr="000A7AF8">
        <w:trPr>
          <w:trHeight w:val="285"/>
        </w:trPr>
        <w:tc>
          <w:tcPr>
            <w:tcW w:w="763" w:type="dxa"/>
            <w:vMerge/>
            <w:tcBorders>
              <w:top w:val="single" w:sz="8" w:space="0" w:color="auto"/>
              <w:left w:val="single" w:sz="8" w:space="0" w:color="auto"/>
              <w:bottom w:val="single" w:sz="8" w:space="0" w:color="000000"/>
              <w:right w:val="single" w:sz="8" w:space="0" w:color="auto"/>
            </w:tcBorders>
            <w:vAlign w:val="center"/>
            <w:hideMark/>
          </w:tcPr>
          <w:p w14:paraId="335EE8F0"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tcBorders>
              <w:top w:val="nil"/>
              <w:left w:val="nil"/>
              <w:bottom w:val="single" w:sz="8" w:space="0" w:color="000000"/>
              <w:right w:val="single" w:sz="8" w:space="0" w:color="auto"/>
            </w:tcBorders>
            <w:vAlign w:val="center"/>
            <w:hideMark/>
          </w:tcPr>
          <w:p w14:paraId="5B1B0984" w14:textId="77777777" w:rsidR="00622896" w:rsidRPr="00622896" w:rsidRDefault="00622896" w:rsidP="00622896">
            <w:pPr>
              <w:spacing w:after="0" w:line="240" w:lineRule="auto"/>
              <w:rPr>
                <w:rFonts w:eastAsia="Times New Roman"/>
                <w:b/>
                <w:bCs/>
                <w:color w:val="000000"/>
                <w:szCs w:val="24"/>
                <w:lang w:val="en-GB" w:eastAsia="en-GB"/>
              </w:rPr>
            </w:pPr>
          </w:p>
        </w:tc>
        <w:tc>
          <w:tcPr>
            <w:tcW w:w="1483" w:type="dxa"/>
            <w:vMerge/>
            <w:tcBorders>
              <w:top w:val="nil"/>
              <w:left w:val="single" w:sz="8" w:space="0" w:color="auto"/>
              <w:bottom w:val="single" w:sz="8" w:space="0" w:color="000000"/>
              <w:right w:val="single" w:sz="8" w:space="0" w:color="auto"/>
            </w:tcBorders>
            <w:vAlign w:val="center"/>
            <w:hideMark/>
          </w:tcPr>
          <w:p w14:paraId="3748EDFC"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tcBorders>
              <w:top w:val="nil"/>
              <w:left w:val="single" w:sz="8" w:space="0" w:color="auto"/>
              <w:bottom w:val="single" w:sz="8" w:space="0" w:color="000000"/>
              <w:right w:val="single" w:sz="8" w:space="0" w:color="auto"/>
            </w:tcBorders>
            <w:vAlign w:val="center"/>
            <w:hideMark/>
          </w:tcPr>
          <w:p w14:paraId="03DEBF02"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tcBorders>
              <w:top w:val="nil"/>
              <w:left w:val="single" w:sz="8" w:space="0" w:color="auto"/>
              <w:bottom w:val="single" w:sz="8" w:space="0" w:color="000000"/>
              <w:right w:val="single" w:sz="8" w:space="0" w:color="auto"/>
            </w:tcBorders>
            <w:vAlign w:val="center"/>
            <w:hideMark/>
          </w:tcPr>
          <w:p w14:paraId="135256C4" w14:textId="77777777" w:rsidR="00622896" w:rsidRPr="00622896" w:rsidRDefault="00622896" w:rsidP="00622896">
            <w:pPr>
              <w:spacing w:after="0" w:line="240" w:lineRule="auto"/>
              <w:rPr>
                <w:rFonts w:eastAsia="Times New Roman"/>
                <w:b/>
                <w:bCs/>
                <w:color w:val="000000"/>
                <w:szCs w:val="24"/>
                <w:lang w:val="en-GB" w:eastAsia="en-GB"/>
              </w:rPr>
            </w:pPr>
          </w:p>
        </w:tc>
        <w:tc>
          <w:tcPr>
            <w:tcW w:w="1483" w:type="dxa"/>
            <w:vMerge/>
            <w:tcBorders>
              <w:top w:val="nil"/>
              <w:left w:val="single" w:sz="8" w:space="0" w:color="auto"/>
              <w:bottom w:val="single" w:sz="8" w:space="0" w:color="000000"/>
              <w:right w:val="single" w:sz="8" w:space="0" w:color="auto"/>
            </w:tcBorders>
            <w:vAlign w:val="center"/>
            <w:hideMark/>
          </w:tcPr>
          <w:p w14:paraId="58D76908"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tcBorders>
              <w:top w:val="nil"/>
              <w:left w:val="single" w:sz="8" w:space="0" w:color="auto"/>
              <w:bottom w:val="single" w:sz="8" w:space="0" w:color="000000"/>
              <w:right w:val="single" w:sz="8" w:space="0" w:color="auto"/>
            </w:tcBorders>
            <w:vAlign w:val="center"/>
            <w:hideMark/>
          </w:tcPr>
          <w:p w14:paraId="5AE52ADA" w14:textId="77777777" w:rsidR="00622896" w:rsidRPr="00622896" w:rsidRDefault="00622896" w:rsidP="00622896">
            <w:pPr>
              <w:spacing w:after="0" w:line="240" w:lineRule="auto"/>
              <w:rPr>
                <w:rFonts w:eastAsia="Times New Roman"/>
                <w:b/>
                <w:bCs/>
                <w:color w:val="000000"/>
                <w:szCs w:val="24"/>
                <w:lang w:val="en-GB" w:eastAsia="en-GB"/>
              </w:rPr>
            </w:pPr>
          </w:p>
        </w:tc>
        <w:tc>
          <w:tcPr>
            <w:tcW w:w="867" w:type="dxa"/>
            <w:vMerge/>
            <w:tcBorders>
              <w:top w:val="single" w:sz="8" w:space="0" w:color="auto"/>
              <w:left w:val="single" w:sz="8" w:space="0" w:color="auto"/>
              <w:bottom w:val="single" w:sz="8" w:space="0" w:color="000000"/>
              <w:right w:val="single" w:sz="8" w:space="0" w:color="auto"/>
            </w:tcBorders>
            <w:vAlign w:val="center"/>
            <w:hideMark/>
          </w:tcPr>
          <w:p w14:paraId="24A9C9F5" w14:textId="77777777" w:rsidR="00622896" w:rsidRPr="00622896" w:rsidRDefault="00622896" w:rsidP="00622896">
            <w:pPr>
              <w:spacing w:after="0" w:line="240" w:lineRule="auto"/>
              <w:rPr>
                <w:rFonts w:eastAsia="Times New Roman"/>
                <w:b/>
                <w:bCs/>
                <w:color w:val="000000"/>
                <w:szCs w:val="24"/>
                <w:lang w:val="en-GB" w:eastAsia="en-GB"/>
              </w:rPr>
            </w:pPr>
          </w:p>
        </w:tc>
      </w:tr>
      <w:tr w:rsidR="00622896" w:rsidRPr="00622896" w14:paraId="1E72C7ED"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708499AC"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2008</w:t>
            </w:r>
          </w:p>
        </w:tc>
        <w:tc>
          <w:tcPr>
            <w:tcW w:w="1190" w:type="dxa"/>
            <w:tcBorders>
              <w:top w:val="nil"/>
              <w:left w:val="nil"/>
              <w:bottom w:val="single" w:sz="8" w:space="0" w:color="auto"/>
              <w:right w:val="single" w:sz="8" w:space="0" w:color="auto"/>
            </w:tcBorders>
            <w:shd w:val="clear" w:color="auto" w:fill="auto"/>
            <w:noWrap/>
            <w:vAlign w:val="center"/>
            <w:hideMark/>
          </w:tcPr>
          <w:p w14:paraId="2A085EA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0.29</w:t>
            </w:r>
          </w:p>
        </w:tc>
        <w:tc>
          <w:tcPr>
            <w:tcW w:w="1483" w:type="dxa"/>
            <w:tcBorders>
              <w:top w:val="nil"/>
              <w:left w:val="nil"/>
              <w:bottom w:val="single" w:sz="8" w:space="0" w:color="auto"/>
              <w:right w:val="single" w:sz="8" w:space="0" w:color="auto"/>
            </w:tcBorders>
            <w:shd w:val="clear" w:color="auto" w:fill="auto"/>
            <w:noWrap/>
            <w:vAlign w:val="center"/>
            <w:hideMark/>
          </w:tcPr>
          <w:p w14:paraId="1E253B8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0.22</w:t>
            </w:r>
          </w:p>
        </w:tc>
        <w:tc>
          <w:tcPr>
            <w:tcW w:w="1190" w:type="dxa"/>
            <w:tcBorders>
              <w:top w:val="nil"/>
              <w:left w:val="nil"/>
              <w:bottom w:val="single" w:sz="8" w:space="0" w:color="auto"/>
              <w:right w:val="single" w:sz="8" w:space="0" w:color="auto"/>
            </w:tcBorders>
            <w:shd w:val="clear" w:color="auto" w:fill="auto"/>
            <w:noWrap/>
            <w:vAlign w:val="center"/>
            <w:hideMark/>
          </w:tcPr>
          <w:p w14:paraId="1568E59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0.12</w:t>
            </w:r>
          </w:p>
        </w:tc>
        <w:tc>
          <w:tcPr>
            <w:tcW w:w="1190" w:type="dxa"/>
            <w:tcBorders>
              <w:top w:val="nil"/>
              <w:left w:val="nil"/>
              <w:bottom w:val="single" w:sz="8" w:space="0" w:color="auto"/>
              <w:right w:val="single" w:sz="8" w:space="0" w:color="auto"/>
            </w:tcBorders>
            <w:shd w:val="clear" w:color="auto" w:fill="auto"/>
            <w:noWrap/>
            <w:vAlign w:val="center"/>
            <w:hideMark/>
          </w:tcPr>
          <w:p w14:paraId="743B780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483" w:type="dxa"/>
            <w:tcBorders>
              <w:top w:val="nil"/>
              <w:left w:val="nil"/>
              <w:bottom w:val="single" w:sz="8" w:space="0" w:color="auto"/>
              <w:right w:val="single" w:sz="8" w:space="0" w:color="auto"/>
            </w:tcBorders>
            <w:shd w:val="clear" w:color="auto" w:fill="auto"/>
            <w:noWrap/>
            <w:vAlign w:val="center"/>
            <w:hideMark/>
          </w:tcPr>
          <w:p w14:paraId="2878F05A"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42A9629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77374584" w14:textId="3918D6A1" w:rsidR="00622896" w:rsidRPr="00622896" w:rsidRDefault="006F1B7D" w:rsidP="00622896">
            <w:pPr>
              <w:spacing w:after="0" w:line="240" w:lineRule="auto"/>
              <w:jc w:val="center"/>
              <w:rPr>
                <w:rFonts w:eastAsia="Times New Roman"/>
                <w:color w:val="000000"/>
                <w:szCs w:val="24"/>
                <w:lang w:val="en-GB" w:eastAsia="en-GB"/>
              </w:rPr>
            </w:pPr>
            <w:r>
              <w:rPr>
                <w:rFonts w:eastAsia="Times New Roman"/>
                <w:color w:val="000000"/>
                <w:szCs w:val="24"/>
                <w:lang w:val="en-GB" w:eastAsia="en-GB"/>
              </w:rPr>
              <w:fldChar w:fldCharType="begin"/>
            </w:r>
            <w:r w:rsidR="00B57A1E">
              <w:rPr>
                <w:rFonts w:eastAsia="Times New Roman"/>
                <w:color w:val="000000"/>
                <w:szCs w:val="24"/>
                <w:lang w:val="en-GB" w:eastAsia="en-GB"/>
              </w:rPr>
              <w:instrText xml:space="preserve"> ADDIN ZOTERO_ITEM CSL_CITATION {"citationID":"X2XFnLva","properties":{"formattedCitation":"[46]","plainCitation":"[46]","noteIndex":0},"citationItems":[{"id":1467,"uris":["http://zotero.org/users/584652/items/6VDQU7G3"],"uri":["http://zotero.org/users/584652/items/6VDQU7G3"],"itemData":{"id":1467,"type":"report","title":"Ghana Demographic and Health Survey 2008","URL":"https://www.dhsprogram.com/pubs/pdf/FR221/FR221[13Aug2012].pdf","author":[{"family":"Ghana Statistical Service and Ghana Health Service","given":""}],"accessed":{"date-parts":[["2019",2,13]]},"issued":{"date-parts":[["2009",9]]}}}],"schema":"https://github.com/citation-style-language/schema/raw/master/csl-citation.json"} </w:instrText>
            </w:r>
            <w:r>
              <w:rPr>
                <w:rFonts w:eastAsia="Times New Roman"/>
                <w:color w:val="000000"/>
                <w:szCs w:val="24"/>
                <w:lang w:val="en-GB" w:eastAsia="en-GB"/>
              </w:rPr>
              <w:fldChar w:fldCharType="separate"/>
            </w:r>
            <w:r w:rsidR="00B57A1E" w:rsidRPr="00B57A1E">
              <w:t>[46]</w:t>
            </w:r>
            <w:r>
              <w:rPr>
                <w:rFonts w:eastAsia="Times New Roman"/>
                <w:color w:val="000000"/>
                <w:szCs w:val="24"/>
                <w:lang w:val="en-GB" w:eastAsia="en-GB"/>
              </w:rPr>
              <w:fldChar w:fldCharType="end"/>
            </w:r>
          </w:p>
        </w:tc>
      </w:tr>
      <w:tr w:rsidR="00622896" w:rsidRPr="00622896" w14:paraId="45FEFC66"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346C830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2009</w:t>
            </w:r>
          </w:p>
        </w:tc>
        <w:tc>
          <w:tcPr>
            <w:tcW w:w="1190" w:type="dxa"/>
            <w:tcBorders>
              <w:top w:val="nil"/>
              <w:left w:val="nil"/>
              <w:bottom w:val="single" w:sz="8" w:space="0" w:color="auto"/>
              <w:right w:val="single" w:sz="8" w:space="0" w:color="auto"/>
            </w:tcBorders>
            <w:shd w:val="clear" w:color="auto" w:fill="auto"/>
            <w:noWrap/>
            <w:vAlign w:val="center"/>
            <w:hideMark/>
          </w:tcPr>
          <w:p w14:paraId="41EB524C"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7BC114A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0.43</w:t>
            </w:r>
          </w:p>
        </w:tc>
        <w:tc>
          <w:tcPr>
            <w:tcW w:w="1190" w:type="dxa"/>
            <w:tcBorders>
              <w:top w:val="nil"/>
              <w:left w:val="nil"/>
              <w:bottom w:val="single" w:sz="8" w:space="0" w:color="auto"/>
              <w:right w:val="single" w:sz="8" w:space="0" w:color="auto"/>
            </w:tcBorders>
            <w:shd w:val="clear" w:color="auto" w:fill="auto"/>
            <w:noWrap/>
            <w:vAlign w:val="center"/>
            <w:hideMark/>
          </w:tcPr>
          <w:p w14:paraId="394181B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0.38</w:t>
            </w:r>
          </w:p>
        </w:tc>
        <w:tc>
          <w:tcPr>
            <w:tcW w:w="1190" w:type="dxa"/>
            <w:tcBorders>
              <w:top w:val="nil"/>
              <w:left w:val="nil"/>
              <w:bottom w:val="single" w:sz="8" w:space="0" w:color="auto"/>
              <w:right w:val="single" w:sz="8" w:space="0" w:color="auto"/>
            </w:tcBorders>
            <w:shd w:val="clear" w:color="auto" w:fill="auto"/>
            <w:noWrap/>
            <w:vAlign w:val="center"/>
            <w:hideMark/>
          </w:tcPr>
          <w:p w14:paraId="21191A1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5B0A1C4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2DEB8D4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4098EE6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4BA38335"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6225AF1E"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2010</w:t>
            </w:r>
          </w:p>
        </w:tc>
        <w:tc>
          <w:tcPr>
            <w:tcW w:w="1190" w:type="dxa"/>
            <w:tcBorders>
              <w:top w:val="nil"/>
              <w:left w:val="nil"/>
              <w:bottom w:val="single" w:sz="8" w:space="0" w:color="auto"/>
              <w:right w:val="single" w:sz="8" w:space="0" w:color="auto"/>
            </w:tcBorders>
            <w:shd w:val="clear" w:color="auto" w:fill="auto"/>
            <w:noWrap/>
            <w:vAlign w:val="center"/>
            <w:hideMark/>
          </w:tcPr>
          <w:p w14:paraId="5ABBF87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78382D5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0.43</w:t>
            </w:r>
          </w:p>
        </w:tc>
        <w:tc>
          <w:tcPr>
            <w:tcW w:w="1190" w:type="dxa"/>
            <w:tcBorders>
              <w:top w:val="nil"/>
              <w:left w:val="nil"/>
              <w:bottom w:val="single" w:sz="8" w:space="0" w:color="auto"/>
              <w:right w:val="single" w:sz="8" w:space="0" w:color="auto"/>
            </w:tcBorders>
            <w:shd w:val="clear" w:color="auto" w:fill="auto"/>
            <w:noWrap/>
            <w:vAlign w:val="center"/>
            <w:hideMark/>
          </w:tcPr>
          <w:p w14:paraId="1E307EA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0.38</w:t>
            </w:r>
          </w:p>
        </w:tc>
        <w:tc>
          <w:tcPr>
            <w:tcW w:w="1190" w:type="dxa"/>
            <w:tcBorders>
              <w:top w:val="nil"/>
              <w:left w:val="nil"/>
              <w:bottom w:val="single" w:sz="8" w:space="0" w:color="auto"/>
              <w:right w:val="single" w:sz="8" w:space="0" w:color="auto"/>
            </w:tcBorders>
            <w:shd w:val="clear" w:color="auto" w:fill="auto"/>
            <w:noWrap/>
            <w:vAlign w:val="center"/>
            <w:hideMark/>
          </w:tcPr>
          <w:p w14:paraId="4578C0D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448AB39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1818D6F7"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0BFB882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2F3EA321"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5AED5AD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2011</w:t>
            </w:r>
          </w:p>
        </w:tc>
        <w:tc>
          <w:tcPr>
            <w:tcW w:w="1190" w:type="dxa"/>
            <w:tcBorders>
              <w:top w:val="nil"/>
              <w:left w:val="nil"/>
              <w:bottom w:val="single" w:sz="8" w:space="0" w:color="auto"/>
              <w:right w:val="single" w:sz="8" w:space="0" w:color="auto"/>
            </w:tcBorders>
            <w:shd w:val="clear" w:color="auto" w:fill="auto"/>
            <w:noWrap/>
            <w:vAlign w:val="center"/>
            <w:hideMark/>
          </w:tcPr>
          <w:p w14:paraId="5EC230E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5ADC2A5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0.43</w:t>
            </w:r>
          </w:p>
        </w:tc>
        <w:tc>
          <w:tcPr>
            <w:tcW w:w="1190" w:type="dxa"/>
            <w:tcBorders>
              <w:top w:val="nil"/>
              <w:left w:val="nil"/>
              <w:bottom w:val="single" w:sz="8" w:space="0" w:color="auto"/>
              <w:right w:val="single" w:sz="8" w:space="0" w:color="auto"/>
            </w:tcBorders>
            <w:shd w:val="clear" w:color="auto" w:fill="auto"/>
            <w:noWrap/>
            <w:vAlign w:val="center"/>
            <w:hideMark/>
          </w:tcPr>
          <w:p w14:paraId="4B50826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0.38</w:t>
            </w:r>
          </w:p>
        </w:tc>
        <w:tc>
          <w:tcPr>
            <w:tcW w:w="1190" w:type="dxa"/>
            <w:tcBorders>
              <w:top w:val="nil"/>
              <w:left w:val="nil"/>
              <w:bottom w:val="single" w:sz="8" w:space="0" w:color="auto"/>
              <w:right w:val="single" w:sz="8" w:space="0" w:color="auto"/>
            </w:tcBorders>
            <w:shd w:val="clear" w:color="auto" w:fill="auto"/>
            <w:noWrap/>
            <w:vAlign w:val="center"/>
            <w:hideMark/>
          </w:tcPr>
          <w:p w14:paraId="6AA7717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34BA0B4D"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60504D9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03BE1BD6" w14:textId="2D252951" w:rsidR="00622896" w:rsidRPr="00622896" w:rsidRDefault="006F1B7D" w:rsidP="00622896">
            <w:pPr>
              <w:spacing w:after="0" w:line="240" w:lineRule="auto"/>
              <w:jc w:val="center"/>
              <w:rPr>
                <w:rFonts w:eastAsia="Times New Roman"/>
                <w:color w:val="000000"/>
                <w:szCs w:val="24"/>
                <w:lang w:val="en-GB" w:eastAsia="en-GB"/>
              </w:rPr>
            </w:pPr>
            <w:r>
              <w:rPr>
                <w:rFonts w:eastAsia="Times New Roman"/>
                <w:color w:val="000000"/>
                <w:szCs w:val="24"/>
                <w:lang w:val="en-GB" w:eastAsia="en-GB"/>
              </w:rPr>
              <w:fldChar w:fldCharType="begin"/>
            </w:r>
            <w:r w:rsidR="00B57A1E">
              <w:rPr>
                <w:rFonts w:eastAsia="Times New Roman"/>
                <w:color w:val="000000"/>
                <w:szCs w:val="24"/>
                <w:lang w:val="en-GB" w:eastAsia="en-GB"/>
              </w:rPr>
              <w:instrText xml:space="preserve"> ADDIN ZOTERO_ITEM CSL_CITATION {"citationID":"ApFE5sJg","properties":{"formattedCitation":"[47]","plainCitation":"[47]","noteIndex":0},"citationItems":[{"id":71,"uris":["http://zotero.org/users/584652/items/EPKA2MRG"],"uri":["http://zotero.org/users/584652/items/EPKA2MRG"],"itemData":{"id":71,"type":"article","note":"00000","publisher":"Ghana Statistical Service","title":"Ghana Multiple Indicator Cluster Survey with an Enhanced Malaria Module and Biomaker,2011, Final report.","URL":"http://www.unicef.org/ghana/Ghana_MICS_Final.pdf","author":[{"literal":"Ghana Statistical Service"}],"accessed":{"date-parts":[["2015",12,23]]},"issued":{"date-parts":[["2011"]]}}}],"schema":"https://github.com/citation-style-language/schema/raw/master/csl-citation.json"} </w:instrText>
            </w:r>
            <w:r>
              <w:rPr>
                <w:rFonts w:eastAsia="Times New Roman"/>
                <w:color w:val="000000"/>
                <w:szCs w:val="24"/>
                <w:lang w:val="en-GB" w:eastAsia="en-GB"/>
              </w:rPr>
              <w:fldChar w:fldCharType="separate"/>
            </w:r>
            <w:r w:rsidR="00B57A1E" w:rsidRPr="00B57A1E">
              <w:t>[47]</w:t>
            </w:r>
            <w:r>
              <w:rPr>
                <w:rFonts w:eastAsia="Times New Roman"/>
                <w:color w:val="000000"/>
                <w:szCs w:val="24"/>
                <w:lang w:val="en-GB" w:eastAsia="en-GB"/>
              </w:rPr>
              <w:fldChar w:fldCharType="end"/>
            </w:r>
          </w:p>
        </w:tc>
      </w:tr>
      <w:tr w:rsidR="00622896" w:rsidRPr="00622896" w14:paraId="408DD5BA"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1105004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2012</w:t>
            </w:r>
          </w:p>
        </w:tc>
        <w:tc>
          <w:tcPr>
            <w:tcW w:w="1190" w:type="dxa"/>
            <w:tcBorders>
              <w:top w:val="nil"/>
              <w:left w:val="nil"/>
              <w:bottom w:val="single" w:sz="8" w:space="0" w:color="auto"/>
              <w:right w:val="single" w:sz="8" w:space="0" w:color="auto"/>
            </w:tcBorders>
            <w:shd w:val="clear" w:color="auto" w:fill="auto"/>
            <w:noWrap/>
            <w:vAlign w:val="center"/>
            <w:hideMark/>
          </w:tcPr>
          <w:p w14:paraId="07E89517"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00AC390C"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0.64</w:t>
            </w:r>
          </w:p>
        </w:tc>
        <w:tc>
          <w:tcPr>
            <w:tcW w:w="1190" w:type="dxa"/>
            <w:tcBorders>
              <w:top w:val="nil"/>
              <w:left w:val="nil"/>
              <w:bottom w:val="single" w:sz="8" w:space="0" w:color="auto"/>
              <w:right w:val="single" w:sz="8" w:space="0" w:color="auto"/>
            </w:tcBorders>
            <w:shd w:val="clear" w:color="auto" w:fill="auto"/>
            <w:noWrap/>
            <w:vAlign w:val="center"/>
            <w:hideMark/>
          </w:tcPr>
          <w:p w14:paraId="6A1542D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34</w:t>
            </w:r>
          </w:p>
        </w:tc>
        <w:tc>
          <w:tcPr>
            <w:tcW w:w="1190" w:type="dxa"/>
            <w:tcBorders>
              <w:top w:val="nil"/>
              <w:left w:val="nil"/>
              <w:bottom w:val="single" w:sz="8" w:space="0" w:color="auto"/>
              <w:right w:val="single" w:sz="8" w:space="0" w:color="auto"/>
            </w:tcBorders>
            <w:shd w:val="clear" w:color="auto" w:fill="auto"/>
            <w:noWrap/>
            <w:vAlign w:val="center"/>
            <w:hideMark/>
          </w:tcPr>
          <w:p w14:paraId="4CB24F3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6F966BEA"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0.04</w:t>
            </w:r>
          </w:p>
        </w:tc>
        <w:tc>
          <w:tcPr>
            <w:tcW w:w="1190" w:type="dxa"/>
            <w:tcBorders>
              <w:top w:val="nil"/>
              <w:left w:val="nil"/>
              <w:bottom w:val="single" w:sz="8" w:space="0" w:color="auto"/>
              <w:right w:val="single" w:sz="8" w:space="0" w:color="auto"/>
            </w:tcBorders>
            <w:shd w:val="clear" w:color="auto" w:fill="auto"/>
            <w:noWrap/>
            <w:vAlign w:val="center"/>
            <w:hideMark/>
          </w:tcPr>
          <w:p w14:paraId="78B6D5E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193926A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7059BB44"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1C4D055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2013</w:t>
            </w:r>
          </w:p>
        </w:tc>
        <w:tc>
          <w:tcPr>
            <w:tcW w:w="1190" w:type="dxa"/>
            <w:tcBorders>
              <w:top w:val="nil"/>
              <w:left w:val="nil"/>
              <w:bottom w:val="single" w:sz="8" w:space="0" w:color="auto"/>
              <w:right w:val="single" w:sz="8" w:space="0" w:color="auto"/>
            </w:tcBorders>
            <w:shd w:val="clear" w:color="auto" w:fill="auto"/>
            <w:noWrap/>
            <w:vAlign w:val="center"/>
            <w:hideMark/>
          </w:tcPr>
          <w:p w14:paraId="51D3442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30EA930A"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0.64</w:t>
            </w:r>
          </w:p>
        </w:tc>
        <w:tc>
          <w:tcPr>
            <w:tcW w:w="1190" w:type="dxa"/>
            <w:tcBorders>
              <w:top w:val="nil"/>
              <w:left w:val="nil"/>
              <w:bottom w:val="single" w:sz="8" w:space="0" w:color="auto"/>
              <w:right w:val="single" w:sz="8" w:space="0" w:color="auto"/>
            </w:tcBorders>
            <w:shd w:val="clear" w:color="auto" w:fill="auto"/>
            <w:noWrap/>
            <w:vAlign w:val="center"/>
            <w:hideMark/>
          </w:tcPr>
          <w:p w14:paraId="3217BEAD"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0.34</w:t>
            </w:r>
          </w:p>
        </w:tc>
        <w:tc>
          <w:tcPr>
            <w:tcW w:w="1190" w:type="dxa"/>
            <w:tcBorders>
              <w:top w:val="nil"/>
              <w:left w:val="nil"/>
              <w:bottom w:val="single" w:sz="8" w:space="0" w:color="auto"/>
              <w:right w:val="single" w:sz="8" w:space="0" w:color="auto"/>
            </w:tcBorders>
            <w:shd w:val="clear" w:color="auto" w:fill="auto"/>
            <w:noWrap/>
            <w:vAlign w:val="center"/>
            <w:hideMark/>
          </w:tcPr>
          <w:p w14:paraId="53FAB6B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5441138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0.04</w:t>
            </w:r>
          </w:p>
        </w:tc>
        <w:tc>
          <w:tcPr>
            <w:tcW w:w="1190" w:type="dxa"/>
            <w:tcBorders>
              <w:top w:val="nil"/>
              <w:left w:val="nil"/>
              <w:bottom w:val="single" w:sz="8" w:space="0" w:color="auto"/>
              <w:right w:val="single" w:sz="8" w:space="0" w:color="auto"/>
            </w:tcBorders>
            <w:shd w:val="clear" w:color="auto" w:fill="auto"/>
            <w:noWrap/>
            <w:vAlign w:val="center"/>
            <w:hideMark/>
          </w:tcPr>
          <w:p w14:paraId="5F96011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18B4EFA1"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6AA1A50A"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3D72205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2014</w:t>
            </w:r>
          </w:p>
        </w:tc>
        <w:tc>
          <w:tcPr>
            <w:tcW w:w="1190" w:type="dxa"/>
            <w:tcBorders>
              <w:top w:val="nil"/>
              <w:left w:val="nil"/>
              <w:bottom w:val="single" w:sz="8" w:space="0" w:color="auto"/>
              <w:right w:val="single" w:sz="8" w:space="0" w:color="auto"/>
            </w:tcBorders>
            <w:shd w:val="clear" w:color="auto" w:fill="auto"/>
            <w:noWrap/>
            <w:vAlign w:val="center"/>
            <w:hideMark/>
          </w:tcPr>
          <w:p w14:paraId="5E50184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0.39</w:t>
            </w:r>
          </w:p>
        </w:tc>
        <w:tc>
          <w:tcPr>
            <w:tcW w:w="1483" w:type="dxa"/>
            <w:tcBorders>
              <w:top w:val="nil"/>
              <w:left w:val="nil"/>
              <w:bottom w:val="single" w:sz="8" w:space="0" w:color="auto"/>
              <w:right w:val="single" w:sz="8" w:space="0" w:color="auto"/>
            </w:tcBorders>
            <w:shd w:val="clear" w:color="auto" w:fill="auto"/>
            <w:noWrap/>
            <w:vAlign w:val="center"/>
            <w:hideMark/>
          </w:tcPr>
          <w:p w14:paraId="41BF3D3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0.53</w:t>
            </w:r>
          </w:p>
        </w:tc>
        <w:tc>
          <w:tcPr>
            <w:tcW w:w="1190" w:type="dxa"/>
            <w:tcBorders>
              <w:top w:val="nil"/>
              <w:left w:val="nil"/>
              <w:bottom w:val="single" w:sz="8" w:space="0" w:color="auto"/>
              <w:right w:val="single" w:sz="8" w:space="0" w:color="auto"/>
            </w:tcBorders>
            <w:shd w:val="clear" w:color="auto" w:fill="auto"/>
            <w:noWrap/>
            <w:vAlign w:val="center"/>
            <w:hideMark/>
          </w:tcPr>
          <w:p w14:paraId="609D663D"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0.41</w:t>
            </w:r>
          </w:p>
        </w:tc>
        <w:tc>
          <w:tcPr>
            <w:tcW w:w="1190" w:type="dxa"/>
            <w:tcBorders>
              <w:top w:val="nil"/>
              <w:left w:val="nil"/>
              <w:bottom w:val="single" w:sz="8" w:space="0" w:color="auto"/>
              <w:right w:val="single" w:sz="8" w:space="0" w:color="auto"/>
            </w:tcBorders>
            <w:shd w:val="clear" w:color="auto" w:fill="auto"/>
            <w:noWrap/>
            <w:vAlign w:val="center"/>
            <w:hideMark/>
          </w:tcPr>
          <w:p w14:paraId="11680F8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0.13</w:t>
            </w:r>
          </w:p>
        </w:tc>
        <w:tc>
          <w:tcPr>
            <w:tcW w:w="1483" w:type="dxa"/>
            <w:tcBorders>
              <w:top w:val="nil"/>
              <w:left w:val="nil"/>
              <w:bottom w:val="single" w:sz="8" w:space="0" w:color="auto"/>
              <w:right w:val="single" w:sz="8" w:space="0" w:color="auto"/>
            </w:tcBorders>
            <w:shd w:val="clear" w:color="auto" w:fill="auto"/>
            <w:noWrap/>
            <w:vAlign w:val="center"/>
            <w:hideMark/>
          </w:tcPr>
          <w:p w14:paraId="6028479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044F69BD"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75983121" w14:textId="4D00FEC2" w:rsidR="00622896" w:rsidRPr="00622896" w:rsidRDefault="006F1B7D" w:rsidP="00622896">
            <w:pPr>
              <w:spacing w:after="0" w:line="240" w:lineRule="auto"/>
              <w:jc w:val="center"/>
              <w:rPr>
                <w:rFonts w:eastAsia="Times New Roman"/>
                <w:color w:val="000000"/>
                <w:szCs w:val="24"/>
                <w:lang w:val="en-GB" w:eastAsia="en-GB"/>
              </w:rPr>
            </w:pPr>
            <w:r>
              <w:rPr>
                <w:rFonts w:eastAsia="Times New Roman"/>
                <w:color w:val="000000"/>
                <w:szCs w:val="24"/>
                <w:lang w:val="en-GB" w:eastAsia="en-GB"/>
              </w:rPr>
              <w:fldChar w:fldCharType="begin"/>
            </w:r>
            <w:r w:rsidR="00B57A1E">
              <w:rPr>
                <w:rFonts w:eastAsia="Times New Roman"/>
                <w:color w:val="000000"/>
                <w:szCs w:val="24"/>
                <w:lang w:val="en-GB" w:eastAsia="en-GB"/>
              </w:rPr>
              <w:instrText xml:space="preserve"> ADDIN ZOTERO_ITEM CSL_CITATION {"citationID":"yLesJjxv","properties":{"formattedCitation":"[48]","plainCitation":"[48]","noteIndex":0},"citationItems":[{"id":55,"uris":["http://zotero.org/users/584652/items/AVDBAHIW"],"uri":["http://zotero.org/users/584652/items/AVDBAHIW"],"itemData":{"id":55,"type":"article","note":"00000","publisher":"Ghana Statistical Service","title":"Ghana Demographic and Health Survey,2014","URL":"http://dhsprogram.com/what-we-do/survey/survey-display-437.cfm","author":[{"literal":"Ghana Statistical Service"}],"accessed":{"date-parts":[["2015",12,23]]},"issued":{"date-parts":[["2014"]]}}}],"schema":"https://github.com/citation-style-language/schema/raw/master/csl-citation.json"} </w:instrText>
            </w:r>
            <w:r>
              <w:rPr>
                <w:rFonts w:eastAsia="Times New Roman"/>
                <w:color w:val="000000"/>
                <w:szCs w:val="24"/>
                <w:lang w:val="en-GB" w:eastAsia="en-GB"/>
              </w:rPr>
              <w:fldChar w:fldCharType="separate"/>
            </w:r>
            <w:r w:rsidR="00B57A1E" w:rsidRPr="00B57A1E">
              <w:t>[48]</w:t>
            </w:r>
            <w:r>
              <w:rPr>
                <w:rFonts w:eastAsia="Times New Roman"/>
                <w:color w:val="000000"/>
                <w:szCs w:val="24"/>
                <w:lang w:val="en-GB" w:eastAsia="en-GB"/>
              </w:rPr>
              <w:fldChar w:fldCharType="end"/>
            </w:r>
          </w:p>
        </w:tc>
      </w:tr>
      <w:tr w:rsidR="00622896" w:rsidRPr="00622896" w14:paraId="1B8CD148"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564559C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2015</w:t>
            </w:r>
          </w:p>
        </w:tc>
        <w:tc>
          <w:tcPr>
            <w:tcW w:w="1190" w:type="dxa"/>
            <w:tcBorders>
              <w:top w:val="nil"/>
              <w:left w:val="nil"/>
              <w:bottom w:val="single" w:sz="8" w:space="0" w:color="auto"/>
              <w:right w:val="single" w:sz="8" w:space="0" w:color="auto"/>
            </w:tcBorders>
            <w:shd w:val="clear" w:color="auto" w:fill="auto"/>
            <w:noWrap/>
            <w:vAlign w:val="center"/>
            <w:hideMark/>
          </w:tcPr>
          <w:p w14:paraId="3D913B3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0.39</w:t>
            </w:r>
          </w:p>
        </w:tc>
        <w:tc>
          <w:tcPr>
            <w:tcW w:w="1483" w:type="dxa"/>
            <w:tcBorders>
              <w:top w:val="nil"/>
              <w:left w:val="nil"/>
              <w:bottom w:val="single" w:sz="8" w:space="0" w:color="auto"/>
              <w:right w:val="single" w:sz="8" w:space="0" w:color="auto"/>
            </w:tcBorders>
            <w:shd w:val="clear" w:color="auto" w:fill="auto"/>
            <w:noWrap/>
            <w:vAlign w:val="center"/>
            <w:hideMark/>
          </w:tcPr>
          <w:p w14:paraId="079ABC94"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0.53</w:t>
            </w:r>
          </w:p>
        </w:tc>
        <w:tc>
          <w:tcPr>
            <w:tcW w:w="1190" w:type="dxa"/>
            <w:tcBorders>
              <w:top w:val="nil"/>
              <w:left w:val="nil"/>
              <w:bottom w:val="single" w:sz="8" w:space="0" w:color="auto"/>
              <w:right w:val="single" w:sz="8" w:space="0" w:color="auto"/>
            </w:tcBorders>
            <w:shd w:val="clear" w:color="auto" w:fill="auto"/>
            <w:noWrap/>
            <w:vAlign w:val="center"/>
            <w:hideMark/>
          </w:tcPr>
          <w:p w14:paraId="56412154"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0.41</w:t>
            </w:r>
          </w:p>
        </w:tc>
        <w:tc>
          <w:tcPr>
            <w:tcW w:w="1190" w:type="dxa"/>
            <w:tcBorders>
              <w:top w:val="nil"/>
              <w:left w:val="nil"/>
              <w:bottom w:val="single" w:sz="8" w:space="0" w:color="auto"/>
              <w:right w:val="single" w:sz="8" w:space="0" w:color="auto"/>
            </w:tcBorders>
            <w:shd w:val="clear" w:color="auto" w:fill="auto"/>
            <w:noWrap/>
            <w:vAlign w:val="center"/>
            <w:hideMark/>
          </w:tcPr>
          <w:p w14:paraId="1BA869C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0.13</w:t>
            </w:r>
          </w:p>
        </w:tc>
        <w:tc>
          <w:tcPr>
            <w:tcW w:w="1483" w:type="dxa"/>
            <w:tcBorders>
              <w:top w:val="nil"/>
              <w:left w:val="nil"/>
              <w:bottom w:val="single" w:sz="8" w:space="0" w:color="auto"/>
              <w:right w:val="single" w:sz="8" w:space="0" w:color="auto"/>
            </w:tcBorders>
            <w:shd w:val="clear" w:color="auto" w:fill="auto"/>
            <w:noWrap/>
            <w:vAlign w:val="center"/>
            <w:hideMark/>
          </w:tcPr>
          <w:p w14:paraId="26EE13F1"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167FBD9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3D986CA5"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4448ECBB"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04457AB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2016</w:t>
            </w:r>
          </w:p>
        </w:tc>
        <w:tc>
          <w:tcPr>
            <w:tcW w:w="1190" w:type="dxa"/>
            <w:tcBorders>
              <w:top w:val="nil"/>
              <w:left w:val="nil"/>
              <w:bottom w:val="single" w:sz="8" w:space="0" w:color="auto"/>
              <w:right w:val="single" w:sz="8" w:space="0" w:color="auto"/>
            </w:tcBorders>
            <w:shd w:val="clear" w:color="auto" w:fill="auto"/>
            <w:noWrap/>
            <w:vAlign w:val="center"/>
            <w:hideMark/>
          </w:tcPr>
          <w:p w14:paraId="78829EB7"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0.66</w:t>
            </w:r>
          </w:p>
        </w:tc>
        <w:tc>
          <w:tcPr>
            <w:tcW w:w="1483" w:type="dxa"/>
            <w:tcBorders>
              <w:top w:val="nil"/>
              <w:left w:val="nil"/>
              <w:bottom w:val="single" w:sz="8" w:space="0" w:color="auto"/>
              <w:right w:val="single" w:sz="8" w:space="0" w:color="auto"/>
            </w:tcBorders>
            <w:shd w:val="clear" w:color="auto" w:fill="auto"/>
            <w:noWrap/>
            <w:vAlign w:val="center"/>
            <w:hideMark/>
          </w:tcPr>
          <w:p w14:paraId="460FCE9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0.51</w:t>
            </w:r>
          </w:p>
        </w:tc>
        <w:tc>
          <w:tcPr>
            <w:tcW w:w="1190" w:type="dxa"/>
            <w:tcBorders>
              <w:top w:val="nil"/>
              <w:left w:val="nil"/>
              <w:bottom w:val="single" w:sz="8" w:space="0" w:color="auto"/>
              <w:right w:val="single" w:sz="8" w:space="0" w:color="auto"/>
            </w:tcBorders>
            <w:shd w:val="clear" w:color="auto" w:fill="auto"/>
            <w:noWrap/>
            <w:vAlign w:val="center"/>
            <w:hideMark/>
          </w:tcPr>
          <w:p w14:paraId="67743C5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w:t>
            </w:r>
          </w:p>
        </w:tc>
        <w:tc>
          <w:tcPr>
            <w:tcW w:w="1190" w:type="dxa"/>
            <w:tcBorders>
              <w:top w:val="nil"/>
              <w:left w:val="nil"/>
              <w:bottom w:val="single" w:sz="8" w:space="0" w:color="auto"/>
              <w:right w:val="single" w:sz="8" w:space="0" w:color="auto"/>
            </w:tcBorders>
            <w:shd w:val="clear" w:color="auto" w:fill="auto"/>
            <w:noWrap/>
            <w:vAlign w:val="center"/>
            <w:hideMark/>
          </w:tcPr>
          <w:p w14:paraId="713C6B4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0.17</w:t>
            </w:r>
          </w:p>
        </w:tc>
        <w:tc>
          <w:tcPr>
            <w:tcW w:w="1483" w:type="dxa"/>
            <w:tcBorders>
              <w:top w:val="nil"/>
              <w:left w:val="nil"/>
              <w:bottom w:val="single" w:sz="8" w:space="0" w:color="auto"/>
              <w:right w:val="single" w:sz="8" w:space="0" w:color="auto"/>
            </w:tcBorders>
            <w:shd w:val="clear" w:color="auto" w:fill="auto"/>
            <w:noWrap/>
            <w:vAlign w:val="center"/>
            <w:hideMark/>
          </w:tcPr>
          <w:p w14:paraId="35ECD5DE"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59D5735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6CB70508" w14:textId="1DF8580C" w:rsidR="00622896" w:rsidRPr="00622896" w:rsidRDefault="006F1B7D" w:rsidP="00622896">
            <w:pPr>
              <w:spacing w:after="0" w:line="240" w:lineRule="auto"/>
              <w:jc w:val="center"/>
              <w:rPr>
                <w:rFonts w:eastAsia="Times New Roman"/>
                <w:color w:val="000000"/>
                <w:szCs w:val="24"/>
                <w:lang w:val="en-GB" w:eastAsia="en-GB"/>
              </w:rPr>
            </w:pPr>
            <w:r>
              <w:rPr>
                <w:rFonts w:eastAsia="Times New Roman"/>
                <w:color w:val="000000"/>
                <w:szCs w:val="24"/>
                <w:lang w:val="en-GB" w:eastAsia="en-GB"/>
              </w:rPr>
              <w:fldChar w:fldCharType="begin"/>
            </w:r>
            <w:r w:rsidR="0064214D">
              <w:rPr>
                <w:rFonts w:eastAsia="Times New Roman"/>
                <w:color w:val="000000"/>
                <w:szCs w:val="24"/>
                <w:lang w:val="en-GB" w:eastAsia="en-GB"/>
              </w:rPr>
              <w:instrText xml:space="preserve"> ADDIN ZOTERO_ITEM CSL_CITATION {"citationID":"1PMS06y7","properties":{"formattedCitation":"[19]","plainCitation":"[19]","noteIndex":0},"citationItems":[{"id":1398,"uris":["http://zotero.org/users/584652/items/Q4W7J7X3"],"uri":["http://zotero.org/users/584652/items/Q4W7J7X3"],"itemData":{"id":1398,"type":"article","abstract":"ICF.","publisher":"Accra, Ghana, and Rockville, Maryland, USA: GSS, GHS, and ICF","title":"Ghana Malaria Indictor Survey, 2016","URL":"www.DHSprogram.com","author":[{"family":"Ghana Statistical Service (GSS)","given":""},{"family":"Ghana Health Service (GHS)","given":""}],"issued":{"date-parts":[["2017"]]}}}],"schema":"https://github.com/citation-style-language/schema/raw/master/csl-citation.json"} </w:instrText>
            </w:r>
            <w:r>
              <w:rPr>
                <w:rFonts w:eastAsia="Times New Roman"/>
                <w:color w:val="000000"/>
                <w:szCs w:val="24"/>
                <w:lang w:val="en-GB" w:eastAsia="en-GB"/>
              </w:rPr>
              <w:fldChar w:fldCharType="separate"/>
            </w:r>
            <w:r w:rsidR="0064214D" w:rsidRPr="0064214D">
              <w:t>[19]</w:t>
            </w:r>
            <w:r>
              <w:rPr>
                <w:rFonts w:eastAsia="Times New Roman"/>
                <w:color w:val="000000"/>
                <w:szCs w:val="24"/>
                <w:lang w:val="en-GB" w:eastAsia="en-GB"/>
              </w:rPr>
              <w:fldChar w:fldCharType="end"/>
            </w:r>
          </w:p>
        </w:tc>
      </w:tr>
      <w:tr w:rsidR="00622896" w:rsidRPr="00622896" w14:paraId="42E5A7D1"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3CAEA045"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2017</w:t>
            </w:r>
          </w:p>
        </w:tc>
        <w:tc>
          <w:tcPr>
            <w:tcW w:w="1190" w:type="dxa"/>
            <w:tcBorders>
              <w:top w:val="nil"/>
              <w:left w:val="nil"/>
              <w:bottom w:val="single" w:sz="8" w:space="0" w:color="auto"/>
              <w:right w:val="single" w:sz="8" w:space="0" w:color="auto"/>
            </w:tcBorders>
            <w:shd w:val="clear" w:color="auto" w:fill="auto"/>
            <w:noWrap/>
            <w:vAlign w:val="center"/>
            <w:hideMark/>
          </w:tcPr>
          <w:p w14:paraId="124744D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0.66</w:t>
            </w:r>
          </w:p>
        </w:tc>
        <w:tc>
          <w:tcPr>
            <w:tcW w:w="1483" w:type="dxa"/>
            <w:tcBorders>
              <w:top w:val="nil"/>
              <w:left w:val="nil"/>
              <w:bottom w:val="single" w:sz="8" w:space="0" w:color="auto"/>
              <w:right w:val="single" w:sz="8" w:space="0" w:color="auto"/>
            </w:tcBorders>
            <w:shd w:val="clear" w:color="auto" w:fill="auto"/>
            <w:noWrap/>
            <w:vAlign w:val="center"/>
            <w:hideMark/>
          </w:tcPr>
          <w:p w14:paraId="5328DAC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0.51</w:t>
            </w:r>
          </w:p>
        </w:tc>
        <w:tc>
          <w:tcPr>
            <w:tcW w:w="1190" w:type="dxa"/>
            <w:tcBorders>
              <w:top w:val="nil"/>
              <w:left w:val="nil"/>
              <w:bottom w:val="single" w:sz="8" w:space="0" w:color="auto"/>
              <w:right w:val="single" w:sz="8" w:space="0" w:color="auto"/>
            </w:tcBorders>
            <w:shd w:val="clear" w:color="auto" w:fill="auto"/>
            <w:noWrap/>
            <w:vAlign w:val="center"/>
            <w:hideMark/>
          </w:tcPr>
          <w:p w14:paraId="615DC2A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w:t>
            </w:r>
          </w:p>
        </w:tc>
        <w:tc>
          <w:tcPr>
            <w:tcW w:w="1190" w:type="dxa"/>
            <w:tcBorders>
              <w:top w:val="nil"/>
              <w:left w:val="nil"/>
              <w:bottom w:val="single" w:sz="8" w:space="0" w:color="auto"/>
              <w:right w:val="single" w:sz="8" w:space="0" w:color="auto"/>
            </w:tcBorders>
            <w:shd w:val="clear" w:color="auto" w:fill="auto"/>
            <w:noWrap/>
            <w:vAlign w:val="center"/>
            <w:hideMark/>
          </w:tcPr>
          <w:p w14:paraId="65009F7C"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0.17</w:t>
            </w:r>
          </w:p>
        </w:tc>
        <w:tc>
          <w:tcPr>
            <w:tcW w:w="1483" w:type="dxa"/>
            <w:tcBorders>
              <w:top w:val="nil"/>
              <w:left w:val="nil"/>
              <w:bottom w:val="single" w:sz="8" w:space="0" w:color="auto"/>
              <w:right w:val="single" w:sz="8" w:space="0" w:color="auto"/>
            </w:tcBorders>
            <w:shd w:val="clear" w:color="auto" w:fill="auto"/>
            <w:noWrap/>
            <w:vAlign w:val="center"/>
            <w:hideMark/>
          </w:tcPr>
          <w:p w14:paraId="63F341B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062C27DA"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6701960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bl>
    <w:p w14:paraId="2D8F3990" w14:textId="77777777" w:rsidR="007E1F9B" w:rsidRPr="004C2A45" w:rsidRDefault="007E1F9B" w:rsidP="007E1F9B">
      <w:pPr>
        <w:spacing w:after="0" w:line="480" w:lineRule="auto"/>
        <w:jc w:val="both"/>
        <w:rPr>
          <w:rFonts w:eastAsia="Times New Roman"/>
          <w:szCs w:val="24"/>
        </w:rPr>
      </w:pPr>
    </w:p>
    <w:p w14:paraId="6AA02001" w14:textId="77777777" w:rsidR="007E1F9B" w:rsidRDefault="007E1F9B" w:rsidP="007E1F9B">
      <w:pPr>
        <w:spacing w:after="0" w:line="480" w:lineRule="auto"/>
        <w:jc w:val="both"/>
        <w:rPr>
          <w:rFonts w:eastAsia="Times New Roman"/>
          <w:szCs w:val="24"/>
        </w:rPr>
      </w:pPr>
      <w:r w:rsidRPr="004C2A45">
        <w:rPr>
          <w:rFonts w:eastAsia="Times New Roman"/>
          <w:szCs w:val="24"/>
        </w:rPr>
        <w:t>Data fitting therefore started from 2008 to 2017 and predictions made within the period 2018 to 2030. Various intervention scenarios were tested within the prediction period from 2018 to 2030 to ascertain their effectiveness in averting potential malaria cases across the different zones.</w:t>
      </w:r>
    </w:p>
    <w:p w14:paraId="1BF8A646" w14:textId="77777777" w:rsidR="007E1F9B" w:rsidRPr="004C2A45" w:rsidRDefault="007E1F9B" w:rsidP="007E1F9B">
      <w:pPr>
        <w:spacing w:after="0" w:line="480" w:lineRule="auto"/>
        <w:jc w:val="both"/>
        <w:rPr>
          <w:rFonts w:eastAsia="Times New Roman"/>
          <w:szCs w:val="24"/>
        </w:rPr>
      </w:pPr>
    </w:p>
    <w:p w14:paraId="2D0F9217"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Given the high dimensionality of the monthly aggregated counts of confirmed multiple categories of malaria cases from each ecological zone, direct parameter estimation through the computation of the likelihood was intractable or laborious if possible. For this reason, an Approximate Bayesian Computation (ABC) approach was adopted</w:t>
      </w:r>
      <w:r>
        <w:rPr>
          <w:rFonts w:eastAsia="Times New Roman"/>
          <w:szCs w:val="24"/>
        </w:rPr>
        <w:t xml:space="preserve"> for model calibration</w:t>
      </w:r>
      <w:r w:rsidRPr="004C2A45">
        <w:rPr>
          <w:rFonts w:eastAsia="Times New Roman"/>
          <w:szCs w:val="24"/>
        </w:rPr>
        <w:t>.</w:t>
      </w:r>
    </w:p>
    <w:p w14:paraId="49643AD8" w14:textId="72CAD778" w:rsidR="007E1F9B" w:rsidRDefault="007E1F9B" w:rsidP="007E1F9B">
      <w:pPr>
        <w:spacing w:after="0" w:line="480" w:lineRule="auto"/>
        <w:jc w:val="both"/>
        <w:rPr>
          <w:rFonts w:eastAsia="Times New Roman"/>
          <w:szCs w:val="24"/>
        </w:rPr>
      </w:pPr>
      <w:r w:rsidRPr="004C2A45">
        <w:rPr>
          <w:rFonts w:eastAsia="Times New Roman"/>
          <w:szCs w:val="24"/>
        </w:rPr>
        <w:lastRenderedPageBreak/>
        <w:t xml:space="preserve">Based on the Bayesian paradigm, estimates of the posterior distribution are generated through a stochastic sampling of the prior parameter distribution. This process affords the avoidance of calculating the likelihood function but enables estimation of model parameters for all three zones </w:t>
      </w:r>
      <w:r w:rsidRPr="004C2A45">
        <w:rPr>
          <w:rFonts w:eastAsia="Times New Roman"/>
          <w:szCs w:val="24"/>
        </w:rPr>
        <w:fldChar w:fldCharType="begin"/>
      </w:r>
      <w:r w:rsidR="00B57A1E">
        <w:rPr>
          <w:rFonts w:eastAsia="Times New Roman"/>
          <w:szCs w:val="24"/>
        </w:rPr>
        <w:instrText xml:space="preserve"> ADDIN ZOTERO_ITEM CSL_CITATION {"citationID":"cI1uVNQq","properties":{"formattedCitation":"[49,50]","plainCitation":"[49,50]","noteIndex":0},"citationItems":[{"id":1406,"uris":["http://zotero.org/users/584652/items/WWD6ZXGP"],"uri":["http://zotero.org/users/584652/items/WWD6ZXGP"],"itemData":{"id":1406,"type":"article-journal","abstract":"Statistical models are the traditional choice to test scientiﬁc theories when observations, processes or boundary conditions are subject to stochasticity. Many important systems in ecology and biology, however, are difﬁcult to capture with statistical models. Stochastic simulation models offer an alternative, but they were hitherto associated with a major disadvantage: their likelihood functions can usually not be calculated explicitly, and thus it is difﬁcult to couple them to well-established statistical theory such as maximum likelihood and Bayesian statistics. A number of new methods, among them Approximate Bayesian Computing and Pattern-Oriented Modelling, bypass this limitation. These methods share three main principles: aggregation of simulated and observed data via summary statistics, likelihood approximation based on the summary statistics, and efﬁcient sampling. We discuss principles as well as advantages and caveats of these methods, and demonstrate their potential for integrating stochastic simulation models into a uniﬁed framework for statistical modelling.","container-title":"Ecology Letters","DOI":"10.1111/j.1461-0248.2011.01640.x","ISSN":"1461023X","issue":"8","language":"en","page":"816-827","source":"Crossref","title":"Statistical inference for stochastic simulation models - theory and application: Inference for stochastic simulation models","title-short":"Statistical inference for stochastic simulation models - theory and application","volume":"14","author":[{"family":"Hartig","given":"Florian"},{"family":"Calabrese","given":"Justin M."},{"family":"Reineking","given":"Björn"},{"family":"Wiegand","given":"Thorsten"},{"family":"Huth","given":"Andreas"}],"issued":{"date-parts":[["2011",8]]}}},{"id":1405,"uris":["http://zotero.org/users/584652/items/3AWBN7CP"],"uri":["http://zotero.org/users/584652/items/3AWBN7CP"],"itemData":{"id":1405,"type":"article-journal","language":"en","page":"16","source":"Zotero","title":"Application of approximate Bayesian computation to estimate parameters in models of infectious disease spread on a network","author":[{"family":"Hermans","given":"Brock"}]}}],"schema":"https://github.com/citation-style-language/schema/raw/master/csl-citation.json"} </w:instrText>
      </w:r>
      <w:r w:rsidRPr="004C2A45">
        <w:rPr>
          <w:rFonts w:eastAsia="Times New Roman"/>
          <w:szCs w:val="24"/>
        </w:rPr>
        <w:fldChar w:fldCharType="separate"/>
      </w:r>
      <w:r w:rsidR="00B57A1E" w:rsidRPr="00B57A1E">
        <w:t>[49,50]</w:t>
      </w:r>
      <w:r w:rsidRPr="004C2A45">
        <w:rPr>
          <w:rFonts w:eastAsia="Times New Roman"/>
          <w:szCs w:val="24"/>
        </w:rPr>
        <w:fldChar w:fldCharType="end"/>
      </w:r>
      <w:r w:rsidRPr="004C2A45">
        <w:rPr>
          <w:rFonts w:eastAsia="Times New Roman"/>
          <w:szCs w:val="24"/>
        </w:rPr>
        <w:t>.</w:t>
      </w:r>
    </w:p>
    <w:p w14:paraId="25325D0B" w14:textId="77777777" w:rsidR="007E1F9B" w:rsidRPr="004C2A45" w:rsidRDefault="007E1F9B" w:rsidP="007E1F9B">
      <w:pPr>
        <w:spacing w:after="0" w:line="480" w:lineRule="auto"/>
        <w:jc w:val="both"/>
        <w:rPr>
          <w:rFonts w:eastAsia="Times New Roman"/>
          <w:szCs w:val="24"/>
        </w:rPr>
      </w:pPr>
    </w:p>
    <w:p w14:paraId="18282A0B"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In the Bayesian statistics framework, consider that the data (</w:t>
      </w:r>
      <w:r w:rsidRPr="004C2A45">
        <w:rPr>
          <w:rFonts w:eastAsia="Times New Roman"/>
          <w:b/>
          <w:i/>
          <w:szCs w:val="24"/>
        </w:rPr>
        <w:t>D</w:t>
      </w:r>
      <w:r w:rsidRPr="004C2A45">
        <w:rPr>
          <w:rFonts w:eastAsia="Times New Roman"/>
          <w:szCs w:val="24"/>
        </w:rPr>
        <w:t>), given a set of parameters (θo) , generated by the model (</w:t>
      </w:r>
      <w:r w:rsidRPr="004C2A45">
        <w:rPr>
          <w:rFonts w:eastAsia="Times New Roman"/>
          <w:b/>
          <w:i/>
          <w:szCs w:val="24"/>
        </w:rPr>
        <w:t>M</w:t>
      </w:r>
      <w:r w:rsidRPr="004C2A45">
        <w:rPr>
          <w:rFonts w:eastAsia="Times New Roman"/>
          <w:szCs w:val="24"/>
        </w:rPr>
        <w:t xml:space="preserve">) is denoted by </w:t>
      </w:r>
    </w:p>
    <w:p w14:paraId="57E1A091" w14:textId="312CEA82" w:rsidR="007E1F9B" w:rsidRPr="004C2A45" w:rsidRDefault="007E1F9B" w:rsidP="007E1F9B">
      <w:pPr>
        <w:spacing w:after="0" w:line="480" w:lineRule="auto"/>
        <w:jc w:val="center"/>
        <w:rPr>
          <w:rFonts w:eastAsia="Times New Roman"/>
          <w:szCs w:val="24"/>
        </w:rPr>
      </w:pPr>
      <m:oMath>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r>
              <m:rPr>
                <m:sty m:val="p"/>
              </m:rPr>
              <w:rPr>
                <w:rFonts w:ascii="Cambria Math" w:eastAsia="Times New Roman" w:hAnsi="Cambria Math"/>
                <w:sz w:val="28"/>
                <w:szCs w:val="28"/>
              </w:rPr>
              <m:t>|</m:t>
            </m:r>
            <m:r>
              <m:rPr>
                <m:sty m:val="b"/>
              </m:rPr>
              <w:rPr>
                <w:rFonts w:ascii="Cambria Math" w:eastAsia="Times New Roman" w:hAnsi="Cambria Math"/>
                <w:sz w:val="28"/>
                <w:szCs w:val="28"/>
              </w:rPr>
              <m:t>D</m:t>
            </m:r>
          </m:e>
        </m:d>
        <m:r>
          <m:rPr>
            <m:sty m:val="p"/>
          </m:rPr>
          <w:rPr>
            <w:rFonts w:ascii="Cambria Math" w:eastAsia="Times New Roman" w:hAnsi="Cambria Math"/>
            <w:sz w:val="28"/>
            <w:szCs w:val="28"/>
          </w:rPr>
          <m:t xml:space="preserve">= </m:t>
        </m:r>
        <m:f>
          <m:fPr>
            <m:ctrlPr>
              <w:rPr>
                <w:rFonts w:ascii="Cambria Math" w:eastAsia="Times New Roman" w:hAnsi="Cambria Math"/>
                <w:sz w:val="28"/>
                <w:szCs w:val="28"/>
              </w:rPr>
            </m:ctrlPr>
          </m:fPr>
          <m:num>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b"/>
                      </m:rPr>
                      <w:rPr>
                        <w:rFonts w:ascii="Cambria Math" w:eastAsia="Times New Roman" w:hAnsi="Cambria Math"/>
                        <w:sz w:val="28"/>
                        <w:szCs w:val="28"/>
                      </w:rPr>
                      <m:t>D</m:t>
                    </m:r>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e>
            </m:d>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π</m:t>
                    </m:r>
                  </m:sub>
                </m:sSub>
              </m:e>
            </m:d>
          </m:num>
          <m:den>
            <m:r>
              <m:rPr>
                <m:sty m:val="p"/>
              </m:rPr>
              <w:rPr>
                <w:rFonts w:ascii="Cambria Math" w:eastAsia="Times New Roman" w:hAnsi="Cambria Math"/>
                <w:sz w:val="28"/>
                <w:szCs w:val="28"/>
              </w:rPr>
              <m:t>p</m:t>
            </m:r>
            <m:d>
              <m:dPr>
                <m:ctrlPr>
                  <w:rPr>
                    <w:rFonts w:ascii="Cambria Math" w:eastAsia="Times New Roman" w:hAnsi="Cambria Math"/>
                    <w:sz w:val="28"/>
                    <w:szCs w:val="28"/>
                  </w:rPr>
                </m:ctrlPr>
              </m:dPr>
              <m:e>
                <m:r>
                  <m:rPr>
                    <m:sty m:val="b"/>
                  </m:rPr>
                  <w:rPr>
                    <w:rFonts w:ascii="Cambria Math" w:eastAsia="Times New Roman" w:hAnsi="Cambria Math"/>
                    <w:sz w:val="28"/>
                    <w:szCs w:val="28"/>
                  </w:rPr>
                  <m:t>D</m:t>
                </m:r>
              </m:e>
            </m:d>
          </m:den>
        </m:f>
      </m:oMath>
      <w:r>
        <w:rPr>
          <w:rFonts w:eastAsia="Times New Roman"/>
          <w:sz w:val="28"/>
          <w:szCs w:val="28"/>
        </w:rPr>
        <w:t xml:space="preserve">                     </w:t>
      </w:r>
      <w:r w:rsidRPr="004C2A45">
        <w:rPr>
          <w:rFonts w:eastAsia="Times New Roman"/>
          <w:szCs w:val="24"/>
        </w:rPr>
        <w:t>(3)</w:t>
      </w:r>
    </w:p>
    <w:p w14:paraId="05D9B9D7" w14:textId="77777777" w:rsidR="007E1F9B" w:rsidRPr="004C2A45" w:rsidRDefault="007E1F9B" w:rsidP="007E1F9B">
      <w:pPr>
        <w:spacing w:after="0" w:line="480" w:lineRule="auto"/>
        <w:jc w:val="center"/>
        <w:rPr>
          <w:rFonts w:eastAsia="Times New Roman"/>
          <w:szCs w:val="24"/>
        </w:rPr>
      </w:pPr>
      <w:r w:rsidRPr="004C2A45">
        <w:rPr>
          <w:rFonts w:eastAsia="Times New Roman"/>
          <w:szCs w:val="24"/>
        </w:rPr>
        <w:t>Where</w:t>
      </w:r>
    </w:p>
    <w:p w14:paraId="0CBB1472" w14:textId="77777777" w:rsidR="007E1F9B" w:rsidRPr="004C2A45" w:rsidRDefault="007E1F9B" w:rsidP="007E1F9B">
      <w:pPr>
        <w:spacing w:after="0" w:line="480" w:lineRule="auto"/>
        <w:jc w:val="center"/>
        <w:rPr>
          <w:rFonts w:eastAsia="Times New Roman"/>
          <w:szCs w:val="24"/>
        </w:rPr>
      </w:pPr>
      <m:oMath>
        <m:r>
          <m:rPr>
            <m:sty m:val="p"/>
          </m:rPr>
          <w:rPr>
            <w:rFonts w:ascii="Cambria Math" w:eastAsia="Times New Roman" w:hAnsi="Cambria Math"/>
            <w:sz w:val="28"/>
            <w:szCs w:val="28"/>
          </w:rPr>
          <m:t>p</m:t>
        </m:r>
        <m:d>
          <m:dPr>
            <m:ctrlPr>
              <w:rPr>
                <w:rFonts w:ascii="Cambria Math" w:eastAsia="Times New Roman" w:hAnsi="Cambria Math"/>
                <w:sz w:val="28"/>
                <w:szCs w:val="28"/>
              </w:rPr>
            </m:ctrlPr>
          </m:dPr>
          <m:e>
            <m:r>
              <m:rPr>
                <m:sty m:val="b"/>
              </m:rPr>
              <w:rPr>
                <w:rFonts w:ascii="Cambria Math" w:eastAsia="Times New Roman" w:hAnsi="Cambria Math"/>
                <w:sz w:val="28"/>
                <w:szCs w:val="28"/>
              </w:rPr>
              <m:t>D</m:t>
            </m:r>
          </m:e>
        </m:d>
        <m:r>
          <m:rPr>
            <m:sty m:val="p"/>
          </m:rPr>
          <w:rPr>
            <w:rFonts w:ascii="Cambria Math" w:eastAsia="Times New Roman" w:hAnsi="Cambria Math"/>
            <w:sz w:val="28"/>
            <w:szCs w:val="28"/>
          </w:rPr>
          <m:t>=</m:t>
        </m:r>
        <m:nary>
          <m:naryPr>
            <m:limLoc m:val="undOvr"/>
            <m:subHide m:val="1"/>
            <m:supHide m:val="1"/>
            <m:ctrlPr>
              <w:rPr>
                <w:rFonts w:ascii="Cambria Math" w:eastAsia="Times New Roman" w:hAnsi="Cambria Math"/>
                <w:sz w:val="28"/>
                <w:szCs w:val="28"/>
              </w:rPr>
            </m:ctrlPr>
          </m:naryPr>
          <m:sub/>
          <m:sup/>
          <m:e>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b"/>
                      </m:rPr>
                      <w:rPr>
                        <w:rFonts w:ascii="Cambria Math" w:eastAsia="Times New Roman" w:hAnsi="Cambria Math"/>
                        <w:sz w:val="28"/>
                        <w:szCs w:val="28"/>
                      </w:rPr>
                      <m:t>D</m:t>
                    </m:r>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e>
            </m:d>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π</m:t>
                    </m:r>
                  </m:sub>
                </m:sSub>
              </m:e>
            </m:d>
            <m:r>
              <m:rPr>
                <m:sty m:val="p"/>
              </m:rPr>
              <w:rPr>
                <w:rFonts w:ascii="Cambria Math" w:eastAsia="Times New Roman" w:hAnsi="Cambria Math"/>
                <w:sz w:val="28"/>
                <w:szCs w:val="28"/>
              </w:rPr>
              <m:t>d</m:t>
            </m:r>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e>
        </m:nary>
      </m:oMath>
      <w:r>
        <w:rPr>
          <w:rFonts w:eastAsia="Times New Roman"/>
          <w:sz w:val="28"/>
          <w:szCs w:val="28"/>
        </w:rPr>
        <w:t xml:space="preserve">           </w:t>
      </w:r>
      <w:r w:rsidRPr="004C2A45">
        <w:rPr>
          <w:rFonts w:eastAsia="Times New Roman"/>
          <w:sz w:val="28"/>
          <w:szCs w:val="28"/>
        </w:rPr>
        <w:t xml:space="preserve"> </w:t>
      </w:r>
      <w:r w:rsidRPr="004C2A45">
        <w:rPr>
          <w:rFonts w:eastAsia="Times New Roman"/>
          <w:szCs w:val="24"/>
        </w:rPr>
        <w:t>(4)</w:t>
      </w:r>
    </w:p>
    <w:p w14:paraId="000C1AC1"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 xml:space="preserve">and </w:t>
      </w:r>
      <m:oMath>
        <m:sSub>
          <m:sSubPr>
            <m:ctrlPr>
              <w:rPr>
                <w:rFonts w:ascii="Cambria Math" w:eastAsia="Times New Roman" w:hAnsi="Cambria Math"/>
                <w:i/>
                <w:sz w:val="28"/>
                <w:szCs w:val="28"/>
              </w:rPr>
            </m:ctrlPr>
          </m:sSubPr>
          <m:e>
            <m:r>
              <w:rPr>
                <w:rFonts w:ascii="Cambria Math" w:eastAsia="Times New Roman" w:hAnsi="Cambria Math"/>
                <w:sz w:val="28"/>
                <w:szCs w:val="28"/>
              </w:rPr>
              <m:t>θ</m:t>
            </m:r>
          </m:e>
          <m:sub>
            <m:r>
              <w:rPr>
                <w:rFonts w:ascii="Cambria Math" w:eastAsia="Times New Roman" w:hAnsi="Cambria Math"/>
                <w:sz w:val="28"/>
                <w:szCs w:val="28"/>
              </w:rPr>
              <m:t>π</m:t>
            </m:r>
          </m:sub>
        </m:sSub>
      </m:oMath>
      <w:r w:rsidRPr="004C2A45">
        <w:rPr>
          <w:rFonts w:eastAsia="Times New Roman"/>
          <w:szCs w:val="24"/>
        </w:rPr>
        <w:t xml:space="preserve">  are priors or initial knowledge of the parameters of the model. Since Equation (4) is a normalising constant and </w:t>
      </w:r>
      <m:oMath>
        <m:r>
          <w:rPr>
            <w:rFonts w:ascii="Cambria Math" w:eastAsia="Times New Roman" w:hAnsi="Cambria Math"/>
            <w:szCs w:val="24"/>
          </w:rPr>
          <m:t>p</m:t>
        </m:r>
        <m:d>
          <m:dPr>
            <m:ctrlPr>
              <w:rPr>
                <w:rFonts w:ascii="Cambria Math" w:eastAsia="Times New Roman" w:hAnsi="Cambria Math"/>
                <w:i/>
                <w:szCs w:val="24"/>
              </w:rPr>
            </m:ctrlPr>
          </m:dPr>
          <m:e>
            <m:sSub>
              <m:sSubPr>
                <m:ctrlPr>
                  <w:rPr>
                    <w:rFonts w:ascii="Cambria Math" w:eastAsia="Times New Roman" w:hAnsi="Cambria Math"/>
                    <w:i/>
                    <w:szCs w:val="24"/>
                  </w:rPr>
                </m:ctrlPr>
              </m:sSubPr>
              <m:e>
                <m:r>
                  <w:rPr>
                    <w:rFonts w:ascii="Cambria Math" w:eastAsia="Times New Roman" w:hAnsi="Cambria Math"/>
                    <w:szCs w:val="24"/>
                  </w:rPr>
                  <m:t>θ</m:t>
                </m:r>
              </m:e>
              <m:sub>
                <m:r>
                  <w:rPr>
                    <w:rFonts w:ascii="Cambria Math" w:eastAsia="Times New Roman" w:hAnsi="Cambria Math"/>
                    <w:szCs w:val="24"/>
                  </w:rPr>
                  <m:t>o</m:t>
                </m:r>
              </m:sub>
            </m:sSub>
            <m:r>
              <w:rPr>
                <w:rFonts w:ascii="Cambria Math" w:eastAsia="Times New Roman" w:hAnsi="Cambria Math"/>
                <w:szCs w:val="24"/>
              </w:rPr>
              <m:t>|</m:t>
            </m:r>
            <m:r>
              <m:rPr>
                <m:sty m:val="bi"/>
              </m:rPr>
              <w:rPr>
                <w:rFonts w:ascii="Cambria Math" w:eastAsia="Times New Roman" w:hAnsi="Cambria Math"/>
                <w:szCs w:val="24"/>
              </w:rPr>
              <m:t>D</m:t>
            </m:r>
          </m:e>
        </m:d>
      </m:oMath>
      <w:r w:rsidRPr="004C2A45">
        <w:rPr>
          <w:rFonts w:eastAsia="Times New Roman"/>
          <w:szCs w:val="24"/>
        </w:rPr>
        <w:t xml:space="preserve"> is the posterior density and given that </w:t>
      </w:r>
      <m:oMath>
        <m:r>
          <w:rPr>
            <w:rFonts w:ascii="Cambria Math" w:eastAsia="Times New Roman" w:hAnsi="Cambria Math"/>
            <w:szCs w:val="24"/>
          </w:rPr>
          <m:t>p</m:t>
        </m:r>
        <m:d>
          <m:dPr>
            <m:ctrlPr>
              <w:rPr>
                <w:rFonts w:ascii="Cambria Math" w:eastAsia="Times New Roman" w:hAnsi="Cambria Math"/>
                <w:i/>
                <w:szCs w:val="24"/>
              </w:rPr>
            </m:ctrlPr>
          </m:dPr>
          <m:e>
            <m:sSub>
              <m:sSubPr>
                <m:ctrlPr>
                  <w:rPr>
                    <w:rFonts w:ascii="Cambria Math" w:eastAsia="Times New Roman" w:hAnsi="Cambria Math"/>
                    <w:i/>
                    <w:szCs w:val="24"/>
                  </w:rPr>
                </m:ctrlPr>
              </m:sSubPr>
              <m:e>
                <m:r>
                  <m:rPr>
                    <m:sty m:val="bi"/>
                  </m:rPr>
                  <w:rPr>
                    <w:rFonts w:ascii="Cambria Math" w:eastAsia="Times New Roman" w:hAnsi="Cambria Math"/>
                    <w:szCs w:val="24"/>
                  </w:rPr>
                  <m:t>D</m:t>
                </m:r>
                <m:r>
                  <w:rPr>
                    <w:rFonts w:ascii="Cambria Math" w:eastAsia="Times New Roman" w:hAnsi="Cambria Math"/>
                    <w:szCs w:val="24"/>
                  </w:rPr>
                  <m:t>|θ</m:t>
                </m:r>
              </m:e>
              <m:sub>
                <m:r>
                  <w:rPr>
                    <w:rFonts w:ascii="Cambria Math" w:eastAsia="Times New Roman" w:hAnsi="Cambria Math"/>
                    <w:szCs w:val="24"/>
                  </w:rPr>
                  <m:t>o</m:t>
                </m:r>
              </m:sub>
            </m:sSub>
          </m:e>
        </m:d>
      </m:oMath>
      <w:r w:rsidRPr="004C2A45">
        <w:rPr>
          <w:rFonts w:eastAsia="Times New Roman"/>
          <w:szCs w:val="24"/>
        </w:rPr>
        <w:t xml:space="preserve"> is the likelihood, then the posterior density is proportional to the likelihood through</w:t>
      </w:r>
    </w:p>
    <w:p w14:paraId="6B6B2093" w14:textId="77777777" w:rsidR="007E1F9B" w:rsidRPr="004C2A45" w:rsidRDefault="007E1F9B" w:rsidP="007E1F9B">
      <w:pPr>
        <w:spacing w:after="0" w:line="480" w:lineRule="auto"/>
        <w:jc w:val="center"/>
        <w:rPr>
          <w:rFonts w:eastAsia="Times New Roman"/>
          <w:szCs w:val="24"/>
        </w:rPr>
      </w:pPr>
      <w:r w:rsidRPr="004C2A45">
        <w:rPr>
          <w:rFonts w:eastAsia="Times New Roman"/>
          <w:sz w:val="28"/>
          <w:szCs w:val="28"/>
        </w:rPr>
        <w:br/>
      </w:r>
      <m:oMath>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r>
              <m:rPr>
                <m:sty m:val="p"/>
              </m:rPr>
              <w:rPr>
                <w:rFonts w:ascii="Cambria Math" w:eastAsia="Times New Roman" w:hAnsi="Cambria Math"/>
                <w:sz w:val="28"/>
                <w:szCs w:val="28"/>
              </w:rPr>
              <m:t>|</m:t>
            </m:r>
            <m:r>
              <m:rPr>
                <m:sty m:val="b"/>
              </m:rPr>
              <w:rPr>
                <w:rFonts w:ascii="Cambria Math" w:eastAsia="Times New Roman" w:hAnsi="Cambria Math"/>
                <w:sz w:val="28"/>
                <w:szCs w:val="28"/>
              </w:rPr>
              <m:t>D</m:t>
            </m:r>
          </m:e>
        </m:d>
        <m:r>
          <m:rPr>
            <m:sty m:val="p"/>
          </m:rPr>
          <w:rPr>
            <w:rFonts w:ascii="Cambria Math" w:eastAsia="Times New Roman" w:hAnsi="Cambria Math"/>
            <w:sz w:val="28"/>
            <w:szCs w:val="28"/>
          </w:rPr>
          <m:t xml:space="preserve"> ∝p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b"/>
                  </m:rPr>
                  <w:rPr>
                    <w:rFonts w:ascii="Cambria Math" w:eastAsia="Times New Roman" w:hAnsi="Cambria Math"/>
                    <w:sz w:val="28"/>
                    <w:szCs w:val="28"/>
                  </w:rPr>
                  <m:t>D</m:t>
                </m:r>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e>
        </m:d>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π</m:t>
                </m:r>
              </m:sub>
            </m:sSub>
          </m:e>
        </m:d>
      </m:oMath>
      <w:r w:rsidRPr="004C2A45">
        <w:rPr>
          <w:rFonts w:eastAsia="Times New Roman"/>
          <w:sz w:val="28"/>
          <w:szCs w:val="28"/>
        </w:rPr>
        <w:t xml:space="preserve"> </w:t>
      </w:r>
      <w:r>
        <w:rPr>
          <w:rFonts w:eastAsia="Times New Roman"/>
          <w:szCs w:val="24"/>
        </w:rPr>
        <w:t xml:space="preserve">              </w:t>
      </w:r>
      <w:r w:rsidRPr="004C2A45">
        <w:rPr>
          <w:rFonts w:eastAsia="Times New Roman"/>
          <w:szCs w:val="24"/>
        </w:rPr>
        <w:t xml:space="preserve">   (5)</w:t>
      </w:r>
    </w:p>
    <w:p w14:paraId="07CD85AB"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Equation (5) is evaluated stochastically following the steps below once summary statistic(s) is chosen for the observed data:</w:t>
      </w:r>
    </w:p>
    <w:p w14:paraId="728D9F59" w14:textId="77777777" w:rsidR="007E1F9B" w:rsidRPr="00880C0A" w:rsidRDefault="007E1F9B" w:rsidP="007E1F9B">
      <w:pPr>
        <w:pStyle w:val="ListParagraph"/>
        <w:numPr>
          <w:ilvl w:val="0"/>
          <w:numId w:val="12"/>
        </w:numPr>
        <w:spacing w:after="0" w:line="480" w:lineRule="auto"/>
        <w:jc w:val="both"/>
        <w:rPr>
          <w:rFonts w:eastAsia="Times New Roman"/>
          <w:szCs w:val="24"/>
        </w:rPr>
      </w:pPr>
      <w:r w:rsidRPr="00880C0A">
        <w:rPr>
          <w:rFonts w:eastAsia="Times New Roman"/>
          <w:szCs w:val="24"/>
        </w:rPr>
        <w:t xml:space="preserve">Evaluate statistics for observed data </w:t>
      </w:r>
      <w:r w:rsidRPr="00880C0A">
        <w:rPr>
          <w:i/>
          <w:iCs/>
          <w:szCs w:val="24"/>
        </w:rPr>
        <w:t>D</w:t>
      </w:r>
      <w:r w:rsidRPr="00880C0A">
        <w:rPr>
          <w:i/>
          <w:iCs/>
          <w:szCs w:val="24"/>
          <w:vertAlign w:val="subscript"/>
        </w:rPr>
        <w:t>obs</w:t>
      </w:r>
      <w:r w:rsidRPr="00880C0A">
        <w:rPr>
          <w:szCs w:val="24"/>
        </w:rPr>
        <w:t xml:space="preserve"> </w:t>
      </w:r>
      <w:r>
        <w:rPr>
          <w:rFonts w:eastAsia="Times New Roman"/>
          <w:szCs w:val="24"/>
        </w:rPr>
        <w:t>to get observed</w:t>
      </w:r>
      <w:r w:rsidRPr="00880C0A">
        <w:rPr>
          <w:rFonts w:eastAsia="Times New Roman"/>
          <w:szCs w:val="24"/>
        </w:rPr>
        <w:t xml:space="preserve"> summary statistic, </w:t>
      </w:r>
      <w:r w:rsidRPr="00880C0A">
        <w:rPr>
          <w:rFonts w:eastAsia="Times New Roman"/>
          <w:i/>
          <w:szCs w:val="24"/>
        </w:rPr>
        <w:t>S</w:t>
      </w:r>
      <w:r w:rsidRPr="00880C0A">
        <w:rPr>
          <w:rFonts w:eastAsia="Times New Roman"/>
          <w:i/>
          <w:szCs w:val="24"/>
          <w:vertAlign w:val="subscript"/>
        </w:rPr>
        <w:t>obs</w:t>
      </w:r>
    </w:p>
    <w:p w14:paraId="3E271C4F" w14:textId="77777777" w:rsidR="007E1F9B" w:rsidRPr="00880C0A" w:rsidRDefault="007E1F9B" w:rsidP="007E1F9B">
      <w:pPr>
        <w:pStyle w:val="ListParagraph"/>
        <w:numPr>
          <w:ilvl w:val="0"/>
          <w:numId w:val="12"/>
        </w:numPr>
        <w:spacing w:after="0" w:line="480" w:lineRule="auto"/>
        <w:jc w:val="both"/>
      </w:pPr>
      <w:r w:rsidRPr="00880C0A">
        <w:t>Sample θ from the distribution of the priors</w:t>
      </w:r>
      <m:oMath>
        <m:r>
          <w:rPr>
            <w:rFonts w:ascii="Cambria Math" w:hAnsi="Cambria Math"/>
          </w:rPr>
          <m:t xml:space="preserve"> </m:t>
        </m:r>
        <m:r>
          <w:rPr>
            <w:rFonts w:ascii="Cambria Math" w:eastAsia="Times New Roman" w:hAnsi="Cambria Math"/>
          </w:rPr>
          <m:t>p</m:t>
        </m:r>
        <m:d>
          <m:dPr>
            <m:ctrlPr>
              <w:rPr>
                <w:rFonts w:ascii="Cambria Math" w:eastAsia="Times New Roman" w:hAnsi="Cambria Math"/>
                <w:i/>
              </w:rPr>
            </m:ctrlPr>
          </m:dPr>
          <m:e>
            <m:sSub>
              <m:sSubPr>
                <m:ctrlPr>
                  <w:rPr>
                    <w:rFonts w:ascii="Cambria Math" w:eastAsia="Times New Roman" w:hAnsi="Cambria Math"/>
                    <w:i/>
                    <w:sz w:val="28"/>
                    <w:szCs w:val="28"/>
                  </w:rPr>
                </m:ctrlPr>
              </m:sSubPr>
              <m:e>
                <m:r>
                  <w:rPr>
                    <w:rFonts w:ascii="Cambria Math" w:eastAsia="Times New Roman" w:hAnsi="Cambria Math"/>
                    <w:sz w:val="28"/>
                    <w:szCs w:val="28"/>
                  </w:rPr>
                  <m:t>θ</m:t>
                </m:r>
              </m:e>
              <m:sub>
                <m:r>
                  <w:rPr>
                    <w:rFonts w:ascii="Cambria Math" w:eastAsia="Times New Roman" w:hAnsi="Cambria Math"/>
                    <w:sz w:val="28"/>
                    <w:szCs w:val="28"/>
                  </w:rPr>
                  <m:t>π</m:t>
                </m:r>
              </m:sub>
            </m:sSub>
          </m:e>
        </m:d>
      </m:oMath>
      <w:r w:rsidRPr="00880C0A">
        <w:t>.</w:t>
      </w:r>
    </w:p>
    <w:p w14:paraId="7D75C9A7" w14:textId="77777777" w:rsidR="007E1F9B" w:rsidRPr="00880C0A" w:rsidRDefault="007E1F9B" w:rsidP="007E1F9B">
      <w:pPr>
        <w:pStyle w:val="ListParagraph"/>
        <w:numPr>
          <w:ilvl w:val="0"/>
          <w:numId w:val="12"/>
        </w:numPr>
        <w:autoSpaceDE w:val="0"/>
        <w:autoSpaceDN w:val="0"/>
        <w:adjustRightInd w:val="0"/>
        <w:spacing w:after="0" w:line="480" w:lineRule="auto"/>
        <w:jc w:val="both"/>
        <w:rPr>
          <w:szCs w:val="24"/>
        </w:rPr>
      </w:pPr>
      <w:r w:rsidRPr="00880C0A">
        <w:rPr>
          <w:szCs w:val="24"/>
        </w:rPr>
        <w:t xml:space="preserve">Simulate </w:t>
      </w:r>
      <w:r w:rsidRPr="00880C0A">
        <w:rPr>
          <w:i/>
          <w:iCs/>
          <w:szCs w:val="24"/>
        </w:rPr>
        <w:t>D</w:t>
      </w:r>
      <w:r w:rsidRPr="00880C0A">
        <w:rPr>
          <w:i/>
          <w:iCs/>
          <w:szCs w:val="24"/>
          <w:vertAlign w:val="subscript"/>
        </w:rPr>
        <w:t>sim</w:t>
      </w:r>
      <w:r w:rsidRPr="00880C0A">
        <w:rPr>
          <w:szCs w:val="24"/>
        </w:rPr>
        <w:t xml:space="preserve"> from the model </w:t>
      </w:r>
      <w:r w:rsidRPr="00880C0A">
        <w:rPr>
          <w:b/>
          <w:i/>
          <w:iCs/>
          <w:szCs w:val="24"/>
        </w:rPr>
        <w:t>M</w:t>
      </w:r>
      <w:r w:rsidRPr="00880C0A">
        <w:rPr>
          <w:i/>
          <w:iCs/>
          <w:szCs w:val="24"/>
        </w:rPr>
        <w:t xml:space="preserve"> </w:t>
      </w:r>
      <w:r w:rsidRPr="00880C0A">
        <w:rPr>
          <w:szCs w:val="24"/>
        </w:rPr>
        <w:t>with sampled parameters θ.</w:t>
      </w:r>
    </w:p>
    <w:p w14:paraId="2AC60C65" w14:textId="77777777" w:rsidR="007E1F9B" w:rsidRPr="00880C0A" w:rsidRDefault="007E1F9B" w:rsidP="007E1F9B">
      <w:pPr>
        <w:pStyle w:val="ListParagraph"/>
        <w:numPr>
          <w:ilvl w:val="0"/>
          <w:numId w:val="12"/>
        </w:numPr>
        <w:spacing w:after="0" w:line="480" w:lineRule="auto"/>
        <w:jc w:val="both"/>
      </w:pPr>
      <w:r w:rsidRPr="00880C0A">
        <w:t xml:space="preserve">Apply the chosen statistic on the simulated data </w:t>
      </w:r>
      <w:r w:rsidRPr="00880C0A">
        <w:rPr>
          <w:i/>
          <w:iCs/>
          <w:szCs w:val="24"/>
        </w:rPr>
        <w:t>D</w:t>
      </w:r>
      <w:r w:rsidRPr="00880C0A">
        <w:rPr>
          <w:i/>
          <w:iCs/>
          <w:szCs w:val="24"/>
          <w:vertAlign w:val="subscript"/>
        </w:rPr>
        <w:t>sim</w:t>
      </w:r>
      <w:r w:rsidRPr="00880C0A">
        <w:rPr>
          <w:szCs w:val="24"/>
        </w:rPr>
        <w:t xml:space="preserve"> </w:t>
      </w:r>
      <w:r w:rsidRPr="00880C0A">
        <w:t xml:space="preserve">to obtain </w:t>
      </w:r>
      <w:r w:rsidRPr="00880C0A">
        <w:rPr>
          <w:rFonts w:eastAsia="Times New Roman"/>
          <w:i/>
          <w:szCs w:val="24"/>
        </w:rPr>
        <w:t>S</w:t>
      </w:r>
      <w:r w:rsidRPr="00880C0A">
        <w:rPr>
          <w:rFonts w:eastAsia="Times New Roman"/>
          <w:i/>
          <w:szCs w:val="24"/>
          <w:vertAlign w:val="subscript"/>
        </w:rPr>
        <w:t>sim</w:t>
      </w:r>
    </w:p>
    <w:p w14:paraId="0AD65AEF" w14:textId="77777777" w:rsidR="007E1F9B" w:rsidRPr="00880C0A" w:rsidRDefault="007E1F9B" w:rsidP="007E1F9B">
      <w:pPr>
        <w:pStyle w:val="ListParagraph"/>
        <w:numPr>
          <w:ilvl w:val="0"/>
          <w:numId w:val="12"/>
        </w:numPr>
        <w:autoSpaceDE w:val="0"/>
        <w:autoSpaceDN w:val="0"/>
        <w:adjustRightInd w:val="0"/>
        <w:spacing w:after="0" w:line="480" w:lineRule="auto"/>
        <w:jc w:val="both"/>
        <w:rPr>
          <w:szCs w:val="24"/>
        </w:rPr>
      </w:pPr>
      <w:r w:rsidRPr="00880C0A">
        <w:rPr>
          <w:szCs w:val="24"/>
        </w:rPr>
        <w:t xml:space="preserve">Calculate </w:t>
      </w:r>
      <w:r>
        <w:rPr>
          <w:szCs w:val="24"/>
        </w:rPr>
        <w:t>a</w:t>
      </w:r>
      <w:r w:rsidRPr="00880C0A">
        <w:rPr>
          <w:szCs w:val="24"/>
        </w:rPr>
        <w:t xml:space="preserve"> distance metric </w:t>
      </w:r>
      <w:r w:rsidRPr="00880C0A">
        <w:rPr>
          <w:b/>
          <w:i/>
          <w:szCs w:val="24"/>
        </w:rPr>
        <w:t>d</w:t>
      </w:r>
      <w:r w:rsidRPr="00880C0A">
        <w:rPr>
          <w:szCs w:val="24"/>
        </w:rPr>
        <w:t xml:space="preserve"> (</w:t>
      </w:r>
      <w:r w:rsidRPr="00880C0A">
        <w:rPr>
          <w:i/>
          <w:iCs/>
          <w:szCs w:val="24"/>
        </w:rPr>
        <w:t>S</w:t>
      </w:r>
      <w:r w:rsidRPr="00880C0A">
        <w:rPr>
          <w:i/>
          <w:iCs/>
          <w:szCs w:val="24"/>
          <w:vertAlign w:val="subscript"/>
        </w:rPr>
        <w:t xml:space="preserve">sim </w:t>
      </w:r>
      <w:r w:rsidRPr="00880C0A">
        <w:rPr>
          <w:szCs w:val="24"/>
        </w:rPr>
        <w:t xml:space="preserve">, </w:t>
      </w:r>
      <w:r w:rsidRPr="00880C0A">
        <w:rPr>
          <w:i/>
          <w:iCs/>
          <w:szCs w:val="24"/>
        </w:rPr>
        <w:t>S</w:t>
      </w:r>
      <w:r w:rsidRPr="00880C0A">
        <w:rPr>
          <w:i/>
          <w:iCs/>
          <w:szCs w:val="24"/>
          <w:vertAlign w:val="subscript"/>
        </w:rPr>
        <w:t>obs</w:t>
      </w:r>
      <w:r w:rsidRPr="00880C0A">
        <w:rPr>
          <w:szCs w:val="24"/>
        </w:rPr>
        <w:t xml:space="preserve">) between </w:t>
      </w:r>
      <w:r w:rsidRPr="00880C0A">
        <w:rPr>
          <w:i/>
          <w:iCs/>
          <w:szCs w:val="24"/>
        </w:rPr>
        <w:t>S</w:t>
      </w:r>
      <w:r w:rsidRPr="00880C0A">
        <w:rPr>
          <w:i/>
          <w:iCs/>
          <w:szCs w:val="24"/>
          <w:vertAlign w:val="subscript"/>
        </w:rPr>
        <w:t>sim</w:t>
      </w:r>
      <w:r w:rsidRPr="00880C0A">
        <w:rPr>
          <w:szCs w:val="24"/>
        </w:rPr>
        <w:t xml:space="preserve"> and </w:t>
      </w:r>
      <w:r w:rsidRPr="00880C0A">
        <w:rPr>
          <w:i/>
          <w:iCs/>
          <w:szCs w:val="24"/>
        </w:rPr>
        <w:t>S</w:t>
      </w:r>
      <w:r w:rsidRPr="00880C0A">
        <w:rPr>
          <w:i/>
          <w:iCs/>
          <w:szCs w:val="24"/>
          <w:vertAlign w:val="subscript"/>
        </w:rPr>
        <w:t>obs</w:t>
      </w:r>
      <w:r w:rsidRPr="00880C0A">
        <w:rPr>
          <w:szCs w:val="24"/>
        </w:rPr>
        <w:t>.</w:t>
      </w:r>
    </w:p>
    <w:p w14:paraId="5C6B26F0" w14:textId="67EF639E" w:rsidR="007E1F9B" w:rsidRPr="00880C0A" w:rsidRDefault="007E1F9B" w:rsidP="007E1F9B">
      <w:pPr>
        <w:pStyle w:val="ListParagraph"/>
        <w:numPr>
          <w:ilvl w:val="0"/>
          <w:numId w:val="12"/>
        </w:numPr>
        <w:autoSpaceDE w:val="0"/>
        <w:autoSpaceDN w:val="0"/>
        <w:adjustRightInd w:val="0"/>
        <w:spacing w:after="0" w:line="480" w:lineRule="auto"/>
        <w:jc w:val="both"/>
        <w:rPr>
          <w:i/>
          <w:iCs/>
          <w:szCs w:val="24"/>
        </w:rPr>
      </w:pPr>
      <w:r w:rsidRPr="00880C0A">
        <w:rPr>
          <w:szCs w:val="24"/>
        </w:rPr>
        <w:t xml:space="preserve">Accept θ if </w:t>
      </w:r>
      <w:r w:rsidRPr="00880C0A">
        <w:rPr>
          <w:b/>
          <w:i/>
          <w:szCs w:val="24"/>
        </w:rPr>
        <w:t>d</w:t>
      </w:r>
      <w:r w:rsidRPr="00880C0A">
        <w:rPr>
          <w:szCs w:val="24"/>
        </w:rPr>
        <w:t xml:space="preserve"> &lt;= </w:t>
      </w:r>
      <w:r w:rsidRPr="00880C0A">
        <w:rPr>
          <w:b/>
          <w:i/>
          <w:szCs w:val="24"/>
        </w:rPr>
        <w:t>ε</w:t>
      </w:r>
      <w:r w:rsidRPr="00880C0A">
        <w:rPr>
          <w:szCs w:val="24"/>
        </w:rPr>
        <w:t xml:space="preserve"> and return to </w:t>
      </w:r>
      <w:r w:rsidRPr="00880C0A">
        <w:rPr>
          <w:i/>
          <w:iCs/>
          <w:szCs w:val="24"/>
        </w:rPr>
        <w:t xml:space="preserve">1. </w:t>
      </w:r>
      <w:r w:rsidRPr="00880C0A">
        <w:rPr>
          <w:i/>
          <w:iCs/>
          <w:szCs w:val="24"/>
        </w:rPr>
        <w:fldChar w:fldCharType="begin"/>
      </w:r>
      <w:r w:rsidR="00BC4921">
        <w:rPr>
          <w:i/>
          <w:iCs/>
          <w:szCs w:val="24"/>
        </w:rPr>
        <w:instrText xml:space="preserve"> ADDIN ZOTERO_ITEM CSL_CITATION {"citationID":"55DU15GR","properties":{"formattedCitation":"[49,51,52]","plainCitation":"[49,51,52]","noteIndex":0},"citationItems":[{"id":1406,"uris":["http://zotero.org/users/584652/items/WWD6ZXGP"],"uri":["http://zotero.org/users/584652/items/WWD6ZXGP"],"itemData":{"id":1406,"type":"article-journal","abstract":"Statistical models are the traditional choice to test scientiﬁc theories when observations, processes or boundary conditions are subject to stochasticity. Many important systems in ecology and biology, however, are difﬁcult to capture with statistical models. Stochastic simulation models offer an alternative, but they were hitherto associated with a major disadvantage: their likelihood functions can usually not be calculated explicitly, and thus it is difﬁcult to couple them to well-established statistical theory such as maximum likelihood and Bayesian statistics. A number of new methods, among them Approximate Bayesian Computing and Pattern-Oriented Modelling, bypass this limitation. These methods share three main principles: aggregation of simulated and observed data via summary statistics, likelihood approximation based on the summary statistics, and efﬁcient sampling. We discuss principles as well as advantages and caveats of these methods, and demonstrate their potential for integrating stochastic simulation models into a uniﬁed framework for statistical modelling.","container-title":"Ecology Letters","DOI":"10.1111/j.1461-0248.2011.01640.x","ISSN":"1461023X","issue":"8","language":"en","page":"816-827","source":"Crossref","title":"Statistical inference for stochastic simulation models - theory and application: Inference for stochastic simulation models","title-short":"Statistical inference for stochastic simulation models - theory and application","volume":"14","author":[{"family":"Hartig","given":"Florian"},{"family":"Calabrese","given":"Justin M."},{"family":"Reineking","given":"Björn"},{"family":"Wiegand","given":"Thorsten"},{"family":"Huth","given":"Andreas"}],"issued":{"date-parts":[["2011",8]]}}},{"id":1408,"uris":["http://zotero.org/users/584652/items/UCNN3ULK"],"uri":["http://zotero.org/users/584652/items/UCNN3ULK"],"itemData":{"id":1408,"type":"article-journal","container-title":"Proceedings of the National Academy of Sciences","DOI":"10.1073/pnas.0306899100","ISSN":"0027-8424, 1091-6490","issue":"26","language":"en","page":"15324-15328","source":"Crossref","title":"Markov chain Monte Carlo without likelihoods","volume":"100","author":[{"family":"Marjoram","given":"P."},{"family":"Molitor","given":"J."},{"family":"Plagnol","given":"V."},{"family":"Tavare","given":"S."}],"issued":{"date-parts":[["2003",12,23]]}}},{"id":1407,"uris":["http://zotero.org/users/584652/items/PMP7M8IE"],"uri":["http://zotero.org/users/584652/items/PMP7M8IE"],"itemData":{"id":1407,"type":"article-journal","abstract":"In the past 10 years a statistical technique, approximate Bayesian computation (ABC), has been developed that can be used to infer parameters and choose between models in the complicated scenarios that are often considered in the environmental sciences. For example, based on gene sequence and microsatellite data, the method has been used to choose between competing models of human demographic history as well as to infer growth rates, times of divergence, and other parameters. The method ﬁts naturally in the Bayesian inferential framework, and a brief overview is given of the key concepts. Three main approaches to ABC have been developed, and these are described and compared. Although the method arose in population genetics, ABC is increasingly used in other ﬁelds, including epidemiology, systems biology, ecology, and agent-based modeling, and many of these applications are brieﬂy described.","container-title":"Annual Review of Ecology, Evolution, and Systematics","DOI":"10.1146/annurev-ecolsys-102209-144621","ISSN":"1543-592X, 1545-2069","issue":"1","language":"en","page":"379-406","source":"Crossref","title":"Approximate Bayesian Computation in Evolution and Ecology","volume":"41","author":[{"family":"Beaumont","given":"Mark A."}],"issued":{"date-parts":[["2010",12]]}}}],"schema":"https://github.com/citation-style-language/schema/raw/master/csl-citation.json"} </w:instrText>
      </w:r>
      <w:r w:rsidRPr="00880C0A">
        <w:rPr>
          <w:i/>
          <w:iCs/>
          <w:szCs w:val="24"/>
        </w:rPr>
        <w:fldChar w:fldCharType="separate"/>
      </w:r>
      <w:r w:rsidR="00BC4921" w:rsidRPr="00BC4921">
        <w:t>[49,51,52]</w:t>
      </w:r>
      <w:r w:rsidRPr="00880C0A">
        <w:rPr>
          <w:i/>
          <w:iCs/>
          <w:szCs w:val="24"/>
        </w:rPr>
        <w:fldChar w:fldCharType="end"/>
      </w:r>
    </w:p>
    <w:p w14:paraId="43293CBF" w14:textId="77777777" w:rsidR="007E1F9B" w:rsidRPr="005837D3" w:rsidRDefault="007E1F9B" w:rsidP="007E1F9B">
      <w:pPr>
        <w:autoSpaceDE w:val="0"/>
        <w:autoSpaceDN w:val="0"/>
        <w:adjustRightInd w:val="0"/>
        <w:spacing w:after="0" w:line="480" w:lineRule="auto"/>
        <w:jc w:val="both"/>
        <w:rPr>
          <w:iCs/>
          <w:szCs w:val="24"/>
        </w:rPr>
      </w:pPr>
      <w:r w:rsidRPr="00750A2F">
        <w:rPr>
          <w:b/>
          <w:iCs/>
          <w:szCs w:val="24"/>
        </w:rPr>
        <w:t xml:space="preserve">The distance </w:t>
      </w:r>
      <w:r w:rsidRPr="00FC2229">
        <w:rPr>
          <w:b/>
          <w:iCs/>
          <w:szCs w:val="24"/>
        </w:rPr>
        <w:t>metric</w:t>
      </w:r>
      <w:r>
        <w:rPr>
          <w:iCs/>
          <w:szCs w:val="24"/>
        </w:rPr>
        <w:t xml:space="preserve">, </w:t>
      </w:r>
      <w:r w:rsidRPr="00750A2F">
        <w:rPr>
          <w:b/>
          <w:i/>
          <w:iCs/>
          <w:szCs w:val="24"/>
        </w:rPr>
        <w:t>d</w:t>
      </w:r>
      <w:r>
        <w:rPr>
          <w:b/>
          <w:i/>
          <w:iCs/>
          <w:szCs w:val="24"/>
        </w:rPr>
        <w:t xml:space="preserve"> </w:t>
      </w:r>
      <w:r w:rsidRPr="00303E44">
        <w:rPr>
          <w:szCs w:val="24"/>
        </w:rPr>
        <w:t>(</w:t>
      </w:r>
      <w:r w:rsidRPr="00303E44">
        <w:rPr>
          <w:i/>
          <w:iCs/>
          <w:szCs w:val="24"/>
        </w:rPr>
        <w:t>S</w:t>
      </w:r>
      <w:r w:rsidRPr="00303E44">
        <w:rPr>
          <w:i/>
          <w:iCs/>
          <w:szCs w:val="24"/>
          <w:vertAlign w:val="subscript"/>
        </w:rPr>
        <w:t>sim</w:t>
      </w:r>
      <w:r w:rsidRPr="00303E44">
        <w:rPr>
          <w:szCs w:val="24"/>
        </w:rPr>
        <w:t xml:space="preserve">, </w:t>
      </w:r>
      <w:r w:rsidRPr="00303E44">
        <w:rPr>
          <w:i/>
          <w:iCs/>
          <w:szCs w:val="24"/>
        </w:rPr>
        <w:t>S</w:t>
      </w:r>
      <w:r w:rsidRPr="00303E44">
        <w:rPr>
          <w:i/>
          <w:iCs/>
          <w:szCs w:val="24"/>
          <w:vertAlign w:val="subscript"/>
        </w:rPr>
        <w:t>obs</w:t>
      </w:r>
      <w:r w:rsidRPr="00303E44">
        <w:rPr>
          <w:szCs w:val="24"/>
        </w:rPr>
        <w:t>)</w:t>
      </w:r>
    </w:p>
    <w:p w14:paraId="200C398A" w14:textId="3257F9F0" w:rsidR="007E1F9B" w:rsidRDefault="007E1F9B" w:rsidP="007E1F9B">
      <w:pPr>
        <w:autoSpaceDE w:val="0"/>
        <w:autoSpaceDN w:val="0"/>
        <w:adjustRightInd w:val="0"/>
        <w:spacing w:after="0" w:line="480" w:lineRule="auto"/>
        <w:jc w:val="both"/>
        <w:rPr>
          <w:iCs/>
          <w:szCs w:val="24"/>
        </w:rPr>
      </w:pPr>
      <w:r>
        <w:rPr>
          <w:iCs/>
          <w:szCs w:val="24"/>
        </w:rPr>
        <w:lastRenderedPageBreak/>
        <w:t xml:space="preserve">The distance metric </w:t>
      </w:r>
      <w:r w:rsidRPr="005837D3">
        <w:rPr>
          <w:b/>
          <w:i/>
          <w:iCs/>
          <w:szCs w:val="24"/>
        </w:rPr>
        <w:t>d</w:t>
      </w:r>
      <w:r>
        <w:rPr>
          <w:b/>
          <w:i/>
          <w:iCs/>
          <w:szCs w:val="24"/>
        </w:rPr>
        <w:t xml:space="preserve">, </w:t>
      </w:r>
      <w:r w:rsidRPr="003A4187">
        <w:rPr>
          <w:iCs/>
          <w:szCs w:val="24"/>
        </w:rPr>
        <w:t>for each iteration of the models were calculated based on</w:t>
      </w:r>
      <w:r>
        <w:rPr>
          <w:b/>
          <w:i/>
          <w:iCs/>
          <w:szCs w:val="24"/>
        </w:rPr>
        <w:t xml:space="preserve"> </w:t>
      </w:r>
      <w:r>
        <w:rPr>
          <w:b/>
          <w:iCs/>
          <w:szCs w:val="24"/>
        </w:rPr>
        <w:t>Equation (6)</w:t>
      </w:r>
      <w:r>
        <w:rPr>
          <w:iCs/>
          <w:szCs w:val="24"/>
        </w:rPr>
        <w:t xml:space="preserve">, adopted from </w:t>
      </w:r>
      <w:r>
        <w:rPr>
          <w:iCs/>
          <w:szCs w:val="24"/>
        </w:rPr>
        <w:fldChar w:fldCharType="begin"/>
      </w:r>
      <w:r w:rsidR="00B57A1E">
        <w:rPr>
          <w:iCs/>
          <w:szCs w:val="24"/>
        </w:rPr>
        <w:instrText xml:space="preserve"> ADDIN ZOTERO_ITEM CSL_CITATION {"citationID":"XGGhBqND","properties":{"formattedCitation":"[53]","plainCitation":"[53]","noteIndex":0},"citationItems":[{"id":1543,"uris":["http://zotero.org/users/584652/items/2V4UX8XB"],"uri":["http://zotero.org/users/584652/items/2V4UX8XB"],"itemData":{"id":1543,"type":"article-journal","abstract":"This paper investigates the feasibility of using Approximate Bayesian Computation (ABC) to calibrate and evaluate complex individual-based models (IBMs). As ABC evolves, various versions are emerging, but here we only explore the most accessible version, rejection-ABC. Rejection-ABC involves running models a large number of times, with parameters drawn randomly from their prior distributions, and then retaining the simulations closest to the observations. Although well-established in some fields, whether ABC will work with ecological IBMs is still uncertain. Rejection-ABC was applied to an existing 14-parameter earthworm energy budget IBM for which the available data consist of body mass growth and cocoon production in four experiments. ABC was able to narrow the posterior distributions of seven parameters, estimating credible intervals for each. ABC's accepted values produced slightly better fits than literature values do. The accuracy of the analysis was assessed using cross-validation and coverage, currently the best-available tests. Of the seven unnarrowed parameters, ABC revealed that three were correlated with other parameters, while the remaining four were found to be not estimable given the data available. It is often desirable to compare models to see whether all component modules are necessary. Here, we used ABC model selection to compare the full model with a simplified version which removed the earthworm's movement and much of the energy budget. We are able to show that inclusion of the energy budget is necessary for a good fit to the data. We show how our methodology can inform future modelling cycles, and briefly discuss how more advanced versions of ABC may be applicable to IBMs. We conclude that ABC has the potential to represent uncertainty in model structure, parameters and predictions, and to embed the often complex process of optimising an IBM's structure and parameters within an established statistical framework, thereby making the process more transparent and objective.","container-title":"Ecological Modelling","DOI":"10.1016/j.ecolmodel.2015.05.020","ISSN":"0304-3800","journalAbbreviation":"Ecological Modelling","page":"182-190","source":"ScienceDirect","title":"Calibration and evaluation of individual-based models using Approximate Bayesian Computation","volume":"312","author":[{"family":"Vaart","given":"Elske","non-dropping-particle":"van der"},{"family":"Beaumont","given":"Mark A."},{"family":"Johnston","given":"Alice S. A."},{"family":"Sibly","given":"Richard M."}],"issued":{"date-parts":[["2015",9,24]]}}}],"schema":"https://github.com/citation-style-language/schema/raw/master/csl-citation.json"} </w:instrText>
      </w:r>
      <w:r>
        <w:rPr>
          <w:iCs/>
          <w:szCs w:val="24"/>
        </w:rPr>
        <w:fldChar w:fldCharType="separate"/>
      </w:r>
      <w:r w:rsidR="00B57A1E" w:rsidRPr="00B57A1E">
        <w:t>[53]</w:t>
      </w:r>
      <w:r>
        <w:rPr>
          <w:iCs/>
          <w:szCs w:val="24"/>
        </w:rPr>
        <w:fldChar w:fldCharType="end"/>
      </w:r>
      <w:r>
        <w:rPr>
          <w:iCs/>
          <w:szCs w:val="24"/>
        </w:rPr>
        <w:t xml:space="preserve">. The whole vector of the observed data for each of the five datasets ,namely </w:t>
      </w:r>
      <w:r w:rsidRPr="003A4187">
        <w:rPr>
          <w:i/>
          <w:iCs/>
          <w:szCs w:val="24"/>
        </w:rPr>
        <w:t>uncomplicated malaria</w:t>
      </w:r>
      <w:r>
        <w:rPr>
          <w:iCs/>
          <w:szCs w:val="24"/>
        </w:rPr>
        <w:t xml:space="preserve"> ,</w:t>
      </w:r>
      <w:r w:rsidRPr="003A4187">
        <w:rPr>
          <w:i/>
          <w:iCs/>
          <w:szCs w:val="24"/>
        </w:rPr>
        <w:t>severe malaria</w:t>
      </w:r>
      <w:r>
        <w:rPr>
          <w:iCs/>
          <w:szCs w:val="24"/>
        </w:rPr>
        <w:t xml:space="preserve">, </w:t>
      </w:r>
      <w:r w:rsidRPr="003A4187">
        <w:rPr>
          <w:i/>
          <w:iCs/>
          <w:szCs w:val="24"/>
        </w:rPr>
        <w:t>malaria in pregnancy</w:t>
      </w:r>
      <w:r>
        <w:rPr>
          <w:iCs/>
          <w:szCs w:val="24"/>
        </w:rPr>
        <w:t xml:space="preserve">, </w:t>
      </w:r>
      <w:r w:rsidRPr="003A4187">
        <w:rPr>
          <w:i/>
          <w:iCs/>
          <w:szCs w:val="24"/>
        </w:rPr>
        <w:t>malaria attributable deaths for children under five and adults</w:t>
      </w:r>
      <w:r>
        <w:rPr>
          <w:iCs/>
          <w:szCs w:val="24"/>
        </w:rPr>
        <w:t xml:space="preserve"> were used in place of summary statistics as outlined in (1) above. Similarly each vector of simulation output was used in place of a simulation summary statistic. </w:t>
      </w:r>
    </w:p>
    <w:p w14:paraId="100827EC" w14:textId="77777777" w:rsidR="007E1F9B" w:rsidRPr="002F1BC7" w:rsidRDefault="007E1F9B" w:rsidP="007E1F9B">
      <w:pPr>
        <w:autoSpaceDE w:val="0"/>
        <w:autoSpaceDN w:val="0"/>
        <w:adjustRightInd w:val="0"/>
        <w:spacing w:after="0" w:line="480" w:lineRule="auto"/>
        <w:jc w:val="both"/>
        <w:rPr>
          <w:iCs/>
          <w:szCs w:val="24"/>
        </w:rPr>
      </w:pPr>
    </w:p>
    <w:p w14:paraId="23F03279" w14:textId="77777777" w:rsidR="007E1F9B" w:rsidRPr="002F1BC7" w:rsidRDefault="007E1F9B" w:rsidP="007E1F9B">
      <w:pPr>
        <w:autoSpaceDE w:val="0"/>
        <w:autoSpaceDN w:val="0"/>
        <w:adjustRightInd w:val="0"/>
        <w:spacing w:after="0" w:line="480" w:lineRule="auto"/>
        <w:jc w:val="both"/>
        <w:rPr>
          <w:iCs/>
          <w:szCs w:val="24"/>
        </w:rPr>
      </w:pPr>
      <w:r w:rsidRPr="002F1BC7">
        <w:rPr>
          <w:iCs/>
          <w:szCs w:val="24"/>
        </w:rPr>
        <w:t xml:space="preserve">As shown in </w:t>
      </w:r>
      <w:r w:rsidRPr="003A4187">
        <w:rPr>
          <w:b/>
          <w:iCs/>
          <w:szCs w:val="24"/>
        </w:rPr>
        <w:t>Equation (6)</w:t>
      </w:r>
      <w:r w:rsidRPr="002F1BC7">
        <w:rPr>
          <w:iCs/>
          <w:szCs w:val="24"/>
        </w:rPr>
        <w:t xml:space="preserve">, the distance </w:t>
      </w:r>
      <w:r w:rsidRPr="008F6553">
        <w:rPr>
          <w:b/>
          <w:i/>
          <w:iCs/>
          <w:szCs w:val="24"/>
        </w:rPr>
        <w:t>d</w:t>
      </w:r>
      <w:r w:rsidRPr="002F1BC7">
        <w:rPr>
          <w:iCs/>
          <w:szCs w:val="24"/>
        </w:rPr>
        <w:t xml:space="preserve"> </w:t>
      </w:r>
      <w:r>
        <w:rPr>
          <w:iCs/>
          <w:szCs w:val="24"/>
        </w:rPr>
        <w:t xml:space="preserve">between </w:t>
      </w:r>
      <w:r w:rsidRPr="002F1BC7">
        <w:rPr>
          <w:iCs/>
          <w:szCs w:val="24"/>
        </w:rPr>
        <w:t>each simulation output</w:t>
      </w:r>
      <w:r>
        <w:rPr>
          <w:iCs/>
          <w:szCs w:val="24"/>
        </w:rPr>
        <w:t xml:space="preserve"> </w:t>
      </w:r>
      <w:r w:rsidRPr="001B3B83">
        <w:rPr>
          <w:b/>
          <w:i/>
          <w:iCs/>
          <w:szCs w:val="24"/>
        </w:rPr>
        <w:t>i</w:t>
      </w:r>
      <w:r>
        <w:rPr>
          <w:b/>
          <w:i/>
          <w:iCs/>
          <w:szCs w:val="24"/>
        </w:rPr>
        <w:t>,</w:t>
      </w:r>
      <w:r w:rsidRPr="002F1BC7">
        <w:rPr>
          <w:iCs/>
          <w:szCs w:val="24"/>
        </w:rPr>
        <w:t xml:space="preserve">  </w:t>
      </w:r>
      <m:oMath>
        <m:sSub>
          <m:sSubPr>
            <m:ctrlPr>
              <w:rPr>
                <w:rFonts w:ascii="Cambria Math" w:hAnsi="Cambria Math"/>
                <w:i/>
                <w:iCs/>
                <w:szCs w:val="24"/>
              </w:rPr>
            </m:ctrlPr>
          </m:sSubPr>
          <m:e>
            <m:r>
              <w:rPr>
                <w:rFonts w:ascii="Cambria Math" w:hAnsi="Cambria Math"/>
                <w:szCs w:val="24"/>
              </w:rPr>
              <m:t>S</m:t>
            </m:r>
          </m:e>
          <m:sub>
            <m:r>
              <w:rPr>
                <w:rFonts w:ascii="Cambria Math" w:hAnsi="Cambria Math"/>
                <w:szCs w:val="24"/>
              </w:rPr>
              <m:t>sim,i</m:t>
            </m:r>
          </m:sub>
        </m:sSub>
      </m:oMath>
      <w:r w:rsidRPr="008F6553">
        <w:rPr>
          <w:rFonts w:eastAsia="Times New Roman"/>
          <w:iCs/>
          <w:szCs w:val="24"/>
        </w:rPr>
        <w:t xml:space="preserve">, for dataset </w:t>
      </w:r>
      <w:r w:rsidRPr="001B3B83">
        <w:rPr>
          <w:rFonts w:eastAsia="Times New Roman"/>
          <w:b/>
          <w:i/>
          <w:iCs/>
          <w:szCs w:val="24"/>
        </w:rPr>
        <w:t>j</w:t>
      </w:r>
      <w:r w:rsidRPr="008F6553">
        <w:rPr>
          <w:rFonts w:eastAsia="Times New Roman"/>
          <w:iCs/>
          <w:szCs w:val="24"/>
        </w:rPr>
        <w:t xml:space="preserve"> </w:t>
      </w:r>
      <w:r w:rsidRPr="001B3B83">
        <w:rPr>
          <w:rFonts w:eastAsia="Times New Roman"/>
          <w:iCs/>
          <w:szCs w:val="24"/>
        </w:rPr>
        <w:t xml:space="preserve">and </w:t>
      </w:r>
      <w:r w:rsidRPr="00303E44">
        <w:rPr>
          <w:szCs w:val="24"/>
        </w:rPr>
        <w:t xml:space="preserve"> </w:t>
      </w:r>
      <m:oMath>
        <m:sSub>
          <m:sSubPr>
            <m:ctrlPr>
              <w:rPr>
                <w:rFonts w:ascii="Cambria Math" w:hAnsi="Cambria Math"/>
                <w:i/>
                <w:iCs/>
                <w:szCs w:val="24"/>
              </w:rPr>
            </m:ctrlPr>
          </m:sSubPr>
          <m:e>
            <m:r>
              <w:rPr>
                <w:rFonts w:ascii="Cambria Math" w:hAnsi="Cambria Math"/>
                <w:szCs w:val="24"/>
              </w:rPr>
              <m:t>S</m:t>
            </m:r>
          </m:e>
          <m:sub>
            <m:r>
              <w:rPr>
                <w:rFonts w:ascii="Cambria Math" w:hAnsi="Cambria Math"/>
                <w:szCs w:val="24"/>
              </w:rPr>
              <m:t>obs,j</m:t>
            </m:r>
          </m:sub>
        </m:sSub>
      </m:oMath>
      <w:r w:rsidRPr="0021770F">
        <w:rPr>
          <w:rFonts w:eastAsia="Times New Roman"/>
          <w:iCs/>
          <w:szCs w:val="24"/>
        </w:rPr>
        <w:t xml:space="preserve">, the observed data vector for dataset </w:t>
      </w:r>
      <w:r w:rsidRPr="001B3B83">
        <w:rPr>
          <w:rFonts w:eastAsia="Times New Roman"/>
          <w:b/>
          <w:i/>
          <w:iCs/>
          <w:szCs w:val="24"/>
        </w:rPr>
        <w:t>j</w:t>
      </w:r>
      <w:r w:rsidRPr="0021770F">
        <w:rPr>
          <w:rFonts w:eastAsia="Times New Roman"/>
          <w:iCs/>
          <w:szCs w:val="24"/>
        </w:rPr>
        <w:t xml:space="preserve"> </w:t>
      </w:r>
      <w:r>
        <w:rPr>
          <w:rFonts w:eastAsia="Times New Roman"/>
          <w:iCs/>
          <w:szCs w:val="24"/>
        </w:rPr>
        <w:t xml:space="preserve">is calculated </w:t>
      </w:r>
      <w:r w:rsidRPr="008F6553">
        <w:rPr>
          <w:rFonts w:eastAsia="Times New Roman"/>
          <w:iCs/>
          <w:szCs w:val="24"/>
        </w:rPr>
        <w:t xml:space="preserve">and standardised by </w:t>
      </w:r>
      <m:oMath>
        <m:sSub>
          <m:sSubPr>
            <m:ctrlPr>
              <w:rPr>
                <w:rFonts w:ascii="Cambria Math" w:hAnsi="Cambria Math"/>
                <w:i/>
                <w:iCs/>
                <w:szCs w:val="24"/>
              </w:rPr>
            </m:ctrlPr>
          </m:sSubPr>
          <m:e>
            <m:r>
              <w:rPr>
                <w:rFonts w:ascii="Cambria Math" w:hAnsi="Cambria Math"/>
                <w:szCs w:val="24"/>
              </w:rPr>
              <m:t>sd(S</m:t>
            </m:r>
          </m:e>
          <m:sub>
            <m:r>
              <w:rPr>
                <w:rFonts w:ascii="Cambria Math" w:hAnsi="Cambria Math"/>
                <w:szCs w:val="24"/>
              </w:rPr>
              <m:t>sim,j</m:t>
            </m:r>
          </m:sub>
        </m:sSub>
        <m:r>
          <w:rPr>
            <w:rFonts w:ascii="Cambria Math" w:hAnsi="Cambria Math"/>
            <w:szCs w:val="24"/>
          </w:rPr>
          <m:t>)</m:t>
        </m:r>
      </m:oMath>
      <w:r w:rsidRPr="008F6553">
        <w:rPr>
          <w:rFonts w:eastAsia="Times New Roman"/>
          <w:iCs/>
          <w:szCs w:val="24"/>
        </w:rPr>
        <w:t xml:space="preserve">, the standard deviation of simulations arising from dataset </w:t>
      </w:r>
      <w:r w:rsidRPr="001B3B83">
        <w:rPr>
          <w:rFonts w:eastAsia="Times New Roman"/>
          <w:b/>
          <w:i/>
          <w:iCs/>
          <w:szCs w:val="24"/>
        </w:rPr>
        <w:t>j</w:t>
      </w:r>
      <w:r w:rsidRPr="008F6553">
        <w:rPr>
          <w:rFonts w:eastAsia="Times New Roman"/>
          <w:iCs/>
          <w:szCs w:val="24"/>
        </w:rPr>
        <w:t xml:space="preserve">, where </w:t>
      </w:r>
      <w:r w:rsidRPr="001B3B83">
        <w:rPr>
          <w:rFonts w:eastAsia="Times New Roman"/>
          <w:b/>
          <w:i/>
          <w:iCs/>
          <w:szCs w:val="24"/>
        </w:rPr>
        <w:t>i</w:t>
      </w:r>
      <w:r w:rsidRPr="008F6553">
        <w:rPr>
          <w:rFonts w:eastAsia="Times New Roman"/>
          <w:iCs/>
          <w:szCs w:val="24"/>
        </w:rPr>
        <w:t xml:space="preserve">=1,2…….120 months and </w:t>
      </w:r>
      <w:r w:rsidRPr="001B3B83">
        <w:rPr>
          <w:rFonts w:eastAsia="Times New Roman"/>
          <w:b/>
          <w:i/>
          <w:iCs/>
          <w:szCs w:val="24"/>
        </w:rPr>
        <w:t>j</w:t>
      </w:r>
      <w:r w:rsidRPr="008F6553">
        <w:rPr>
          <w:rFonts w:eastAsia="Times New Roman"/>
          <w:iCs/>
          <w:szCs w:val="24"/>
        </w:rPr>
        <w:t xml:space="preserve">=1,2,…5, datasets. </w:t>
      </w:r>
      <w:r w:rsidRPr="002F1BC7">
        <w:rPr>
          <w:iCs/>
          <w:szCs w:val="24"/>
        </w:rPr>
        <w:t>Standardising with the standard deviation was</w:t>
      </w:r>
      <w:r>
        <w:rPr>
          <w:iCs/>
          <w:szCs w:val="24"/>
        </w:rPr>
        <w:t xml:space="preserve"> </w:t>
      </w:r>
      <w:r w:rsidRPr="002F1BC7">
        <w:rPr>
          <w:iCs/>
          <w:szCs w:val="24"/>
        </w:rPr>
        <w:t xml:space="preserve">carried out because of the varied scales of measurement of the five datasets that needed to be fitted simultaneously. </w:t>
      </w:r>
    </w:p>
    <w:p w14:paraId="50CD061A" w14:textId="77777777" w:rsidR="007E1F9B" w:rsidRDefault="007E1F9B" w:rsidP="007E1F9B">
      <w:pPr>
        <w:autoSpaceDE w:val="0"/>
        <w:autoSpaceDN w:val="0"/>
        <w:adjustRightInd w:val="0"/>
        <w:spacing w:after="0" w:line="480" w:lineRule="auto"/>
        <w:jc w:val="center"/>
        <w:rPr>
          <w:iCs/>
          <w:szCs w:val="24"/>
        </w:rPr>
      </w:pPr>
    </w:p>
    <w:p w14:paraId="646FEB7C" w14:textId="77777777" w:rsidR="007E1F9B" w:rsidRPr="00750A2F" w:rsidRDefault="007E1F9B" w:rsidP="007E1F9B">
      <w:pPr>
        <w:autoSpaceDE w:val="0"/>
        <w:autoSpaceDN w:val="0"/>
        <w:adjustRightInd w:val="0"/>
        <w:spacing w:after="0" w:line="480" w:lineRule="auto"/>
        <w:jc w:val="center"/>
        <w:rPr>
          <w:iCs/>
          <w:sz w:val="40"/>
          <w:szCs w:val="40"/>
        </w:rPr>
      </w:pPr>
      <m:oMath>
        <m:r>
          <w:rPr>
            <w:rFonts w:ascii="Cambria Math" w:hAnsi="Cambria Math"/>
            <w:sz w:val="36"/>
            <w:szCs w:val="36"/>
          </w:rPr>
          <m:t>d</m:t>
        </m:r>
        <m:d>
          <m:dPr>
            <m:ctrlPr>
              <w:rPr>
                <w:rFonts w:ascii="Cambria Math" w:hAnsi="Cambria Math"/>
                <w:i/>
                <w:iCs/>
                <w:sz w:val="36"/>
                <w:szCs w:val="36"/>
              </w:rPr>
            </m:ctrlPr>
          </m:dPr>
          <m:e>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sim,ij</m:t>
                </m:r>
              </m:sub>
            </m:sSub>
            <m:r>
              <w:rPr>
                <w:rFonts w:ascii="Cambria Math" w:hAnsi="Cambria Math"/>
                <w:sz w:val="36"/>
                <w:szCs w:val="36"/>
              </w:rPr>
              <m:t>-</m:t>
            </m:r>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obs</m:t>
                </m:r>
              </m:sub>
            </m:sSub>
          </m:e>
        </m:d>
        <m:r>
          <w:rPr>
            <w:rFonts w:ascii="Cambria Math" w:hAnsi="Cambria Math"/>
            <w:sz w:val="36"/>
            <w:szCs w:val="36"/>
          </w:rPr>
          <m:t>=</m:t>
        </m:r>
        <m:rad>
          <m:radPr>
            <m:degHide m:val="1"/>
            <m:ctrlPr>
              <w:rPr>
                <w:rFonts w:ascii="Cambria Math" w:hAnsi="Cambria Math"/>
                <w:i/>
                <w:iCs/>
                <w:sz w:val="36"/>
                <w:szCs w:val="36"/>
              </w:rPr>
            </m:ctrlPr>
          </m:radPr>
          <m:deg/>
          <m:e>
            <m:nary>
              <m:naryPr>
                <m:chr m:val="∑"/>
                <m:limLoc m:val="undOvr"/>
                <m:supHide m:val="1"/>
                <m:ctrlPr>
                  <w:rPr>
                    <w:rFonts w:ascii="Cambria Math" w:hAnsi="Cambria Math"/>
                    <w:i/>
                    <w:iCs/>
                    <w:sz w:val="36"/>
                    <w:szCs w:val="36"/>
                  </w:rPr>
                </m:ctrlPr>
              </m:naryPr>
              <m:sub>
                <m:r>
                  <w:rPr>
                    <w:rFonts w:ascii="Cambria Math" w:hAnsi="Cambria Math"/>
                    <w:sz w:val="36"/>
                    <w:szCs w:val="36"/>
                  </w:rPr>
                  <m:t>j</m:t>
                </m:r>
              </m:sub>
              <m:sup/>
              <m:e>
                <m:sSup>
                  <m:sSupPr>
                    <m:ctrlPr>
                      <w:rPr>
                        <w:rFonts w:ascii="Cambria Math" w:hAnsi="Cambria Math"/>
                        <w:i/>
                        <w:iCs/>
                        <w:sz w:val="36"/>
                        <w:szCs w:val="36"/>
                      </w:rPr>
                    </m:ctrlPr>
                  </m:sSupPr>
                  <m:e>
                    <m:d>
                      <m:dPr>
                        <m:ctrlPr>
                          <w:rPr>
                            <w:rFonts w:ascii="Cambria Math" w:hAnsi="Cambria Math"/>
                            <w:i/>
                            <w:iCs/>
                            <w:sz w:val="36"/>
                            <w:szCs w:val="36"/>
                          </w:rPr>
                        </m:ctrlPr>
                      </m:dPr>
                      <m:e>
                        <m:f>
                          <m:fPr>
                            <m:ctrlPr>
                              <w:rPr>
                                <w:rFonts w:ascii="Cambria Math" w:hAnsi="Cambria Math"/>
                                <w:i/>
                                <w:iCs/>
                                <w:sz w:val="36"/>
                                <w:szCs w:val="36"/>
                              </w:rPr>
                            </m:ctrlPr>
                          </m:fPr>
                          <m:num>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sim,ij</m:t>
                                </m:r>
                              </m:sub>
                            </m:sSub>
                            <m:r>
                              <w:rPr>
                                <w:rFonts w:ascii="Cambria Math" w:hAnsi="Cambria Math"/>
                                <w:sz w:val="36"/>
                                <w:szCs w:val="36"/>
                              </w:rPr>
                              <m:t>-</m:t>
                            </m:r>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obs,j</m:t>
                                </m:r>
                              </m:sub>
                            </m:sSub>
                          </m:num>
                          <m:den>
                            <m:r>
                              <w:rPr>
                                <w:rFonts w:ascii="Cambria Math" w:hAnsi="Cambria Math"/>
                                <w:sz w:val="36"/>
                                <w:szCs w:val="36"/>
                              </w:rPr>
                              <m:t>sd(</m:t>
                            </m:r>
                            <m:sSub>
                              <m:sSubPr>
                                <m:ctrlPr>
                                  <w:rPr>
                                    <w:rFonts w:ascii="Cambria Math" w:hAnsi="Cambria Math"/>
                                    <w:i/>
                                    <w:iCs/>
                                    <w:sz w:val="36"/>
                                    <w:szCs w:val="36"/>
                                  </w:rPr>
                                </m:ctrlPr>
                              </m:sSubPr>
                              <m:e>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sim,</m:t>
                                    </m:r>
                                  </m:sub>
                                </m:sSub>
                              </m:e>
                              <m:sub>
                                <m:r>
                                  <w:rPr>
                                    <w:rFonts w:ascii="Cambria Math" w:hAnsi="Cambria Math"/>
                                    <w:sz w:val="36"/>
                                    <w:szCs w:val="36"/>
                                  </w:rPr>
                                  <m:t>j</m:t>
                                </m:r>
                              </m:sub>
                            </m:sSub>
                            <m:r>
                              <w:rPr>
                                <w:rFonts w:ascii="Cambria Math" w:hAnsi="Cambria Math"/>
                                <w:sz w:val="36"/>
                                <w:szCs w:val="36"/>
                              </w:rPr>
                              <m:t>)</m:t>
                            </m:r>
                          </m:den>
                        </m:f>
                      </m:e>
                    </m:d>
                  </m:e>
                  <m:sup>
                    <m:r>
                      <w:rPr>
                        <w:rFonts w:ascii="Cambria Math" w:hAnsi="Cambria Math"/>
                        <w:sz w:val="36"/>
                        <w:szCs w:val="36"/>
                      </w:rPr>
                      <m:t>2</m:t>
                    </m:r>
                  </m:sup>
                </m:sSup>
              </m:e>
            </m:nary>
          </m:e>
        </m:rad>
      </m:oMath>
      <w:r w:rsidRPr="004C2A45">
        <w:rPr>
          <w:rFonts w:eastAsia="Times New Roman"/>
          <w:iCs/>
          <w:sz w:val="36"/>
          <w:szCs w:val="36"/>
        </w:rPr>
        <w:t xml:space="preserve">  </w:t>
      </w:r>
      <w:r w:rsidRPr="004C2A45">
        <w:rPr>
          <w:rFonts w:eastAsia="Times New Roman"/>
          <w:iCs/>
          <w:szCs w:val="24"/>
        </w:rPr>
        <w:t xml:space="preserve">            (6)</w:t>
      </w:r>
    </w:p>
    <w:p w14:paraId="34A9DE4C" w14:textId="77777777" w:rsidR="007E1F9B" w:rsidRDefault="007E1F9B" w:rsidP="007E1F9B">
      <w:pPr>
        <w:autoSpaceDE w:val="0"/>
        <w:autoSpaceDN w:val="0"/>
        <w:adjustRightInd w:val="0"/>
        <w:spacing w:after="0" w:line="480" w:lineRule="auto"/>
        <w:jc w:val="both"/>
        <w:rPr>
          <w:iCs/>
          <w:szCs w:val="24"/>
        </w:rPr>
      </w:pPr>
    </w:p>
    <w:p w14:paraId="73C1D2D0" w14:textId="77777777" w:rsidR="007E1F9B" w:rsidRDefault="007E1F9B" w:rsidP="007E1F9B">
      <w:pPr>
        <w:autoSpaceDE w:val="0"/>
        <w:autoSpaceDN w:val="0"/>
        <w:adjustRightInd w:val="0"/>
        <w:spacing w:after="0" w:line="480" w:lineRule="auto"/>
        <w:jc w:val="both"/>
        <w:rPr>
          <w:iCs/>
          <w:szCs w:val="24"/>
        </w:rPr>
      </w:pPr>
      <w:r>
        <w:rPr>
          <w:szCs w:val="24"/>
        </w:rPr>
        <w:t>At least fifteen thousand (15,000) simulations were performed on the University of Cape Town (UCT) High Performance Computing Cluster (HPC) (</w:t>
      </w:r>
      <w:hyperlink r:id="rId22" w:tgtFrame="_blank" w:history="1">
        <w:r w:rsidRPr="00DB21A1">
          <w:rPr>
            <w:rStyle w:val="Hyperlink"/>
            <w:u w:val="none"/>
          </w:rPr>
          <w:t>http://hpc.uct.ac.za</w:t>
        </w:r>
      </w:hyperlink>
      <w:r>
        <w:t>)</w:t>
      </w:r>
      <w:r>
        <w:rPr>
          <w:iCs/>
          <w:szCs w:val="24"/>
        </w:rPr>
        <w:t xml:space="preserve"> for each of the models (Guinea savannah, Transitional forest and Coastal savannah).Based on the ordered calculated distances for all five datasets of each model, a tolerance level </w:t>
      </w:r>
      <w:r w:rsidRPr="00081EC8">
        <w:rPr>
          <w:iCs/>
          <w:szCs w:val="24"/>
        </w:rPr>
        <w:t xml:space="preserve">of </w:t>
      </w:r>
      <w:r w:rsidRPr="00081EC8">
        <w:rPr>
          <w:b/>
          <w:i/>
          <w:szCs w:val="24"/>
        </w:rPr>
        <w:t xml:space="preserve">ε </w:t>
      </w:r>
      <w:r w:rsidRPr="00081EC8">
        <w:rPr>
          <w:szCs w:val="24"/>
        </w:rPr>
        <w:t xml:space="preserve">which returned at least a sample of </w:t>
      </w:r>
      <w:r>
        <w:rPr>
          <w:szCs w:val="24"/>
        </w:rPr>
        <w:t xml:space="preserve">a </w:t>
      </w:r>
      <w:r w:rsidRPr="00081EC8">
        <w:rPr>
          <w:szCs w:val="24"/>
        </w:rPr>
        <w:t>100 simulated parameter values</w:t>
      </w:r>
      <w:r>
        <w:rPr>
          <w:szCs w:val="24"/>
        </w:rPr>
        <w:t>,</w:t>
      </w:r>
      <w:r w:rsidRPr="00081EC8">
        <w:rPr>
          <w:szCs w:val="24"/>
        </w:rPr>
        <w:t xml:space="preserve"> which simultaneously minimised the</w:t>
      </w:r>
      <w:r>
        <w:rPr>
          <w:szCs w:val="24"/>
        </w:rPr>
        <w:t xml:space="preserve"> distances between the observed datasets and the simulated datasets</w:t>
      </w:r>
      <w:r w:rsidRPr="008F6553">
        <w:rPr>
          <w:szCs w:val="24"/>
        </w:rPr>
        <w:t xml:space="preserve"> for each model</w:t>
      </w:r>
      <w:r>
        <w:rPr>
          <w:szCs w:val="24"/>
        </w:rPr>
        <w:t>, were retained.</w:t>
      </w:r>
      <w:r>
        <w:rPr>
          <w:b/>
          <w:i/>
          <w:szCs w:val="24"/>
        </w:rPr>
        <w:t xml:space="preserve"> </w:t>
      </w:r>
      <w:r>
        <w:rPr>
          <w:iCs/>
          <w:szCs w:val="24"/>
        </w:rPr>
        <w:t xml:space="preserve"> </w:t>
      </w:r>
    </w:p>
    <w:p w14:paraId="6DC16128" w14:textId="77777777" w:rsidR="007E1F9B" w:rsidRDefault="007E1F9B" w:rsidP="007E1F9B">
      <w:pPr>
        <w:autoSpaceDE w:val="0"/>
        <w:autoSpaceDN w:val="0"/>
        <w:adjustRightInd w:val="0"/>
        <w:spacing w:after="0" w:line="480" w:lineRule="auto"/>
        <w:jc w:val="both"/>
        <w:rPr>
          <w:szCs w:val="24"/>
        </w:rPr>
      </w:pPr>
    </w:p>
    <w:p w14:paraId="049AE2C6" w14:textId="77777777" w:rsidR="002B6379" w:rsidRDefault="002B6379" w:rsidP="007E1F9B">
      <w:pPr>
        <w:autoSpaceDE w:val="0"/>
        <w:autoSpaceDN w:val="0"/>
        <w:adjustRightInd w:val="0"/>
        <w:spacing w:after="0" w:line="480" w:lineRule="auto"/>
        <w:jc w:val="both"/>
        <w:rPr>
          <w:szCs w:val="24"/>
        </w:rPr>
      </w:pPr>
    </w:p>
    <w:p w14:paraId="76529E8E" w14:textId="77777777" w:rsidR="00465BD2" w:rsidRDefault="00465BD2" w:rsidP="007E1F9B">
      <w:pPr>
        <w:autoSpaceDE w:val="0"/>
        <w:autoSpaceDN w:val="0"/>
        <w:adjustRightInd w:val="0"/>
        <w:spacing w:after="0" w:line="480" w:lineRule="auto"/>
        <w:jc w:val="both"/>
        <w:rPr>
          <w:szCs w:val="24"/>
        </w:rPr>
      </w:pPr>
    </w:p>
    <w:p w14:paraId="2EB93571" w14:textId="77777777" w:rsidR="007E1F9B" w:rsidRPr="004C2A45" w:rsidRDefault="007E1F9B" w:rsidP="007E1F9B">
      <w:pPr>
        <w:autoSpaceDE w:val="0"/>
        <w:autoSpaceDN w:val="0"/>
        <w:adjustRightInd w:val="0"/>
        <w:spacing w:after="0" w:line="480" w:lineRule="auto"/>
        <w:jc w:val="both"/>
        <w:rPr>
          <w:rFonts w:eastAsia="Times New Roman"/>
          <w:b/>
          <w:szCs w:val="24"/>
        </w:rPr>
      </w:pPr>
      <w:r w:rsidRPr="004C2A45">
        <w:rPr>
          <w:rFonts w:eastAsia="Times New Roman"/>
          <w:b/>
          <w:szCs w:val="24"/>
        </w:rPr>
        <w:lastRenderedPageBreak/>
        <w:t>Validation of model parameters</w:t>
      </w:r>
    </w:p>
    <w:p w14:paraId="1243F7E9" w14:textId="68DFDE41" w:rsidR="007E1F9B" w:rsidRDefault="007E1F9B" w:rsidP="007E1F9B">
      <w:pPr>
        <w:spacing w:after="0" w:line="480" w:lineRule="auto"/>
        <w:jc w:val="both"/>
        <w:rPr>
          <w:rFonts w:eastAsia="Times New Roman"/>
          <w:szCs w:val="24"/>
        </w:rPr>
      </w:pPr>
      <w:r w:rsidRPr="004C2A45">
        <w:rPr>
          <w:rFonts w:eastAsia="Times New Roman"/>
          <w:szCs w:val="24"/>
        </w:rPr>
        <w:t xml:space="preserve">The accuracy of parameters were estimated through a validation process carried out using the R package </w:t>
      </w:r>
      <w:r w:rsidRPr="004C2A45">
        <w:rPr>
          <w:rFonts w:eastAsia="Times New Roman"/>
          <w:b/>
          <w:szCs w:val="24"/>
        </w:rPr>
        <w:t>cv4abc</w:t>
      </w:r>
      <w:r>
        <w:rPr>
          <w:rFonts w:eastAsia="Times New Roman"/>
          <w:b/>
          <w:szCs w:val="24"/>
        </w:rPr>
        <w:t xml:space="preserve"> </w:t>
      </w:r>
      <w:r w:rsidRPr="00303E44">
        <w:rPr>
          <w:rFonts w:eastAsia="Times New Roman"/>
          <w:szCs w:val="24"/>
        </w:rPr>
        <w:t>using the sample parameters that were retained with</w:t>
      </w:r>
      <w:r>
        <w:rPr>
          <w:rFonts w:eastAsia="Times New Roman"/>
          <w:szCs w:val="24"/>
        </w:rPr>
        <w:t xml:space="preserve"> respect to the</w:t>
      </w:r>
      <w:r w:rsidRPr="00303E44">
        <w:rPr>
          <w:rFonts w:eastAsia="Times New Roman"/>
          <w:szCs w:val="24"/>
        </w:rPr>
        <w:t xml:space="preserve"> distance criteria of </w:t>
      </w:r>
      <w:r w:rsidRPr="00CE4A66">
        <w:rPr>
          <w:rFonts w:eastAsia="Times New Roman"/>
          <w:b/>
          <w:szCs w:val="24"/>
        </w:rPr>
        <w:t>Equation (6).</w:t>
      </w:r>
      <w:r w:rsidRPr="004C2A45">
        <w:rPr>
          <w:rFonts w:eastAsia="Times New Roman"/>
          <w:szCs w:val="24"/>
        </w:rPr>
        <w:t xml:space="preserve"> The package implements a leave-one-out cross validation algorithm and calculates the prediction error for each parameter and their sensitivity or robustness to various tolerance levels </w:t>
      </w:r>
      <w:r w:rsidRPr="004C2A45">
        <w:rPr>
          <w:rFonts w:eastAsia="Times New Roman"/>
          <w:szCs w:val="24"/>
        </w:rPr>
        <w:fldChar w:fldCharType="begin"/>
      </w:r>
      <w:r w:rsidR="00B57A1E">
        <w:rPr>
          <w:rFonts w:eastAsia="Times New Roman"/>
          <w:szCs w:val="24"/>
        </w:rPr>
        <w:instrText xml:space="preserve"> ADDIN ZOTERO_ITEM CSL_CITATION {"citationID":"5M7bbBFL","properties":{"formattedCitation":"[54]","plainCitation":"[54]","noteIndex":0},"citationItems":[{"id":1396,"uris":["http://zotero.org/users/584652/items/84W2S5SC"],"uri":["http://zotero.org/users/584652/items/84W2S5SC"],"itemData":{"id":1396,"type":"article-journal","language":"en","page":"24","source":"Zotero","title":"Approximate Bayesian Computation (ABC) in R: A Vignette","author":[{"family":"Csillery","given":"K"},{"family":"Lemaire","given":"L"},{"family":"Francois","given":"O"},{"family":"Blum","given":"MGB"}]}}],"schema":"https://github.com/citation-style-language/schema/raw/master/csl-citation.json"} </w:instrText>
      </w:r>
      <w:r w:rsidRPr="004C2A45">
        <w:rPr>
          <w:rFonts w:eastAsia="Times New Roman"/>
          <w:szCs w:val="24"/>
        </w:rPr>
        <w:fldChar w:fldCharType="separate"/>
      </w:r>
      <w:r w:rsidR="00B57A1E" w:rsidRPr="00B57A1E">
        <w:t>[54]</w:t>
      </w:r>
      <w:r w:rsidRPr="004C2A45">
        <w:rPr>
          <w:rFonts w:eastAsia="Times New Roman"/>
          <w:szCs w:val="24"/>
        </w:rPr>
        <w:fldChar w:fldCharType="end"/>
      </w:r>
      <w:r w:rsidRPr="004C2A45">
        <w:rPr>
          <w:rFonts w:eastAsia="Times New Roman"/>
          <w:szCs w:val="24"/>
        </w:rPr>
        <w:t xml:space="preserve">. </w:t>
      </w:r>
    </w:p>
    <w:p w14:paraId="548A608A" w14:textId="77777777" w:rsidR="007E1F9B" w:rsidRPr="004C2A45" w:rsidRDefault="007E1F9B" w:rsidP="007E1F9B">
      <w:pPr>
        <w:spacing w:after="0" w:line="480" w:lineRule="auto"/>
        <w:jc w:val="both"/>
        <w:rPr>
          <w:rFonts w:eastAsia="Times New Roman"/>
          <w:szCs w:val="24"/>
        </w:rPr>
      </w:pPr>
    </w:p>
    <w:p w14:paraId="5BA65F21" w14:textId="77777777" w:rsidR="007E1F9B" w:rsidRDefault="007E1F9B" w:rsidP="007E1F9B">
      <w:pPr>
        <w:spacing w:after="0" w:line="480" w:lineRule="auto"/>
        <w:jc w:val="both"/>
        <w:rPr>
          <w:rFonts w:eastAsia="Times New Roman"/>
          <w:szCs w:val="24"/>
        </w:rPr>
      </w:pPr>
      <w:r w:rsidRPr="004C2A45">
        <w:rPr>
          <w:rFonts w:eastAsia="Times New Roman"/>
          <w:szCs w:val="24"/>
        </w:rPr>
        <w:t>The plots shown in Appendix D present the medians of the posterior distribution of each parameter for each validation sample</w:t>
      </w:r>
      <w:r>
        <w:rPr>
          <w:rFonts w:eastAsia="Times New Roman"/>
          <w:szCs w:val="24"/>
        </w:rPr>
        <w:t xml:space="preserve"> based on varied tolerance levels depending on the model using the rejection method</w:t>
      </w:r>
      <w:r w:rsidRPr="004C2A45">
        <w:rPr>
          <w:rFonts w:eastAsia="Times New Roman"/>
          <w:szCs w:val="24"/>
        </w:rPr>
        <w:t>.</w:t>
      </w:r>
      <w:r w:rsidRPr="007910D2">
        <w:t xml:space="preserve"> </w:t>
      </w:r>
      <w:r>
        <w:t xml:space="preserve">The diagonal line in each plot indicates the identity of both the estimated and the true parameter values. </w:t>
      </w:r>
      <w:r w:rsidRPr="00B61D26">
        <w:t>Clustering of the m</w:t>
      </w:r>
      <w:r w:rsidRPr="000344FA">
        <w:t xml:space="preserve">edian estimates and true parameter values of </w:t>
      </w:r>
      <w:r w:rsidRPr="004C2A45">
        <w:rPr>
          <w:rFonts w:eastAsia="Times New Roman"/>
          <w:szCs w:val="24"/>
        </w:rPr>
        <w:t xml:space="preserve">the cross-validation samples for </w:t>
      </w:r>
      <w:r>
        <w:rPr>
          <w:rFonts w:eastAsia="Times New Roman"/>
          <w:szCs w:val="24"/>
        </w:rPr>
        <w:t>two</w:t>
      </w:r>
      <w:r w:rsidRPr="004C2A45">
        <w:rPr>
          <w:rFonts w:eastAsia="Times New Roman"/>
          <w:szCs w:val="24"/>
        </w:rPr>
        <w:t xml:space="preserve"> tolerance</w:t>
      </w:r>
      <w:r>
        <w:rPr>
          <w:rFonts w:eastAsia="Times New Roman"/>
          <w:szCs w:val="24"/>
        </w:rPr>
        <w:t xml:space="preserve"> levels</w:t>
      </w:r>
      <w:r w:rsidRPr="004C2A45">
        <w:rPr>
          <w:rFonts w:eastAsia="Times New Roman"/>
          <w:szCs w:val="24"/>
        </w:rPr>
        <w:t xml:space="preserve"> around the identity line suggests low predictive errors as well as a high level of precision to varying tolerance</w:t>
      </w:r>
      <w:r>
        <w:rPr>
          <w:rFonts w:eastAsia="Times New Roman"/>
          <w:szCs w:val="24"/>
        </w:rPr>
        <w:t xml:space="preserve"> levels</w:t>
      </w:r>
      <w:r w:rsidRPr="004C2A45">
        <w:rPr>
          <w:rFonts w:eastAsia="Times New Roman"/>
          <w:szCs w:val="24"/>
        </w:rPr>
        <w:t xml:space="preserve"> of the parameter.</w:t>
      </w:r>
      <w:r>
        <w:rPr>
          <w:rFonts w:eastAsia="Times New Roman"/>
          <w:szCs w:val="24"/>
        </w:rPr>
        <w:t xml:space="preserve"> As shown, each of the three models estimated most of the parameters fairly accurately with low predictive errors and high precision [</w:t>
      </w:r>
      <w:r w:rsidRPr="004C2A45">
        <w:rPr>
          <w:rFonts w:eastAsia="Times New Roman"/>
          <w:szCs w:val="24"/>
        </w:rPr>
        <w:t>Appendix D</w:t>
      </w:r>
      <w:r>
        <w:rPr>
          <w:rFonts w:eastAsia="Times New Roman"/>
          <w:szCs w:val="24"/>
        </w:rPr>
        <w:t>].</w:t>
      </w:r>
    </w:p>
    <w:p w14:paraId="189C5C64" w14:textId="77777777" w:rsidR="007E1F9B" w:rsidRDefault="007E1F9B" w:rsidP="007E1F9B">
      <w:pPr>
        <w:spacing w:after="0" w:line="480" w:lineRule="auto"/>
        <w:jc w:val="both"/>
        <w:rPr>
          <w:rFonts w:eastAsia="Times New Roman"/>
          <w:b/>
          <w:szCs w:val="24"/>
        </w:rPr>
      </w:pPr>
      <w:r>
        <w:rPr>
          <w:rFonts w:eastAsia="Times New Roman"/>
          <w:szCs w:val="24"/>
        </w:rPr>
        <w:t xml:space="preserve"> </w:t>
      </w:r>
    </w:p>
    <w:p w14:paraId="41913548" w14:textId="77777777" w:rsidR="007E1F9B" w:rsidRPr="004C2A45" w:rsidRDefault="007E1F9B" w:rsidP="007E1F9B">
      <w:pPr>
        <w:spacing w:after="0" w:line="480" w:lineRule="auto"/>
        <w:jc w:val="both"/>
        <w:rPr>
          <w:rFonts w:eastAsia="Times New Roman"/>
          <w:b/>
          <w:szCs w:val="24"/>
        </w:rPr>
      </w:pPr>
      <w:r w:rsidRPr="004C2A45">
        <w:rPr>
          <w:rFonts w:eastAsia="Times New Roman"/>
          <w:b/>
          <w:szCs w:val="24"/>
        </w:rPr>
        <w:t>Sensitivity analyses</w:t>
      </w:r>
    </w:p>
    <w:p w14:paraId="7AB5D389" w14:textId="0A8C182F" w:rsidR="007E1F9B" w:rsidRDefault="007E1F9B" w:rsidP="007E1F9B">
      <w:pPr>
        <w:spacing w:after="0" w:line="480" w:lineRule="auto"/>
        <w:jc w:val="both"/>
        <w:rPr>
          <w:rFonts w:eastAsia="Times New Roman"/>
          <w:szCs w:val="24"/>
        </w:rPr>
      </w:pPr>
      <w:r>
        <w:rPr>
          <w:rFonts w:eastAsia="Times New Roman"/>
          <w:szCs w:val="24"/>
        </w:rPr>
        <w:t xml:space="preserve">Results shown on </w:t>
      </w:r>
      <w:r w:rsidRPr="004C2A45">
        <w:rPr>
          <w:rFonts w:eastAsia="Times New Roman"/>
          <w:szCs w:val="24"/>
        </w:rPr>
        <w:t>table’s</w:t>
      </w:r>
      <w:r>
        <w:rPr>
          <w:rFonts w:eastAsia="Times New Roman"/>
          <w:szCs w:val="24"/>
        </w:rPr>
        <w:t xml:space="preserve"> </w:t>
      </w:r>
      <w:r w:rsidR="006F1B7D">
        <w:rPr>
          <w:rFonts w:eastAsia="Times New Roman"/>
          <w:szCs w:val="24"/>
        </w:rPr>
        <w:t>5</w:t>
      </w:r>
      <w:r>
        <w:rPr>
          <w:rFonts w:eastAsia="Times New Roman"/>
          <w:szCs w:val="24"/>
        </w:rPr>
        <w:t xml:space="preserve">a-c, </w:t>
      </w:r>
      <w:r w:rsidR="006F1B7D">
        <w:rPr>
          <w:rFonts w:eastAsia="Times New Roman"/>
          <w:szCs w:val="24"/>
        </w:rPr>
        <w:t>6</w:t>
      </w:r>
      <w:r>
        <w:rPr>
          <w:rFonts w:eastAsia="Times New Roman"/>
          <w:szCs w:val="24"/>
        </w:rPr>
        <w:t xml:space="preserve">a-c and </w:t>
      </w:r>
      <w:r w:rsidR="006F1B7D">
        <w:rPr>
          <w:rFonts w:eastAsia="Times New Roman"/>
          <w:szCs w:val="24"/>
        </w:rPr>
        <w:t>7</w:t>
      </w:r>
      <w:r>
        <w:rPr>
          <w:rFonts w:eastAsia="Times New Roman"/>
          <w:szCs w:val="24"/>
        </w:rPr>
        <w:t>a-c,</w:t>
      </w:r>
      <w:r w:rsidRPr="004C2A45">
        <w:rPr>
          <w:rFonts w:eastAsia="Times New Roman"/>
          <w:szCs w:val="24"/>
        </w:rPr>
        <w:t xml:space="preserve"> in Appendix E </w:t>
      </w:r>
      <w:r>
        <w:rPr>
          <w:rFonts w:eastAsia="Times New Roman"/>
          <w:szCs w:val="24"/>
        </w:rPr>
        <w:t>were obtained from a multivariate regression based</w:t>
      </w:r>
      <w:r w:rsidRPr="004C2A45">
        <w:rPr>
          <w:rFonts w:eastAsia="Times New Roman"/>
          <w:szCs w:val="24"/>
        </w:rPr>
        <w:t xml:space="preserve"> sensitivity analyses of model parameters for each zone. Included in the tables are an ordered set of the standardised coefficients of the parameters in a multivariate regression of the samples obtained in the ABC.</w:t>
      </w:r>
      <w:r>
        <w:rPr>
          <w:rFonts w:eastAsia="Times New Roman"/>
          <w:szCs w:val="24"/>
        </w:rPr>
        <w:t xml:space="preserve"> The most sensitive parameters vary for each model. In the Guinea savannah model, the most sensitive parameters are </w:t>
      </w:r>
      <w:r w:rsidRPr="00843AC0">
        <w:rPr>
          <w:rFonts w:eastAsia="Times New Roman"/>
          <w:b/>
          <w:i/>
          <w:szCs w:val="24"/>
        </w:rPr>
        <w:t>hlsp, ptq2, prob_h</w:t>
      </w:r>
      <w:r>
        <w:rPr>
          <w:rFonts w:eastAsia="Times New Roman"/>
          <w:b/>
          <w:i/>
          <w:szCs w:val="24"/>
        </w:rPr>
        <w:t>m</w:t>
      </w:r>
      <w:r w:rsidRPr="00843AC0">
        <w:rPr>
          <w:rFonts w:eastAsia="Times New Roman"/>
          <w:b/>
          <w:i/>
          <w:szCs w:val="24"/>
        </w:rPr>
        <w:t>,</w:t>
      </w:r>
      <w:r>
        <w:rPr>
          <w:rFonts w:eastAsia="Times New Roman"/>
          <w:b/>
          <w:i/>
          <w:szCs w:val="24"/>
        </w:rPr>
        <w:t xml:space="preserve"> </w:t>
      </w:r>
      <w:r w:rsidRPr="00843AC0">
        <w:rPr>
          <w:rFonts w:eastAsia="Times New Roman"/>
          <w:b/>
          <w:i/>
          <w:szCs w:val="24"/>
        </w:rPr>
        <w:t>pt3</w:t>
      </w:r>
      <w:r w:rsidRPr="00843AC0">
        <w:rPr>
          <w:rFonts w:eastAsia="Times New Roman"/>
          <w:i/>
          <w:szCs w:val="24"/>
        </w:rPr>
        <w:t xml:space="preserve"> and </w:t>
      </w:r>
      <w:r w:rsidRPr="00843AC0">
        <w:rPr>
          <w:rFonts w:eastAsia="Times New Roman"/>
          <w:b/>
          <w:i/>
          <w:szCs w:val="24"/>
        </w:rPr>
        <w:t>ah1</w:t>
      </w:r>
      <w:r>
        <w:rPr>
          <w:rFonts w:eastAsia="Times New Roman"/>
          <w:szCs w:val="24"/>
        </w:rPr>
        <w:t xml:space="preserve"> in that order whereas for the Transitional forest and Coastal savannah models </w:t>
      </w:r>
      <w:r w:rsidRPr="00843AC0">
        <w:rPr>
          <w:rFonts w:eastAsia="Times New Roman"/>
          <w:b/>
          <w:i/>
          <w:szCs w:val="24"/>
        </w:rPr>
        <w:t>hlsp, h, v, prob_hm, rho1</w:t>
      </w:r>
      <w:r>
        <w:rPr>
          <w:rFonts w:eastAsia="Times New Roman"/>
          <w:szCs w:val="24"/>
        </w:rPr>
        <w:t xml:space="preserve"> and </w:t>
      </w:r>
      <w:r w:rsidRPr="00843AC0">
        <w:rPr>
          <w:rFonts w:eastAsia="Times New Roman"/>
          <w:b/>
          <w:i/>
          <w:szCs w:val="24"/>
        </w:rPr>
        <w:t>hlsp, h, v, prob_hm, pc2</w:t>
      </w:r>
      <w:r>
        <w:rPr>
          <w:rFonts w:eastAsia="Times New Roman"/>
          <w:szCs w:val="24"/>
        </w:rPr>
        <w:t xml:space="preserve"> are most sensitive in that order respectively.</w:t>
      </w:r>
    </w:p>
    <w:p w14:paraId="2C811A71" w14:textId="77777777" w:rsidR="00CE4A66" w:rsidRDefault="00CE4A66" w:rsidP="00CE4A66">
      <w:pPr>
        <w:spacing w:after="0" w:line="360" w:lineRule="auto"/>
        <w:rPr>
          <w:rFonts w:eastAsia="Times New Roman"/>
          <w:szCs w:val="24"/>
        </w:rPr>
      </w:pPr>
    </w:p>
    <w:p w14:paraId="44FA6D44" w14:textId="77777777" w:rsidR="002B6379" w:rsidRPr="004C2A45" w:rsidRDefault="002B6379" w:rsidP="00CE4A66">
      <w:pPr>
        <w:spacing w:after="0" w:line="360" w:lineRule="auto"/>
        <w:rPr>
          <w:rFonts w:eastAsia="Times New Roman"/>
          <w:szCs w:val="24"/>
        </w:rPr>
      </w:pPr>
    </w:p>
    <w:p w14:paraId="6FE03BA3" w14:textId="77777777" w:rsidR="00BE69EA" w:rsidRPr="004C2A45" w:rsidRDefault="00BE69EA" w:rsidP="002B6379">
      <w:pPr>
        <w:spacing w:after="0" w:line="360" w:lineRule="auto"/>
        <w:jc w:val="both"/>
        <w:rPr>
          <w:rFonts w:eastAsia="Times New Roman"/>
          <w:b/>
          <w:szCs w:val="24"/>
        </w:rPr>
      </w:pPr>
      <w:r w:rsidRPr="004C2A45">
        <w:rPr>
          <w:rFonts w:eastAsia="Times New Roman"/>
          <w:b/>
          <w:szCs w:val="24"/>
        </w:rPr>
        <w:lastRenderedPageBreak/>
        <w:t>Interventions</w:t>
      </w:r>
    </w:p>
    <w:p w14:paraId="085CCD36" w14:textId="77777777" w:rsidR="009D6097" w:rsidRDefault="00BE69EA" w:rsidP="002B6379">
      <w:pPr>
        <w:spacing w:after="200" w:line="360" w:lineRule="auto"/>
        <w:jc w:val="both"/>
        <w:rPr>
          <w:rFonts w:eastAsia="Times New Roman"/>
          <w:snapToGrid w:val="0"/>
          <w:color w:val="000000"/>
          <w:w w:val="0"/>
          <w:sz w:val="0"/>
          <w:szCs w:val="0"/>
          <w:u w:color="000000"/>
          <w:bdr w:val="none" w:sz="0" w:space="0" w:color="000000"/>
          <w:shd w:val="clear" w:color="000000" w:fill="000000"/>
          <w:lang w:val="x-none" w:eastAsia="x-none" w:bidi="x-none"/>
        </w:rPr>
      </w:pPr>
      <w:r w:rsidRPr="004C2A45">
        <w:rPr>
          <w:rFonts w:eastAsia="Times New Roman"/>
          <w:szCs w:val="24"/>
        </w:rPr>
        <w:t>Interventions were tested from 2018 to 2030.This was to allow for the investigation of the impact of various interventions singly or in combination on the incidence of malaria by</w:t>
      </w:r>
      <w:r w:rsidR="009D6097" w:rsidRPr="004C2A45">
        <w:rPr>
          <w:rFonts w:eastAsia="Times New Roman"/>
          <w:szCs w:val="24"/>
        </w:rPr>
        <w:t xml:space="preserve"> </w:t>
      </w:r>
      <w:r w:rsidRPr="004C2A45">
        <w:rPr>
          <w:rFonts w:eastAsia="Times New Roman"/>
          <w:szCs w:val="24"/>
        </w:rPr>
        <w:t xml:space="preserve">various set targets within this time frame. </w:t>
      </w:r>
      <w:r w:rsidR="009D6097" w:rsidRPr="009D6097">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14:paraId="6B3940CB" w14:textId="77777777" w:rsidR="00BE69EA" w:rsidRPr="004C2A45" w:rsidRDefault="00BE69EA" w:rsidP="002B6379">
      <w:pPr>
        <w:spacing w:after="200" w:line="360" w:lineRule="auto"/>
        <w:jc w:val="both"/>
        <w:rPr>
          <w:rFonts w:eastAsia="Times New Roman"/>
          <w:szCs w:val="24"/>
        </w:rPr>
      </w:pPr>
      <w:r w:rsidRPr="004C2A45">
        <w:rPr>
          <w:rFonts w:eastAsia="Times New Roman"/>
          <w:szCs w:val="24"/>
        </w:rPr>
        <w:t xml:space="preserve">The various </w:t>
      </w:r>
      <w:r w:rsidR="004A1113" w:rsidRPr="004C2A45">
        <w:rPr>
          <w:rFonts w:eastAsia="Times New Roman"/>
          <w:szCs w:val="24"/>
        </w:rPr>
        <w:t>scenarios for</w:t>
      </w:r>
      <w:r w:rsidR="00610F45" w:rsidRPr="004C2A45">
        <w:rPr>
          <w:rFonts w:eastAsia="Times New Roman"/>
          <w:szCs w:val="24"/>
        </w:rPr>
        <w:t xml:space="preserve"> LLINs and IRS</w:t>
      </w:r>
      <w:r w:rsidRPr="004C2A45">
        <w:rPr>
          <w:rFonts w:eastAsia="Times New Roman"/>
          <w:szCs w:val="24"/>
        </w:rPr>
        <w:t xml:space="preserve"> were investigated</w:t>
      </w:r>
      <w:r w:rsidR="00610F45" w:rsidRPr="004C2A45">
        <w:rPr>
          <w:rFonts w:eastAsia="Times New Roman"/>
          <w:szCs w:val="24"/>
        </w:rPr>
        <w:t>,</w:t>
      </w:r>
      <w:r w:rsidRPr="004C2A45">
        <w:rPr>
          <w:rFonts w:eastAsia="Times New Roman"/>
          <w:szCs w:val="24"/>
        </w:rPr>
        <w:t xml:space="preserve"> for each intervention</w:t>
      </w:r>
      <w:r w:rsidR="00610F45" w:rsidRPr="004C2A45">
        <w:rPr>
          <w:rFonts w:eastAsia="Times New Roman"/>
          <w:szCs w:val="24"/>
        </w:rPr>
        <w:t xml:space="preserve"> and combination,</w:t>
      </w:r>
      <w:r w:rsidRPr="004C2A45">
        <w:rPr>
          <w:rFonts w:eastAsia="Times New Roman"/>
          <w:szCs w:val="24"/>
        </w:rPr>
        <w:t xml:space="preserve"> in each zone:</w:t>
      </w:r>
    </w:p>
    <w:p w14:paraId="0E77A416" w14:textId="77777777" w:rsidR="00BE69EA" w:rsidRPr="00C15EA7" w:rsidRDefault="00937589" w:rsidP="002B6379">
      <w:pPr>
        <w:pStyle w:val="ListParagraph"/>
        <w:numPr>
          <w:ilvl w:val="0"/>
          <w:numId w:val="7"/>
        </w:numPr>
        <w:spacing w:line="480" w:lineRule="auto"/>
        <w:ind w:left="720"/>
        <w:jc w:val="both"/>
      </w:pPr>
      <w:r>
        <w:t xml:space="preserve">Rolling out </w:t>
      </w:r>
      <w:r w:rsidR="005B2869">
        <w:t xml:space="preserve">Only </w:t>
      </w:r>
      <w:r w:rsidR="00393E59">
        <w:t>LLIN</w:t>
      </w:r>
      <w:r w:rsidR="00BE69EA" w:rsidRPr="00C15EA7">
        <w:t xml:space="preserve"> </w:t>
      </w:r>
      <w:r>
        <w:t xml:space="preserve">to achieve a </w:t>
      </w:r>
      <w:r w:rsidR="00393E59">
        <w:t xml:space="preserve">universal </w:t>
      </w:r>
      <w:r w:rsidR="00BE69EA" w:rsidRPr="00C15EA7">
        <w:t>coverage</w:t>
      </w:r>
      <w:r>
        <w:t xml:space="preserve"> within three years</w:t>
      </w:r>
      <w:r w:rsidR="00393E59">
        <w:t xml:space="preserve"> at </w:t>
      </w:r>
    </w:p>
    <w:p w14:paraId="1EDE88AE" w14:textId="160EFF69" w:rsidR="00BE69EA" w:rsidRPr="00C15EA7" w:rsidRDefault="00393E59" w:rsidP="002B6379">
      <w:pPr>
        <w:pStyle w:val="ListParagraph"/>
        <w:numPr>
          <w:ilvl w:val="1"/>
          <w:numId w:val="7"/>
        </w:numPr>
        <w:spacing w:line="480" w:lineRule="auto"/>
        <w:ind w:left="1440"/>
        <w:jc w:val="both"/>
      </w:pPr>
      <w:r>
        <w:t>7</w:t>
      </w:r>
      <w:r w:rsidR="00BE69EA" w:rsidRPr="00C15EA7">
        <w:t>0%</w:t>
      </w:r>
      <w:r>
        <w:t xml:space="preserve">,80% </w:t>
      </w:r>
      <w:r w:rsidR="00BE69EA" w:rsidRPr="00C15EA7">
        <w:t xml:space="preserve"> </w:t>
      </w:r>
      <w:r w:rsidR="00BE69EA">
        <w:t xml:space="preserve">and </w:t>
      </w:r>
      <w:r>
        <w:t>9</w:t>
      </w:r>
      <w:r w:rsidR="00BE69EA" w:rsidRPr="00C15EA7">
        <w:t>0%</w:t>
      </w:r>
      <w:r w:rsidR="005B2869">
        <w:t xml:space="preserve"> and</w:t>
      </w:r>
      <w:r w:rsidR="00937589">
        <w:t xml:space="preserve"> at</w:t>
      </w:r>
      <w:r w:rsidR="005B2869">
        <w:t xml:space="preserve"> protective efficacy of </w:t>
      </w:r>
      <w:r w:rsidR="00937589">
        <w:t>40%</w:t>
      </w:r>
      <w:r w:rsidR="00E0136F">
        <w:t xml:space="preserve"> at a varied </w:t>
      </w:r>
      <w:r w:rsidR="00DA1DEE">
        <w:t xml:space="preserve">scaled-up </w:t>
      </w:r>
      <w:r w:rsidR="00E0136F">
        <w:t xml:space="preserve">usage </w:t>
      </w:r>
      <w:r w:rsidR="00DA1DEE">
        <w:t xml:space="preserve">levels </w:t>
      </w:r>
      <w:r w:rsidR="00E0136F">
        <w:t xml:space="preserve">of </w:t>
      </w:r>
      <w:r w:rsidR="00937589">
        <w:t>60%</w:t>
      </w:r>
      <w:r w:rsidR="00E0136F">
        <w:t>,80%</w:t>
      </w:r>
      <w:r w:rsidR="00937589">
        <w:t xml:space="preserve"> and </w:t>
      </w:r>
      <w:r w:rsidR="00E0136F">
        <w:t>9</w:t>
      </w:r>
      <w:r w:rsidR="00937589">
        <w:t>0%</w:t>
      </w:r>
      <w:r w:rsidR="00BF07C0">
        <w:t xml:space="preserve"> from reported levels of usage </w:t>
      </w:r>
      <w:r w:rsidR="00BF07C0">
        <w:fldChar w:fldCharType="begin"/>
      </w:r>
      <w:r w:rsidR="00BF07C0">
        <w:instrText xml:space="preserve"> ADDIN ZOTERO_ITEM CSL_CITATION {"citationID":"QrWpQI3x","properties":{"formattedCitation":"[55]","plainCitation":"[55]","noteIndex":0},"citationItems":[{"id":1531,"uris":["http://zotero.org/users/584652/items/9HRKE7CT"],"uri":["http://zotero.org/users/584652/items/9HRKE7CT"],"itemData":{"id":1531,"type":"article","title":"Insecticide-Treated Nets (ITN) Access and Use Report.Baltimore, MD. PMI | VectorWorks Project, Johns Hopkins Center for Communication Programs.","author":[{"family":"Hannah Koenker","given":""},{"family":"Emily Ricotta","given":""},{"family":"Bolanle Olapeju","given":""},{"family":"Ifta Choiriyyah","given":""}],"issued":{"date-parts":[["2018",10]]}}}],"schema":"https://github.com/citation-style-language/schema/raw/master/csl-citation.json"} </w:instrText>
      </w:r>
      <w:r w:rsidR="00BF07C0">
        <w:fldChar w:fldCharType="separate"/>
      </w:r>
      <w:r w:rsidR="00BF07C0" w:rsidRPr="00BF07C0">
        <w:t>[55]</w:t>
      </w:r>
      <w:r w:rsidR="00BF07C0">
        <w:fldChar w:fldCharType="end"/>
      </w:r>
    </w:p>
    <w:p w14:paraId="5A2E46E3" w14:textId="77777777" w:rsidR="00BE69EA" w:rsidRPr="00C15EA7" w:rsidRDefault="00937589" w:rsidP="002B6379">
      <w:pPr>
        <w:pStyle w:val="ListParagraph"/>
        <w:numPr>
          <w:ilvl w:val="0"/>
          <w:numId w:val="7"/>
        </w:numPr>
        <w:spacing w:line="480" w:lineRule="auto"/>
        <w:ind w:left="720"/>
        <w:jc w:val="both"/>
      </w:pPr>
      <w:r>
        <w:t xml:space="preserve">Implementing only </w:t>
      </w:r>
      <w:r w:rsidR="00BE69EA" w:rsidRPr="00C15EA7">
        <w:t xml:space="preserve">IRS </w:t>
      </w:r>
      <w:r>
        <w:t xml:space="preserve">for a period of five years to achieve </w:t>
      </w:r>
      <w:r w:rsidR="00BE69EA" w:rsidRPr="00C15EA7">
        <w:t>coverage</w:t>
      </w:r>
      <w:r>
        <w:t xml:space="preserve">s of </w:t>
      </w:r>
    </w:p>
    <w:p w14:paraId="3C625DD6" w14:textId="77777777" w:rsidR="00BE69EA" w:rsidRDefault="00937589" w:rsidP="002B6379">
      <w:pPr>
        <w:pStyle w:val="ListParagraph"/>
        <w:numPr>
          <w:ilvl w:val="1"/>
          <w:numId w:val="7"/>
        </w:numPr>
        <w:spacing w:line="480" w:lineRule="auto"/>
        <w:ind w:left="1440"/>
        <w:jc w:val="both"/>
      </w:pPr>
      <w:r>
        <w:t>80</w:t>
      </w:r>
      <w:r w:rsidR="00BE69EA">
        <w:t>%</w:t>
      </w:r>
      <w:r>
        <w:t xml:space="preserve"> and 9</w:t>
      </w:r>
      <w:r w:rsidR="00BE69EA" w:rsidRPr="00C15EA7">
        <w:t>0%</w:t>
      </w:r>
      <w:r>
        <w:t xml:space="preserve"> with a varied level of protective efficacy of 30%,60% and 80%</w:t>
      </w:r>
    </w:p>
    <w:p w14:paraId="24B6BFBF" w14:textId="77777777" w:rsidR="00276D87" w:rsidRDefault="00276D87" w:rsidP="002B6379">
      <w:pPr>
        <w:pStyle w:val="ListParagraph"/>
        <w:numPr>
          <w:ilvl w:val="0"/>
          <w:numId w:val="7"/>
        </w:numPr>
        <w:spacing w:line="480" w:lineRule="auto"/>
        <w:jc w:val="both"/>
      </w:pPr>
      <w:r>
        <w:t xml:space="preserve">Combined implementation of LLINs and IRS for three years and five years respectively to attain </w:t>
      </w:r>
    </w:p>
    <w:p w14:paraId="11E6D689" w14:textId="77777777" w:rsidR="00276D87" w:rsidRDefault="00276D87" w:rsidP="002B6379">
      <w:pPr>
        <w:pStyle w:val="ListParagraph"/>
        <w:numPr>
          <w:ilvl w:val="1"/>
          <w:numId w:val="7"/>
        </w:numPr>
        <w:spacing w:line="480" w:lineRule="auto"/>
        <w:jc w:val="both"/>
      </w:pPr>
      <w:r>
        <w:t xml:space="preserve">80% LLINs and 80% IRS at </w:t>
      </w:r>
      <w:r w:rsidR="002F15D0">
        <w:t xml:space="preserve">baseline LLIN usage and </w:t>
      </w:r>
      <w:r>
        <w:t>protective efficacies of 40% and 30% respectively</w:t>
      </w:r>
    </w:p>
    <w:p w14:paraId="5FC0F892" w14:textId="77777777" w:rsidR="00276D87" w:rsidRDefault="00276D87" w:rsidP="002B6379">
      <w:pPr>
        <w:pStyle w:val="ListParagraph"/>
        <w:numPr>
          <w:ilvl w:val="1"/>
          <w:numId w:val="7"/>
        </w:numPr>
        <w:spacing w:line="480" w:lineRule="auto"/>
        <w:jc w:val="both"/>
      </w:pPr>
      <w:r>
        <w:t xml:space="preserve">80% LLINs and 80% IRS at </w:t>
      </w:r>
      <w:r w:rsidR="002F15D0">
        <w:t xml:space="preserve">baseline LLIN usage and </w:t>
      </w:r>
      <w:r>
        <w:t>protective efficacies of 60% and 30% respectively</w:t>
      </w:r>
    </w:p>
    <w:p w14:paraId="090CD8BA" w14:textId="77777777" w:rsidR="00276D87" w:rsidRDefault="00276D87" w:rsidP="002B6379">
      <w:pPr>
        <w:pStyle w:val="ListParagraph"/>
        <w:numPr>
          <w:ilvl w:val="1"/>
          <w:numId w:val="7"/>
        </w:numPr>
        <w:spacing w:line="480" w:lineRule="auto"/>
        <w:jc w:val="both"/>
      </w:pPr>
      <w:r>
        <w:t>80% LLINs and 90% IRS</w:t>
      </w:r>
      <w:r w:rsidRPr="00276D87">
        <w:t xml:space="preserve"> </w:t>
      </w:r>
      <w:r>
        <w:t xml:space="preserve">at </w:t>
      </w:r>
      <w:r w:rsidR="002F15D0">
        <w:t xml:space="preserve">baseline LLIN usage and </w:t>
      </w:r>
      <w:r>
        <w:t>protective efficacies of 40% and 30% respectively</w:t>
      </w:r>
    </w:p>
    <w:p w14:paraId="4CE30952" w14:textId="77777777" w:rsidR="004202B0" w:rsidRDefault="004202B0" w:rsidP="002B6379">
      <w:pPr>
        <w:pStyle w:val="ListParagraph"/>
        <w:numPr>
          <w:ilvl w:val="1"/>
          <w:numId w:val="7"/>
        </w:numPr>
        <w:spacing w:line="480" w:lineRule="auto"/>
        <w:jc w:val="both"/>
      </w:pPr>
      <w:r>
        <w:t>90% LLINs and 80% IRS</w:t>
      </w:r>
      <w:r w:rsidRPr="00276D87">
        <w:t xml:space="preserve"> </w:t>
      </w:r>
      <w:r>
        <w:t xml:space="preserve">at </w:t>
      </w:r>
      <w:r w:rsidR="002F15D0">
        <w:t xml:space="preserve">baseline LLIN usage and </w:t>
      </w:r>
      <w:r>
        <w:t>protective efficacies of 40% and 30% respectively</w:t>
      </w:r>
    </w:p>
    <w:p w14:paraId="3CE98002" w14:textId="77777777" w:rsidR="00276D87" w:rsidRPr="004202B0" w:rsidRDefault="004202B0" w:rsidP="002B6379">
      <w:pPr>
        <w:pStyle w:val="ListParagraph"/>
        <w:numPr>
          <w:ilvl w:val="1"/>
          <w:numId w:val="7"/>
        </w:numPr>
        <w:spacing w:line="480" w:lineRule="auto"/>
        <w:jc w:val="both"/>
      </w:pPr>
      <w:r>
        <w:t>90% LLINs and 90% IRS</w:t>
      </w:r>
      <w:r w:rsidRPr="00276D87">
        <w:t xml:space="preserve"> </w:t>
      </w:r>
      <w:r>
        <w:t xml:space="preserve">at </w:t>
      </w:r>
      <w:r w:rsidR="002F15D0">
        <w:t xml:space="preserve">baseline LLIN usage and </w:t>
      </w:r>
      <w:r>
        <w:t>protective efficacies of 40% and 30% respectively</w:t>
      </w:r>
    </w:p>
    <w:p w14:paraId="64E091CF" w14:textId="77777777" w:rsidR="00BE69EA" w:rsidRPr="00C15EA7" w:rsidRDefault="00BE69EA" w:rsidP="002B6379">
      <w:pPr>
        <w:pStyle w:val="ListParagraph"/>
        <w:numPr>
          <w:ilvl w:val="0"/>
          <w:numId w:val="7"/>
        </w:numPr>
        <w:spacing w:line="480" w:lineRule="auto"/>
        <w:ind w:left="720"/>
        <w:jc w:val="both"/>
      </w:pPr>
      <w:r>
        <w:t>SMC</w:t>
      </w:r>
      <w:r w:rsidR="00610F45">
        <w:t xml:space="preserve"> </w:t>
      </w:r>
      <w:r w:rsidR="0003165E">
        <w:t>among children</w:t>
      </w:r>
      <w:r w:rsidR="00610F45">
        <w:t xml:space="preserve"> less than 6 years</w:t>
      </w:r>
      <w:r>
        <w:t xml:space="preserve"> in the savannah zone</w:t>
      </w:r>
      <w:r w:rsidR="00610F45">
        <w:t xml:space="preserve"> was investigated using a modified base </w:t>
      </w:r>
      <w:r w:rsidR="0003165E">
        <w:t>model as</w:t>
      </w:r>
      <w:r w:rsidR="00610F45">
        <w:t xml:space="preserve"> shown in Fig 2. </w:t>
      </w:r>
      <w:r w:rsidR="008E7FCE">
        <w:rPr>
          <w:szCs w:val="24"/>
        </w:rPr>
        <w:t xml:space="preserve">The children are drawn from all the compartments except those in the treatment and treatment failure compartments, </w:t>
      </w:r>
      <w:r w:rsidR="008E7FCE" w:rsidRPr="00107D12">
        <w:rPr>
          <w:b/>
          <w:szCs w:val="24"/>
        </w:rPr>
        <w:t>Tr1</w:t>
      </w:r>
      <w:r w:rsidR="008E7FCE">
        <w:rPr>
          <w:szCs w:val="24"/>
        </w:rPr>
        <w:t xml:space="preserve">, </w:t>
      </w:r>
      <w:r w:rsidR="008E7FCE" w:rsidRPr="00107D12">
        <w:rPr>
          <w:b/>
          <w:szCs w:val="24"/>
        </w:rPr>
        <w:t>Trf1</w:t>
      </w:r>
      <w:r w:rsidR="008E7FCE">
        <w:rPr>
          <w:szCs w:val="24"/>
        </w:rPr>
        <w:t xml:space="preserve"> and </w:t>
      </w:r>
      <w:r w:rsidR="008E7FCE" w:rsidRPr="00107D12">
        <w:rPr>
          <w:b/>
          <w:szCs w:val="24"/>
        </w:rPr>
        <w:t>Tr2</w:t>
      </w:r>
      <w:r w:rsidR="008E7FCE">
        <w:rPr>
          <w:szCs w:val="24"/>
        </w:rPr>
        <w:t xml:space="preserve">, </w:t>
      </w:r>
      <w:r w:rsidR="008E7FCE" w:rsidRPr="00107D12">
        <w:rPr>
          <w:b/>
          <w:szCs w:val="24"/>
        </w:rPr>
        <w:t>Trf2</w:t>
      </w:r>
      <w:r w:rsidR="008E7FCE">
        <w:rPr>
          <w:szCs w:val="24"/>
        </w:rPr>
        <w:t xml:space="preserve"> </w:t>
      </w:r>
      <w:r w:rsidR="008E7FCE">
        <w:rPr>
          <w:szCs w:val="24"/>
        </w:rPr>
        <w:lastRenderedPageBreak/>
        <w:t xml:space="preserve">for </w:t>
      </w:r>
      <w:r w:rsidR="008E7FCE" w:rsidRPr="00B85A8F">
        <w:rPr>
          <w:szCs w:val="24"/>
        </w:rPr>
        <w:t xml:space="preserve">uncomplicated malaria and severe malaria respectively. The number of number children recruited </w:t>
      </w:r>
      <w:r w:rsidR="008E7FCE">
        <w:rPr>
          <w:szCs w:val="24"/>
        </w:rPr>
        <w:t xml:space="preserve">from </w:t>
      </w:r>
      <w:r w:rsidR="008E7FCE" w:rsidRPr="00B85A8F">
        <w:rPr>
          <w:rFonts w:eastAsiaTheme="minorEastAsia"/>
          <w:szCs w:val="24"/>
        </w:rPr>
        <w:t>the naïve susceptible (</w:t>
      </w:r>
      <w:r w:rsidR="008E7FCE" w:rsidRPr="00B85A8F">
        <w:rPr>
          <w:rFonts w:eastAsiaTheme="minorEastAsia"/>
          <w:b/>
          <w:szCs w:val="24"/>
        </w:rPr>
        <w:t>Sn</w:t>
      </w:r>
      <w:r w:rsidR="008E7FCE" w:rsidRPr="00B85A8F">
        <w:rPr>
          <w:rFonts w:eastAsiaTheme="minorEastAsia"/>
          <w:szCs w:val="24"/>
        </w:rPr>
        <w:t>) children under 6 years of age, non-naïve susceptible (</w:t>
      </w:r>
      <w:r w:rsidR="008E7FCE" w:rsidRPr="00B85A8F">
        <w:rPr>
          <w:rFonts w:eastAsiaTheme="minorEastAsia"/>
          <w:b/>
          <w:szCs w:val="24"/>
        </w:rPr>
        <w:t>Snn</w:t>
      </w:r>
      <w:r w:rsidR="008E7FCE" w:rsidRPr="00B85A8F">
        <w:rPr>
          <w:rFonts w:eastAsiaTheme="minorEastAsia"/>
          <w:szCs w:val="24"/>
        </w:rPr>
        <w:t>), symptomatic (</w:t>
      </w:r>
      <w:r w:rsidR="008E7FCE" w:rsidRPr="00B85A8F">
        <w:rPr>
          <w:rFonts w:eastAsiaTheme="minorEastAsia"/>
          <w:b/>
          <w:szCs w:val="24"/>
        </w:rPr>
        <w:t>Ic</w:t>
      </w:r>
      <w:r w:rsidR="008E7FCE" w:rsidRPr="00B85A8F">
        <w:rPr>
          <w:rFonts w:eastAsiaTheme="minorEastAsia"/>
          <w:szCs w:val="24"/>
        </w:rPr>
        <w:t>), asymptomatic (</w:t>
      </w:r>
      <w:r w:rsidR="008E7FCE" w:rsidRPr="00B85A8F">
        <w:rPr>
          <w:rFonts w:eastAsiaTheme="minorEastAsia"/>
          <w:b/>
          <w:szCs w:val="24"/>
        </w:rPr>
        <w:t>Ia</w:t>
      </w:r>
      <w:r w:rsidR="008E7FCE" w:rsidRPr="00B85A8F">
        <w:rPr>
          <w:rFonts w:eastAsiaTheme="minorEastAsia"/>
          <w:szCs w:val="24"/>
        </w:rPr>
        <w:t>), severe malaria (</w:t>
      </w:r>
      <w:r w:rsidR="008E7FCE" w:rsidRPr="00B85A8F">
        <w:rPr>
          <w:rFonts w:eastAsiaTheme="minorEastAsia"/>
          <w:b/>
          <w:szCs w:val="24"/>
        </w:rPr>
        <w:t>Isd</w:t>
      </w:r>
      <w:r w:rsidR="008E7FCE" w:rsidRPr="00B85A8F">
        <w:rPr>
          <w:rFonts w:eastAsiaTheme="minorEastAsia"/>
          <w:szCs w:val="24"/>
        </w:rPr>
        <w:t>) and sub-microscopic (</w:t>
      </w:r>
      <w:r w:rsidR="008E7FCE" w:rsidRPr="00B85A8F">
        <w:rPr>
          <w:rFonts w:eastAsiaTheme="minorEastAsia"/>
          <w:b/>
          <w:szCs w:val="24"/>
        </w:rPr>
        <w:t>Ism</w:t>
      </w:r>
      <w:r w:rsidR="008E7FCE" w:rsidRPr="00B85A8F">
        <w:rPr>
          <w:rFonts w:eastAsiaTheme="minorEastAsia"/>
          <w:szCs w:val="24"/>
        </w:rPr>
        <w:t>) compartments</w:t>
      </w:r>
      <w:r w:rsidR="008E7FCE" w:rsidRPr="00B85A8F">
        <w:rPr>
          <w:szCs w:val="24"/>
        </w:rPr>
        <w:t xml:space="preserve"> </w:t>
      </w:r>
      <w:r w:rsidR="008E7FCE">
        <w:rPr>
          <w:szCs w:val="24"/>
        </w:rPr>
        <w:t xml:space="preserve">transit through the </w:t>
      </w:r>
      <w:r w:rsidR="008E7FCE" w:rsidRPr="00107D12">
        <w:rPr>
          <w:b/>
          <w:szCs w:val="24"/>
        </w:rPr>
        <w:t>SMC</w:t>
      </w:r>
      <w:r w:rsidR="008E7FCE">
        <w:rPr>
          <w:b/>
          <w:szCs w:val="24"/>
        </w:rPr>
        <w:t xml:space="preserve"> </w:t>
      </w:r>
      <w:r w:rsidR="008E7FCE" w:rsidRPr="00B85A8F">
        <w:rPr>
          <w:szCs w:val="24"/>
        </w:rPr>
        <w:t>compartment as shown</w:t>
      </w:r>
      <w:r w:rsidR="0003165E">
        <w:t>. The following scenarios were applied:</w:t>
      </w:r>
    </w:p>
    <w:p w14:paraId="16469E2C" w14:textId="77777777" w:rsidR="00BE69EA" w:rsidRDefault="00BE69EA" w:rsidP="002B6379">
      <w:pPr>
        <w:pStyle w:val="ListParagraph"/>
        <w:numPr>
          <w:ilvl w:val="1"/>
          <w:numId w:val="7"/>
        </w:numPr>
        <w:spacing w:line="480" w:lineRule="auto"/>
        <w:ind w:left="1440"/>
        <w:jc w:val="both"/>
      </w:pPr>
      <w:r w:rsidRPr="00C15EA7">
        <w:t>Treatment with SP</w:t>
      </w:r>
      <w:r>
        <w:t xml:space="preserve"> +AQ</w:t>
      </w:r>
      <w:r w:rsidRPr="00C15EA7">
        <w:t xml:space="preserve"> for </w:t>
      </w:r>
      <w:r>
        <w:t>four rounds (</w:t>
      </w:r>
      <w:r w:rsidR="00981A5B">
        <w:t xml:space="preserve">four </w:t>
      </w:r>
      <w:r>
        <w:t>month</w:t>
      </w:r>
      <w:r w:rsidR="00981A5B">
        <w:t>s</w:t>
      </w:r>
      <w:r>
        <w:t xml:space="preserve">) through the </w:t>
      </w:r>
      <w:r w:rsidRPr="00C15EA7">
        <w:t>rainy season</w:t>
      </w:r>
      <w:r>
        <w:t xml:space="preserve"> (July to Oct)</w:t>
      </w:r>
      <w:r w:rsidR="007F6241">
        <w:t xml:space="preserve"> for children </w:t>
      </w:r>
      <w:r w:rsidR="002F15D0">
        <w:t>between 3</w:t>
      </w:r>
      <w:r w:rsidR="007E1F9B">
        <w:t xml:space="preserve"> </w:t>
      </w:r>
      <w:r w:rsidR="002F15D0">
        <w:t>- 59 months</w:t>
      </w:r>
      <w:r w:rsidR="00EA44E8">
        <w:t xml:space="preserve"> </w:t>
      </w:r>
      <w:r w:rsidR="007F6241">
        <w:t>of age</w:t>
      </w:r>
      <w:r w:rsidRPr="00C15EA7">
        <w:t>.</w:t>
      </w:r>
    </w:p>
    <w:p w14:paraId="2E2ECE02" w14:textId="77777777" w:rsidR="00BE69EA" w:rsidRDefault="00BE69EA" w:rsidP="002B6379">
      <w:pPr>
        <w:pStyle w:val="ListParagraph"/>
        <w:numPr>
          <w:ilvl w:val="1"/>
          <w:numId w:val="7"/>
        </w:numPr>
        <w:spacing w:line="480" w:lineRule="auto"/>
        <w:ind w:left="1440"/>
        <w:jc w:val="both"/>
      </w:pPr>
      <w:r>
        <w:t xml:space="preserve">Sample population of </w:t>
      </w:r>
      <w:r w:rsidR="002F15D0">
        <w:t>5</w:t>
      </w:r>
      <w:r>
        <w:t xml:space="preserve">0% vs </w:t>
      </w:r>
      <w:r w:rsidR="002F15D0">
        <w:t>9</w:t>
      </w:r>
      <w:r>
        <w:t>0% in each round</w:t>
      </w:r>
    </w:p>
    <w:p w14:paraId="54A1FC44" w14:textId="77777777" w:rsidR="00EC22DD" w:rsidRPr="004C2A45" w:rsidRDefault="007E1F9B" w:rsidP="00EC22DD">
      <w:pPr>
        <w:spacing w:after="0" w:line="240" w:lineRule="auto"/>
        <w:jc w:val="center"/>
        <w:rPr>
          <w:rFonts w:eastAsia="Times New Roman"/>
          <w:szCs w:val="24"/>
        </w:rPr>
      </w:pPr>
      <w:r w:rsidRPr="007205EC">
        <w:rPr>
          <w:rFonts w:eastAsia="Times New Roman"/>
          <w:noProof/>
          <w:szCs w:val="24"/>
          <w:lang w:val="en-GB" w:eastAsia="en-GB"/>
        </w:rPr>
        <w:drawing>
          <wp:inline distT="0" distB="0" distL="0" distR="0" wp14:anchorId="427F2E15" wp14:editId="2417AD14">
            <wp:extent cx="4643252" cy="3556752"/>
            <wp:effectExtent l="0" t="0" r="5080" b="5715"/>
            <wp:docPr id="3" name="Picture 3" descr="C:\Users\AWNTIM001\Google Drive\Cape Town 2019\Term 2\Paper 5\SMC model diagram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AWNTIM001\Google Drive\Cape Town 2019\Term 2\Paper 5\SMC model diagram .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64963" cy="3573383"/>
                    </a:xfrm>
                    <a:prstGeom prst="rect">
                      <a:avLst/>
                    </a:prstGeom>
                    <a:noFill/>
                    <a:ln>
                      <a:noFill/>
                    </a:ln>
                  </pic:spPr>
                </pic:pic>
              </a:graphicData>
            </a:graphic>
          </wp:inline>
        </w:drawing>
      </w:r>
    </w:p>
    <w:p w14:paraId="655798DD" w14:textId="77777777" w:rsidR="00EC22DD" w:rsidRPr="004C2A45" w:rsidRDefault="00EC22DD" w:rsidP="00EC22DD">
      <w:pPr>
        <w:spacing w:after="0" w:line="240" w:lineRule="auto"/>
        <w:rPr>
          <w:rFonts w:eastAsia="Times New Roman"/>
          <w:b/>
          <w:szCs w:val="24"/>
        </w:rPr>
      </w:pPr>
      <w:r w:rsidRPr="004C2A45">
        <w:rPr>
          <w:rFonts w:eastAsia="Times New Roman"/>
          <w:b/>
          <w:szCs w:val="24"/>
        </w:rPr>
        <w:t>Fig 2 Sub model for investigating Seasonal Malaria Chemotherapy (SMC) in the Guinea savannah zone.</w:t>
      </w:r>
    </w:p>
    <w:p w14:paraId="6C904028" w14:textId="77777777" w:rsidR="0003165E" w:rsidRPr="004C2A45" w:rsidRDefault="0003165E" w:rsidP="00EC22DD">
      <w:pPr>
        <w:spacing w:after="0" w:line="240" w:lineRule="auto"/>
        <w:rPr>
          <w:rFonts w:eastAsia="Times New Roman"/>
          <w:b/>
          <w:szCs w:val="24"/>
        </w:rPr>
      </w:pPr>
    </w:p>
    <w:p w14:paraId="74FA319E" w14:textId="77777777" w:rsidR="007E1F9B" w:rsidRDefault="007E1F9B" w:rsidP="002B6379">
      <w:pPr>
        <w:spacing w:after="0" w:line="480" w:lineRule="auto"/>
        <w:jc w:val="both"/>
        <w:rPr>
          <w:szCs w:val="24"/>
        </w:rPr>
      </w:pPr>
      <w:r>
        <w:rPr>
          <w:szCs w:val="24"/>
        </w:rPr>
        <w:t>It is assumed here that, treated children remain protected within the period of treatment which last for a month and assumed to be protected for four months for the four months of treatment in a year.</w:t>
      </w:r>
    </w:p>
    <w:p w14:paraId="3D4E7A9A" w14:textId="77777777" w:rsidR="0003165E" w:rsidRPr="004C2A45" w:rsidRDefault="0003165E" w:rsidP="002B6379">
      <w:pPr>
        <w:spacing w:after="0" w:line="240" w:lineRule="auto"/>
        <w:jc w:val="both"/>
        <w:rPr>
          <w:rFonts w:eastAsia="Times New Roman"/>
          <w:b/>
          <w:szCs w:val="24"/>
        </w:rPr>
      </w:pPr>
    </w:p>
    <w:p w14:paraId="06C237B2" w14:textId="77777777" w:rsidR="00610F45" w:rsidRDefault="0003165E" w:rsidP="002B6379">
      <w:pPr>
        <w:pStyle w:val="ListParagraph"/>
        <w:numPr>
          <w:ilvl w:val="0"/>
          <w:numId w:val="7"/>
        </w:numPr>
        <w:spacing w:line="480" w:lineRule="auto"/>
        <w:ind w:left="720"/>
        <w:jc w:val="both"/>
      </w:pPr>
      <w:r>
        <w:t xml:space="preserve">The impact of </w:t>
      </w:r>
      <w:r w:rsidR="00610F45">
        <w:t xml:space="preserve">MSAT </w:t>
      </w:r>
      <w:r>
        <w:t xml:space="preserve">under various scenarios were also investigated </w:t>
      </w:r>
      <w:r w:rsidR="00610F45">
        <w:t>in the forest and coastal zones</w:t>
      </w:r>
      <w:r w:rsidR="007A6E70">
        <w:t xml:space="preserve"> as depicted by Fig 3, which is built into the base model in Fig 1</w:t>
      </w:r>
      <w:r>
        <w:t xml:space="preserve">. </w:t>
      </w:r>
      <w:r w:rsidR="007A6E70">
        <w:t xml:space="preserve">With respect to </w:t>
      </w:r>
      <w:r w:rsidR="007A6E70">
        <w:lastRenderedPageBreak/>
        <w:t>MSAT, o</w:t>
      </w:r>
      <w:r>
        <w:t>nly sample</w:t>
      </w:r>
      <w:r w:rsidR="007A6E70">
        <w:t>d</w:t>
      </w:r>
      <w:r>
        <w:t xml:space="preserve"> members of the population who test</w:t>
      </w:r>
      <w:r w:rsidR="007A6E70">
        <w:t>ed</w:t>
      </w:r>
      <w:r>
        <w:t xml:space="preserve"> positive for malaria infectio</w:t>
      </w:r>
      <w:r w:rsidR="007A6E70">
        <w:t>n with an RDT were considered f</w:t>
      </w:r>
      <w:r>
        <w:t>o</w:t>
      </w:r>
      <w:r w:rsidR="007A6E70">
        <w:t>r</w:t>
      </w:r>
      <w:r>
        <w:t xml:space="preserve"> treatment.</w:t>
      </w:r>
      <w:r w:rsidR="007A6E70" w:rsidRPr="007A6E70">
        <w:t xml:space="preserve"> </w:t>
      </w:r>
      <w:r w:rsidR="007A6E70">
        <w:t>The following scenarios were applied:</w:t>
      </w:r>
    </w:p>
    <w:p w14:paraId="63DF61A8" w14:textId="77777777" w:rsidR="00610F45" w:rsidRDefault="00610F45" w:rsidP="002B6379">
      <w:pPr>
        <w:pStyle w:val="ListParagraph"/>
        <w:numPr>
          <w:ilvl w:val="1"/>
          <w:numId w:val="7"/>
        </w:numPr>
        <w:spacing w:line="480" w:lineRule="auto"/>
        <w:ind w:left="1440"/>
        <w:jc w:val="both"/>
      </w:pPr>
      <w:r>
        <w:t>Treatment with ACTs</w:t>
      </w:r>
      <w:r w:rsidRPr="003A1658">
        <w:t xml:space="preserve"> </w:t>
      </w:r>
      <w:r>
        <w:t>four times a year. Two in May and June in the major raining season and two in Sept and Oct in minor raining season</w:t>
      </w:r>
    </w:p>
    <w:p w14:paraId="0BB25A81" w14:textId="77777777" w:rsidR="00610F45" w:rsidRDefault="00610F45" w:rsidP="002B6379">
      <w:pPr>
        <w:pStyle w:val="ListParagraph"/>
        <w:numPr>
          <w:ilvl w:val="1"/>
          <w:numId w:val="7"/>
        </w:numPr>
        <w:spacing w:line="480" w:lineRule="auto"/>
        <w:ind w:left="1440"/>
        <w:jc w:val="both"/>
      </w:pPr>
      <w:r>
        <w:t>Sample population of 20% vs 50% in each round</w:t>
      </w:r>
    </w:p>
    <w:p w14:paraId="5446ACA0" w14:textId="77777777" w:rsidR="00EC22DD" w:rsidRPr="004C2A45" w:rsidRDefault="00EC22DD" w:rsidP="002B6379">
      <w:pPr>
        <w:spacing w:after="0" w:line="240" w:lineRule="auto"/>
        <w:jc w:val="both"/>
        <w:rPr>
          <w:rFonts w:eastAsia="Times New Roman"/>
          <w:szCs w:val="24"/>
        </w:rPr>
      </w:pPr>
    </w:p>
    <w:p w14:paraId="365964F2" w14:textId="77777777" w:rsidR="00EC22DD" w:rsidRPr="004C2A45" w:rsidRDefault="005371BE" w:rsidP="00EC22DD">
      <w:pPr>
        <w:spacing w:after="0" w:line="240" w:lineRule="auto"/>
        <w:jc w:val="center"/>
        <w:rPr>
          <w:rFonts w:eastAsia="Times New Roman"/>
          <w:szCs w:val="24"/>
        </w:rPr>
      </w:pPr>
      <w:r w:rsidRPr="004C2A45">
        <w:rPr>
          <w:rFonts w:eastAsia="Times New Roman"/>
          <w:noProof/>
          <w:szCs w:val="24"/>
          <w:lang w:val="en-GB" w:eastAsia="en-GB"/>
        </w:rPr>
        <w:drawing>
          <wp:inline distT="0" distB="0" distL="0" distR="0" wp14:anchorId="3B579CC0" wp14:editId="1DAE80C7">
            <wp:extent cx="4679674" cy="3543329"/>
            <wp:effectExtent l="0" t="0" r="6985" b="0"/>
            <wp:docPr id="113" name="Picture 24" descr="C:\Users\AWNTIM001\Google Drive\Cape Town 2019\Term 2\Paper 3\MSAT model 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WNTIM001\Google Drive\Cape Town 2019\Term 2\Paper 3\MSAT model diagram.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96760" cy="3556266"/>
                    </a:xfrm>
                    <a:prstGeom prst="rect">
                      <a:avLst/>
                    </a:prstGeom>
                    <a:noFill/>
                    <a:ln>
                      <a:noFill/>
                    </a:ln>
                  </pic:spPr>
                </pic:pic>
              </a:graphicData>
            </a:graphic>
          </wp:inline>
        </w:drawing>
      </w:r>
    </w:p>
    <w:p w14:paraId="1E826432" w14:textId="3D3E57E9" w:rsidR="00EC22DD" w:rsidRPr="004C2A45" w:rsidRDefault="00EC22DD" w:rsidP="00EC22DD">
      <w:pPr>
        <w:spacing w:after="0" w:line="240" w:lineRule="auto"/>
        <w:rPr>
          <w:rFonts w:eastAsia="Times New Roman"/>
          <w:b/>
          <w:szCs w:val="24"/>
        </w:rPr>
      </w:pPr>
      <w:r w:rsidRPr="004C2A45">
        <w:rPr>
          <w:rFonts w:eastAsia="Times New Roman"/>
          <w:b/>
          <w:szCs w:val="24"/>
        </w:rPr>
        <w:t xml:space="preserve">Fig 3 Sub model for investigating </w:t>
      </w:r>
      <w:r w:rsidR="00290B41">
        <w:rPr>
          <w:rFonts w:eastAsia="Times New Roman"/>
          <w:b/>
          <w:szCs w:val="24"/>
        </w:rPr>
        <w:t>Mass Screen and Treat</w:t>
      </w:r>
      <w:r w:rsidRPr="004C2A45">
        <w:rPr>
          <w:rFonts w:eastAsia="Times New Roman"/>
          <w:b/>
          <w:szCs w:val="24"/>
        </w:rPr>
        <w:t xml:space="preserve"> (M</w:t>
      </w:r>
      <w:r w:rsidR="00290B41">
        <w:rPr>
          <w:rFonts w:eastAsia="Times New Roman"/>
          <w:b/>
          <w:szCs w:val="24"/>
        </w:rPr>
        <w:t>SAT</w:t>
      </w:r>
      <w:r w:rsidRPr="004C2A45">
        <w:rPr>
          <w:rFonts w:eastAsia="Times New Roman"/>
          <w:b/>
          <w:szCs w:val="24"/>
        </w:rPr>
        <w:t>) in the Transitional forest and Coastal savannah zones.</w:t>
      </w:r>
    </w:p>
    <w:p w14:paraId="0B4A8232" w14:textId="77777777" w:rsidR="00EC22DD" w:rsidRDefault="00EC22DD" w:rsidP="00B33B67">
      <w:pPr>
        <w:rPr>
          <w:rFonts w:eastAsia="Times New Roman"/>
          <w:b/>
          <w:szCs w:val="24"/>
        </w:rPr>
      </w:pPr>
    </w:p>
    <w:p w14:paraId="44717C33" w14:textId="77777777" w:rsidR="008E7FCE" w:rsidRDefault="008E7FCE" w:rsidP="00B33B67">
      <w:pPr>
        <w:rPr>
          <w:rFonts w:eastAsia="Times New Roman"/>
          <w:b/>
          <w:szCs w:val="24"/>
        </w:rPr>
      </w:pPr>
    </w:p>
    <w:p w14:paraId="50B687AB" w14:textId="77777777" w:rsidR="008E7FCE" w:rsidRDefault="008E7FCE" w:rsidP="00B33B67">
      <w:pPr>
        <w:rPr>
          <w:rFonts w:eastAsia="Times New Roman"/>
          <w:b/>
          <w:szCs w:val="24"/>
        </w:rPr>
      </w:pPr>
    </w:p>
    <w:p w14:paraId="057F8E7B" w14:textId="77777777" w:rsidR="008E7FCE" w:rsidRDefault="008E7FCE" w:rsidP="00B33B67">
      <w:pPr>
        <w:rPr>
          <w:rFonts w:eastAsia="Times New Roman"/>
          <w:b/>
          <w:szCs w:val="24"/>
        </w:rPr>
      </w:pPr>
    </w:p>
    <w:p w14:paraId="0989B29E" w14:textId="77777777" w:rsidR="008E7FCE" w:rsidRDefault="008E7FCE" w:rsidP="00B33B67">
      <w:pPr>
        <w:rPr>
          <w:rFonts w:eastAsia="Times New Roman"/>
          <w:b/>
          <w:szCs w:val="24"/>
        </w:rPr>
      </w:pPr>
    </w:p>
    <w:p w14:paraId="02961824" w14:textId="77777777" w:rsidR="008E7FCE" w:rsidRDefault="008E7FCE" w:rsidP="00B33B67">
      <w:pPr>
        <w:rPr>
          <w:rFonts w:eastAsia="Times New Roman"/>
          <w:b/>
          <w:szCs w:val="24"/>
        </w:rPr>
      </w:pPr>
    </w:p>
    <w:p w14:paraId="5328CE28" w14:textId="77777777" w:rsidR="008E7FCE" w:rsidRDefault="008E7FCE" w:rsidP="00B33B67">
      <w:pPr>
        <w:rPr>
          <w:rFonts w:eastAsia="Times New Roman"/>
          <w:b/>
          <w:szCs w:val="24"/>
        </w:rPr>
      </w:pPr>
    </w:p>
    <w:p w14:paraId="39328B21" w14:textId="77777777" w:rsidR="006F1B7D" w:rsidRDefault="006F1B7D" w:rsidP="00B33B67">
      <w:pPr>
        <w:rPr>
          <w:rFonts w:eastAsia="Times New Roman"/>
          <w:b/>
          <w:szCs w:val="24"/>
        </w:rPr>
      </w:pPr>
    </w:p>
    <w:p w14:paraId="6310492D" w14:textId="77777777" w:rsidR="006F1B7D" w:rsidRDefault="006F1B7D" w:rsidP="00B33B67">
      <w:pPr>
        <w:rPr>
          <w:rFonts w:eastAsia="Times New Roman"/>
          <w:b/>
          <w:szCs w:val="24"/>
        </w:rPr>
      </w:pPr>
    </w:p>
    <w:p w14:paraId="02D43B89" w14:textId="77777777" w:rsidR="006F1B7D" w:rsidRDefault="006F1B7D" w:rsidP="00B33B67">
      <w:pPr>
        <w:rPr>
          <w:rFonts w:eastAsia="Times New Roman"/>
          <w:b/>
          <w:szCs w:val="24"/>
        </w:rPr>
      </w:pPr>
    </w:p>
    <w:p w14:paraId="7FDAB02E" w14:textId="77777777" w:rsidR="008E7FCE" w:rsidRPr="004C2A45" w:rsidRDefault="008E7FCE" w:rsidP="008E7FCE">
      <w:pPr>
        <w:rPr>
          <w:rFonts w:eastAsia="Times New Roman"/>
          <w:szCs w:val="24"/>
        </w:rPr>
      </w:pPr>
      <w:r w:rsidRPr="004C2A45">
        <w:rPr>
          <w:rFonts w:eastAsia="Times New Roman"/>
          <w:b/>
          <w:szCs w:val="24"/>
        </w:rPr>
        <w:lastRenderedPageBreak/>
        <w:t xml:space="preserve">Appendix A: </w:t>
      </w:r>
      <w:r w:rsidRPr="004C2A45">
        <w:rPr>
          <w:rFonts w:eastAsia="Times New Roman"/>
          <w:szCs w:val="24"/>
        </w:rPr>
        <w:t>Graphs for the dynamics of human population model with fitted parameter values</w:t>
      </w:r>
    </w:p>
    <w:p w14:paraId="03A5C542" w14:textId="77777777" w:rsidR="008E7FCE" w:rsidRDefault="008E7FCE" w:rsidP="008E7FCE">
      <w:pPr>
        <w:rPr>
          <w:rFonts w:eastAsia="Times New Roman"/>
          <w:b/>
          <w:szCs w:val="24"/>
        </w:rPr>
      </w:pPr>
      <w:r w:rsidRPr="004C2A45">
        <w:rPr>
          <w:rFonts w:eastAsia="Times New Roman"/>
          <w:b/>
          <w:szCs w:val="24"/>
        </w:rPr>
        <w:t>Guinea savannah</w:t>
      </w:r>
    </w:p>
    <w:p w14:paraId="098D21DD" w14:textId="77777777" w:rsidR="008E7FCE" w:rsidRDefault="008E7FCE" w:rsidP="008E7FCE">
      <w:pPr>
        <w:spacing w:line="240" w:lineRule="auto"/>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b/>
          <w:szCs w:val="24"/>
        </w:rPr>
        <w:object w:dxaOrig="10260" w:dyaOrig="5401" w14:anchorId="50EE703C">
          <v:shape id="_x0000_i1026" type="#_x0000_t75" style="width:516pt;height:271.5pt" o:ole="">
            <v:imagedata r:id="rId25" o:title=""/>
          </v:shape>
          <o:OLEObject Type="Embed" ProgID="AcroExch.Document.DC" ShapeID="_x0000_i1026" DrawAspect="Content" ObjectID="_1648879062" r:id="rId26"/>
        </w:object>
      </w:r>
    </w:p>
    <w:p w14:paraId="0658C732" w14:textId="77777777" w:rsidR="008E7FCE" w:rsidRPr="004C2A45" w:rsidRDefault="008E7FCE" w:rsidP="008E7FCE">
      <w:pPr>
        <w:rPr>
          <w:rFonts w:eastAsia="Times New Roman"/>
          <w:b/>
          <w:szCs w:val="24"/>
        </w:rPr>
      </w:pPr>
      <w:r w:rsidRPr="004C2A45">
        <w:rPr>
          <w:rFonts w:eastAsia="Times New Roman"/>
          <w:b/>
          <w:szCs w:val="24"/>
        </w:rPr>
        <w:t>Fig 4</w:t>
      </w:r>
      <w:r>
        <w:rPr>
          <w:rFonts w:eastAsia="Times New Roman"/>
          <w:b/>
          <w:szCs w:val="24"/>
        </w:rPr>
        <w:t>a</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uncomplicated case for the Guinea savannah zone.</w:t>
      </w:r>
    </w:p>
    <w:p w14:paraId="16DE8D94" w14:textId="77777777" w:rsidR="008E7FCE" w:rsidRDefault="008E7FCE" w:rsidP="008E7FCE">
      <w:pPr>
        <w:rPr>
          <w:rFonts w:eastAsia="Times New Roman"/>
          <w:b/>
          <w:szCs w:val="24"/>
        </w:rPr>
      </w:pPr>
    </w:p>
    <w:p w14:paraId="72EA1405" w14:textId="77777777" w:rsidR="008E7FCE" w:rsidRDefault="008E7FCE" w:rsidP="008E7FCE">
      <w:pPr>
        <w:pStyle w:val="ListParagraph"/>
        <w:spacing w:line="240" w:lineRule="auto"/>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snapToGrid w:val="0"/>
          <w:color w:val="000000"/>
          <w:w w:val="0"/>
          <w:sz w:val="0"/>
          <w:szCs w:val="0"/>
          <w:u w:color="000000"/>
          <w:bdr w:val="none" w:sz="0" w:space="0" w:color="000000"/>
          <w:shd w:val="clear" w:color="000000" w:fill="000000"/>
          <w:lang w:val="x-none" w:eastAsia="x-none" w:bidi="x-none"/>
        </w:rPr>
        <w:object w:dxaOrig="10260" w:dyaOrig="5401" w14:anchorId="66548456">
          <v:shape id="_x0000_i1027" type="#_x0000_t75" style="width:516pt;height:271.5pt" o:ole="">
            <v:imagedata r:id="rId27" o:title=""/>
          </v:shape>
          <o:OLEObject Type="Embed" ProgID="AcroExch.Document.DC" ShapeID="_x0000_i1027" DrawAspect="Content" ObjectID="_1648879063" r:id="rId28"/>
        </w:object>
      </w:r>
    </w:p>
    <w:p w14:paraId="190EF8EF" w14:textId="77777777" w:rsidR="008E7FCE" w:rsidRPr="004C2A45" w:rsidRDefault="008E7FCE" w:rsidP="008E7FCE">
      <w:pPr>
        <w:rPr>
          <w:rFonts w:eastAsia="Times New Roman"/>
          <w:b/>
          <w:szCs w:val="24"/>
        </w:rPr>
      </w:pPr>
      <w:r w:rsidRPr="004C2A45">
        <w:rPr>
          <w:rFonts w:eastAsia="Times New Roman"/>
          <w:b/>
          <w:szCs w:val="24"/>
        </w:rPr>
        <w:t>Fig 4</w:t>
      </w:r>
      <w:r>
        <w:rPr>
          <w:rFonts w:eastAsia="Times New Roman"/>
          <w:b/>
          <w:szCs w:val="24"/>
        </w:rPr>
        <w:t>b</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severe cases for the Guinea savannah zone.</w:t>
      </w:r>
    </w:p>
    <w:p w14:paraId="6E7098B3" w14:textId="77777777" w:rsidR="008E7FCE" w:rsidRPr="004C2A45" w:rsidRDefault="008E7FCE" w:rsidP="008E7FCE">
      <w:pPr>
        <w:rPr>
          <w:rFonts w:eastAsia="Times New Roman"/>
          <w:b/>
          <w:szCs w:val="24"/>
        </w:rPr>
      </w:pPr>
    </w:p>
    <w:p w14:paraId="709F0DD9" w14:textId="77777777" w:rsidR="008E7FCE" w:rsidRDefault="008E7FCE" w:rsidP="008E7FCE">
      <w:pPr>
        <w:rPr>
          <w:rFonts w:eastAsia="Times New Roman"/>
          <w:b/>
          <w:szCs w:val="24"/>
        </w:rPr>
      </w:pPr>
    </w:p>
    <w:p w14:paraId="20E343BB" w14:textId="77777777" w:rsidR="008E7FCE" w:rsidRDefault="008E7FCE" w:rsidP="008E7FCE">
      <w:pPr>
        <w:pStyle w:val="ListParagraph"/>
        <w:spacing w:line="240" w:lineRule="auto"/>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b/>
          <w:szCs w:val="24"/>
        </w:rPr>
        <w:object w:dxaOrig="10260" w:dyaOrig="5401" w14:anchorId="5365CF93">
          <v:shape id="_x0000_i1028" type="#_x0000_t75" style="width:516pt;height:271.5pt" o:ole="">
            <v:imagedata r:id="rId29" o:title=""/>
          </v:shape>
          <o:OLEObject Type="Embed" ProgID="AcroExch.Document.DC" ShapeID="_x0000_i1028" DrawAspect="Content" ObjectID="_1648879064" r:id="rId30"/>
        </w:object>
      </w:r>
    </w:p>
    <w:p w14:paraId="49AA2730"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1FAE3681" w14:textId="77777777" w:rsidR="008E7FCE" w:rsidRDefault="008E7FCE" w:rsidP="008E7FCE">
      <w:pPr>
        <w:pStyle w:val="ListParagraph"/>
        <w:tabs>
          <w:tab w:val="left" w:pos="5160"/>
        </w:tabs>
        <w:ind w:left="0"/>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snapToGrid w:val="0"/>
          <w:color w:val="000000"/>
          <w:w w:val="0"/>
          <w:sz w:val="0"/>
          <w:szCs w:val="0"/>
          <w:u w:color="000000"/>
          <w:bdr w:val="none" w:sz="0" w:space="0" w:color="000000"/>
          <w:shd w:val="clear" w:color="000000" w:fill="000000"/>
          <w:lang w:val="x-none" w:eastAsia="x-none" w:bidi="x-none"/>
        </w:rPr>
        <w:tab/>
      </w:r>
    </w:p>
    <w:p w14:paraId="796DB313"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007BD34C"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2965B399"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3DA7B5C5"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65F52CF4"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09CA81D5"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38E37F27" w14:textId="77777777" w:rsidR="008E7FCE" w:rsidRPr="004C2A45" w:rsidRDefault="008E7FCE" w:rsidP="008E7FCE">
      <w:pPr>
        <w:spacing w:line="240" w:lineRule="auto"/>
        <w:rPr>
          <w:rFonts w:eastAsia="Times New Roman"/>
          <w:b/>
          <w:szCs w:val="24"/>
        </w:rPr>
      </w:pPr>
      <w:r w:rsidRPr="004C2A45">
        <w:rPr>
          <w:rFonts w:eastAsia="Times New Roman"/>
          <w:b/>
          <w:szCs w:val="24"/>
        </w:rPr>
        <w:t>Fig 4</w:t>
      </w:r>
      <w:r>
        <w:rPr>
          <w:rFonts w:eastAsia="Times New Roman"/>
          <w:b/>
          <w:szCs w:val="24"/>
        </w:rPr>
        <w:t>c</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malaria in pregnancy for the Guinea savannah zone.</w:t>
      </w:r>
    </w:p>
    <w:p w14:paraId="1660AE04" w14:textId="77777777" w:rsidR="008E7FCE" w:rsidRDefault="008E7FCE" w:rsidP="008E7FCE">
      <w:pPr>
        <w:rPr>
          <w:rFonts w:eastAsia="Times New Roman"/>
          <w:szCs w:val="24"/>
        </w:rPr>
      </w:pPr>
    </w:p>
    <w:p w14:paraId="160087CD" w14:textId="77777777" w:rsidR="008E7FCE" w:rsidRDefault="008E7FCE" w:rsidP="008E7FCE">
      <w:pPr>
        <w:rPr>
          <w:rFonts w:eastAsia="Times New Roman"/>
          <w:szCs w:val="24"/>
        </w:rPr>
      </w:pPr>
    </w:p>
    <w:p w14:paraId="216A46AA" w14:textId="77777777" w:rsidR="006F1B7D" w:rsidRDefault="006F1B7D" w:rsidP="008E7FCE">
      <w:pPr>
        <w:rPr>
          <w:rFonts w:eastAsia="Times New Roman"/>
          <w:szCs w:val="24"/>
        </w:rPr>
      </w:pPr>
    </w:p>
    <w:p w14:paraId="0525A3A1" w14:textId="77777777" w:rsidR="006F1B7D" w:rsidRDefault="006F1B7D" w:rsidP="008E7FCE">
      <w:pPr>
        <w:rPr>
          <w:rFonts w:eastAsia="Times New Roman"/>
          <w:szCs w:val="24"/>
        </w:rPr>
      </w:pPr>
    </w:p>
    <w:p w14:paraId="10030FFD" w14:textId="77777777" w:rsidR="006F1B7D" w:rsidRDefault="006F1B7D" w:rsidP="008E7FCE">
      <w:pPr>
        <w:rPr>
          <w:rFonts w:eastAsia="Times New Roman"/>
          <w:szCs w:val="24"/>
        </w:rPr>
      </w:pPr>
    </w:p>
    <w:p w14:paraId="60890EBC" w14:textId="77777777" w:rsidR="006F1B7D" w:rsidRDefault="006F1B7D" w:rsidP="008E7FCE">
      <w:pPr>
        <w:rPr>
          <w:rFonts w:eastAsia="Times New Roman"/>
          <w:szCs w:val="24"/>
        </w:rPr>
      </w:pPr>
    </w:p>
    <w:p w14:paraId="05073A7C" w14:textId="77777777" w:rsidR="006F1B7D" w:rsidRDefault="006F1B7D" w:rsidP="008E7FCE">
      <w:pPr>
        <w:rPr>
          <w:rFonts w:eastAsia="Times New Roman"/>
          <w:szCs w:val="24"/>
        </w:rPr>
      </w:pPr>
    </w:p>
    <w:p w14:paraId="015B6804" w14:textId="77777777" w:rsidR="006F1B7D" w:rsidRDefault="006F1B7D" w:rsidP="008E7FCE">
      <w:pPr>
        <w:rPr>
          <w:rFonts w:eastAsia="Times New Roman"/>
          <w:szCs w:val="24"/>
        </w:rPr>
      </w:pPr>
    </w:p>
    <w:p w14:paraId="2AB20113" w14:textId="77777777" w:rsidR="006F1B7D" w:rsidRDefault="006F1B7D" w:rsidP="008E7FCE">
      <w:pPr>
        <w:rPr>
          <w:rFonts w:eastAsia="Times New Roman"/>
          <w:szCs w:val="24"/>
        </w:rPr>
      </w:pPr>
    </w:p>
    <w:p w14:paraId="09E00269" w14:textId="77777777" w:rsidR="006F1B7D" w:rsidRDefault="006F1B7D" w:rsidP="008E7FCE">
      <w:pPr>
        <w:rPr>
          <w:rFonts w:eastAsia="Times New Roman"/>
          <w:szCs w:val="24"/>
        </w:rPr>
      </w:pPr>
    </w:p>
    <w:p w14:paraId="71C92037" w14:textId="77777777" w:rsidR="006F1B7D" w:rsidRDefault="006F1B7D" w:rsidP="008E7FCE">
      <w:pPr>
        <w:rPr>
          <w:rFonts w:eastAsia="Times New Roman"/>
          <w:szCs w:val="24"/>
        </w:rPr>
      </w:pPr>
    </w:p>
    <w:p w14:paraId="4BE5CAAA" w14:textId="77777777" w:rsidR="006F1B7D" w:rsidRDefault="006F1B7D" w:rsidP="008E7FCE">
      <w:pPr>
        <w:rPr>
          <w:rFonts w:eastAsia="Times New Roman"/>
          <w:szCs w:val="24"/>
        </w:rPr>
      </w:pPr>
    </w:p>
    <w:p w14:paraId="499CB48C" w14:textId="77777777" w:rsidR="006F1B7D" w:rsidRDefault="006F1B7D" w:rsidP="008E7FCE">
      <w:pPr>
        <w:rPr>
          <w:rFonts w:eastAsia="Times New Roman"/>
          <w:szCs w:val="24"/>
        </w:rPr>
      </w:pPr>
    </w:p>
    <w:p w14:paraId="4840EE9C" w14:textId="77777777" w:rsidR="002B6379" w:rsidRDefault="002B6379" w:rsidP="008E7FCE">
      <w:pPr>
        <w:rPr>
          <w:rFonts w:eastAsia="Times New Roman"/>
          <w:szCs w:val="24"/>
        </w:rPr>
      </w:pPr>
    </w:p>
    <w:p w14:paraId="2D668DBA" w14:textId="77777777" w:rsidR="008E7FCE" w:rsidRDefault="008E7FCE" w:rsidP="008E7FCE">
      <w:pPr>
        <w:rPr>
          <w:rFonts w:eastAsia="Times New Roman"/>
          <w:szCs w:val="24"/>
        </w:rPr>
      </w:pPr>
    </w:p>
    <w:p w14:paraId="20D46F60" w14:textId="77777777" w:rsidR="008E7FCE" w:rsidRDefault="008E7FCE" w:rsidP="008E7FCE">
      <w:pPr>
        <w:rPr>
          <w:rFonts w:eastAsia="Times New Roman"/>
          <w:szCs w:val="24"/>
        </w:rPr>
      </w:pPr>
    </w:p>
    <w:p w14:paraId="10C16DED" w14:textId="77777777" w:rsidR="008E7FCE" w:rsidRDefault="008E7FCE" w:rsidP="008E7FCE">
      <w:pPr>
        <w:rPr>
          <w:rFonts w:eastAsia="Times New Roman"/>
          <w:b/>
          <w:szCs w:val="24"/>
        </w:rPr>
      </w:pPr>
      <w:r w:rsidRPr="004C2A45">
        <w:rPr>
          <w:rFonts w:eastAsia="Times New Roman"/>
          <w:b/>
          <w:szCs w:val="24"/>
        </w:rPr>
        <w:lastRenderedPageBreak/>
        <w:t xml:space="preserve">Transitional forest </w:t>
      </w:r>
    </w:p>
    <w:p w14:paraId="67A2CB7A" w14:textId="77777777" w:rsidR="008E7FCE" w:rsidRPr="004C2A45" w:rsidRDefault="008E7FCE" w:rsidP="008E7FCE">
      <w:pPr>
        <w:spacing w:line="240" w:lineRule="auto"/>
        <w:rPr>
          <w:rFonts w:eastAsia="Times New Roman"/>
          <w:b/>
          <w:szCs w:val="24"/>
        </w:rPr>
      </w:pPr>
      <w:r>
        <w:rPr>
          <w:rFonts w:eastAsia="Times New Roman"/>
          <w:b/>
          <w:szCs w:val="24"/>
        </w:rPr>
        <w:object w:dxaOrig="10260" w:dyaOrig="5400" w14:anchorId="03D92FAB">
          <v:shape id="_x0000_i1029" type="#_x0000_t75" style="width:516pt;height:270.75pt" o:ole="">
            <v:imagedata r:id="rId31" o:title=""/>
          </v:shape>
          <o:OLEObject Type="Embed" ProgID="AcroExch.Document.DC" ShapeID="_x0000_i1029" DrawAspect="Content" ObjectID="_1648879065" r:id="rId32"/>
        </w:object>
      </w:r>
      <w:r w:rsidRPr="004C2A45">
        <w:rPr>
          <w:rFonts w:eastAsia="Times New Roman"/>
          <w:b/>
          <w:szCs w:val="24"/>
        </w:rPr>
        <w:t>Fig 5</w:t>
      </w:r>
      <w:r>
        <w:rPr>
          <w:rFonts w:eastAsia="Times New Roman"/>
          <w:b/>
          <w:szCs w:val="24"/>
        </w:rPr>
        <w:t>a</w:t>
      </w:r>
      <w:r w:rsidRPr="004C2A45">
        <w:rPr>
          <w:rFonts w:eastAsia="Times New Roman"/>
          <w:b/>
          <w:szCs w:val="24"/>
        </w:rPr>
        <w:t>: Model fit to data for</w:t>
      </w:r>
      <w:r>
        <w:rPr>
          <w:rFonts w:eastAsia="Times New Roman"/>
          <w:b/>
          <w:szCs w:val="24"/>
        </w:rPr>
        <w:t xml:space="preserve"> reported</w:t>
      </w:r>
      <w:r w:rsidRPr="004C2A45">
        <w:rPr>
          <w:rFonts w:eastAsia="Times New Roman"/>
          <w:b/>
          <w:szCs w:val="24"/>
        </w:rPr>
        <w:t xml:space="preserve"> uncomplicated case for the </w:t>
      </w:r>
      <w:r>
        <w:rPr>
          <w:rFonts w:eastAsia="Times New Roman"/>
          <w:b/>
          <w:szCs w:val="24"/>
        </w:rPr>
        <w:t>Transitional f</w:t>
      </w:r>
      <w:r w:rsidRPr="004C2A45">
        <w:rPr>
          <w:rFonts w:eastAsia="Times New Roman"/>
          <w:b/>
          <w:szCs w:val="24"/>
        </w:rPr>
        <w:t>orest zone.</w:t>
      </w:r>
    </w:p>
    <w:p w14:paraId="6B64F1DE" w14:textId="77777777" w:rsidR="008E7FCE" w:rsidRPr="004C2A45" w:rsidRDefault="008E7FCE" w:rsidP="008E7FCE">
      <w:pPr>
        <w:spacing w:line="240" w:lineRule="auto"/>
        <w:jc w:val="center"/>
        <w:rPr>
          <w:rFonts w:eastAsia="Times New Roman"/>
          <w:szCs w:val="24"/>
        </w:rPr>
      </w:pPr>
      <w:r>
        <w:rPr>
          <w:rFonts w:eastAsia="Times New Roman"/>
          <w:b/>
          <w:szCs w:val="24"/>
        </w:rPr>
        <w:object w:dxaOrig="10260" w:dyaOrig="5401" w14:anchorId="3E0670DD">
          <v:shape id="_x0000_i1030" type="#_x0000_t75" style="width:516pt;height:271.5pt" o:ole="">
            <v:imagedata r:id="rId33" o:title=""/>
          </v:shape>
          <o:OLEObject Type="Embed" ProgID="AcroExch.Document.DC" ShapeID="_x0000_i1030" DrawAspect="Content" ObjectID="_1648879066" r:id="rId34"/>
        </w:object>
      </w:r>
      <w:r w:rsidRPr="004C2A45">
        <w:rPr>
          <w:rFonts w:eastAsia="Times New Roman"/>
          <w:b/>
          <w:szCs w:val="24"/>
        </w:rPr>
        <w:t>Fig 5</w:t>
      </w:r>
      <w:r>
        <w:rPr>
          <w:rFonts w:eastAsia="Times New Roman"/>
          <w:b/>
          <w:szCs w:val="24"/>
        </w:rPr>
        <w:t>b</w:t>
      </w:r>
      <w:r w:rsidRPr="004C2A45">
        <w:rPr>
          <w:rFonts w:eastAsia="Times New Roman"/>
          <w:b/>
          <w:szCs w:val="24"/>
        </w:rPr>
        <w:t>: Model fit to data for</w:t>
      </w:r>
      <w:r>
        <w:rPr>
          <w:rFonts w:eastAsia="Times New Roman"/>
          <w:b/>
          <w:szCs w:val="24"/>
        </w:rPr>
        <w:t xml:space="preserve"> reported</w:t>
      </w:r>
      <w:r w:rsidRPr="004C2A45">
        <w:rPr>
          <w:rFonts w:eastAsia="Times New Roman"/>
          <w:b/>
          <w:szCs w:val="24"/>
        </w:rPr>
        <w:t xml:space="preserve"> severe cases for the </w:t>
      </w:r>
      <w:r>
        <w:rPr>
          <w:rFonts w:eastAsia="Times New Roman"/>
          <w:b/>
          <w:szCs w:val="24"/>
        </w:rPr>
        <w:t>Transitional f</w:t>
      </w:r>
      <w:r w:rsidRPr="004C2A45">
        <w:rPr>
          <w:rFonts w:eastAsia="Times New Roman"/>
          <w:b/>
          <w:szCs w:val="24"/>
        </w:rPr>
        <w:t>orest zone.</w:t>
      </w:r>
    </w:p>
    <w:p w14:paraId="1A9FB6BB" w14:textId="77777777" w:rsidR="008E7FCE" w:rsidRDefault="008E7FCE" w:rsidP="008E7FCE">
      <w:pPr>
        <w:jc w:val="center"/>
        <w:rPr>
          <w:rFonts w:eastAsia="Times New Roman"/>
          <w:snapToGrid w:val="0"/>
          <w:color w:val="000000"/>
          <w:w w:val="0"/>
          <w:sz w:val="0"/>
          <w:szCs w:val="0"/>
          <w:u w:color="000000"/>
          <w:bdr w:val="none" w:sz="0" w:space="0" w:color="000000"/>
          <w:shd w:val="clear" w:color="000000" w:fill="000000"/>
          <w:lang w:val="x-none" w:eastAsia="x-none" w:bidi="x-none"/>
        </w:rPr>
      </w:pPr>
      <w:r w:rsidRPr="00A41C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14:paraId="7C31D8C1" w14:textId="77777777" w:rsidR="008E7FCE" w:rsidRPr="004C2A45" w:rsidRDefault="008E7FCE" w:rsidP="008E7FCE">
      <w:pPr>
        <w:spacing w:line="240" w:lineRule="auto"/>
        <w:rPr>
          <w:rFonts w:eastAsia="Times New Roman"/>
          <w:b/>
          <w:szCs w:val="24"/>
        </w:rPr>
      </w:pPr>
      <w:r>
        <w:rPr>
          <w:rFonts w:eastAsia="Times New Roman"/>
          <w:szCs w:val="24"/>
        </w:rPr>
        <w:object w:dxaOrig="10260" w:dyaOrig="5401" w14:anchorId="18249B8A">
          <v:shape id="_x0000_i1031" type="#_x0000_t75" style="width:516pt;height:271.5pt" o:ole="">
            <v:imagedata r:id="rId35" o:title=""/>
          </v:shape>
          <o:OLEObject Type="Embed" ProgID="AcroExch.Document.DC" ShapeID="_x0000_i1031" DrawAspect="Content" ObjectID="_1648879067" r:id="rId36"/>
        </w:object>
      </w:r>
      <w:r w:rsidRPr="004C2A45">
        <w:rPr>
          <w:rFonts w:eastAsia="Times New Roman"/>
          <w:b/>
          <w:szCs w:val="24"/>
        </w:rPr>
        <w:t>Fig 5</w:t>
      </w:r>
      <w:r>
        <w:rPr>
          <w:rFonts w:eastAsia="Times New Roman"/>
          <w:b/>
          <w:szCs w:val="24"/>
        </w:rPr>
        <w:t>c</w:t>
      </w:r>
      <w:r w:rsidRPr="004C2A45">
        <w:rPr>
          <w:rFonts w:eastAsia="Times New Roman"/>
          <w:b/>
          <w:szCs w:val="24"/>
        </w:rPr>
        <w:t>: Model fit to data for</w:t>
      </w:r>
      <w:r>
        <w:rPr>
          <w:rFonts w:eastAsia="Times New Roman"/>
          <w:b/>
          <w:szCs w:val="24"/>
        </w:rPr>
        <w:t xml:space="preserve"> reported</w:t>
      </w:r>
      <w:r w:rsidRPr="004C2A45">
        <w:rPr>
          <w:rFonts w:eastAsia="Times New Roman"/>
          <w:b/>
          <w:szCs w:val="24"/>
        </w:rPr>
        <w:t xml:space="preserve"> malaria in pregnancy for the </w:t>
      </w:r>
      <w:r>
        <w:rPr>
          <w:rFonts w:eastAsia="Times New Roman"/>
          <w:b/>
          <w:szCs w:val="24"/>
        </w:rPr>
        <w:t>Transitional f</w:t>
      </w:r>
      <w:r w:rsidRPr="004C2A45">
        <w:rPr>
          <w:rFonts w:eastAsia="Times New Roman"/>
          <w:b/>
          <w:szCs w:val="24"/>
        </w:rPr>
        <w:t>orest zone.</w:t>
      </w:r>
    </w:p>
    <w:p w14:paraId="1F55667E" w14:textId="77777777" w:rsidR="008E7FCE" w:rsidRPr="004C2A45" w:rsidRDefault="008E7FCE" w:rsidP="008E7FCE">
      <w:pPr>
        <w:rPr>
          <w:rFonts w:eastAsia="Times New Roman"/>
          <w:b/>
          <w:szCs w:val="24"/>
        </w:rPr>
      </w:pPr>
    </w:p>
    <w:p w14:paraId="2A49A559" w14:textId="77777777" w:rsidR="008E7FCE" w:rsidRPr="004C2A45" w:rsidRDefault="008E7FCE" w:rsidP="008E7FCE">
      <w:pPr>
        <w:rPr>
          <w:rFonts w:eastAsia="Times New Roman"/>
          <w:b/>
          <w:szCs w:val="24"/>
        </w:rPr>
      </w:pPr>
    </w:p>
    <w:p w14:paraId="66591C4C" w14:textId="77777777" w:rsidR="008E7FCE" w:rsidRPr="004C2A45" w:rsidRDefault="008E7FCE" w:rsidP="008E7FCE">
      <w:pPr>
        <w:rPr>
          <w:rFonts w:eastAsia="Times New Roman"/>
          <w:b/>
          <w:szCs w:val="24"/>
        </w:rPr>
      </w:pPr>
    </w:p>
    <w:p w14:paraId="039F8F11" w14:textId="77777777" w:rsidR="008E7FCE" w:rsidRDefault="008E7FCE" w:rsidP="008E7FCE">
      <w:pPr>
        <w:rPr>
          <w:rFonts w:eastAsia="Times New Roman"/>
          <w:b/>
          <w:szCs w:val="24"/>
        </w:rPr>
      </w:pPr>
    </w:p>
    <w:p w14:paraId="1B403188" w14:textId="77777777" w:rsidR="008E7FCE" w:rsidRDefault="008E7FCE" w:rsidP="008E7FCE">
      <w:pPr>
        <w:rPr>
          <w:rFonts w:eastAsia="Times New Roman"/>
          <w:b/>
          <w:szCs w:val="24"/>
        </w:rPr>
      </w:pPr>
    </w:p>
    <w:p w14:paraId="08B8E449" w14:textId="77777777" w:rsidR="008E7FCE" w:rsidRDefault="008E7FCE" w:rsidP="008E7FCE">
      <w:pPr>
        <w:rPr>
          <w:rFonts w:eastAsia="Times New Roman"/>
          <w:b/>
          <w:szCs w:val="24"/>
        </w:rPr>
      </w:pPr>
    </w:p>
    <w:p w14:paraId="381A68A3" w14:textId="77777777" w:rsidR="008E7FCE" w:rsidRDefault="008E7FCE" w:rsidP="008E7FCE">
      <w:pPr>
        <w:rPr>
          <w:rFonts w:eastAsia="Times New Roman"/>
          <w:b/>
          <w:szCs w:val="24"/>
        </w:rPr>
      </w:pPr>
    </w:p>
    <w:p w14:paraId="682CFDD1" w14:textId="77777777" w:rsidR="008E7FCE" w:rsidRDefault="008E7FCE" w:rsidP="008E7FCE">
      <w:pPr>
        <w:rPr>
          <w:rFonts w:eastAsia="Times New Roman"/>
          <w:b/>
          <w:szCs w:val="24"/>
        </w:rPr>
      </w:pPr>
    </w:p>
    <w:p w14:paraId="21123B81" w14:textId="77777777" w:rsidR="008E7FCE" w:rsidRDefault="008E7FCE" w:rsidP="008E7FCE">
      <w:pPr>
        <w:rPr>
          <w:rFonts w:eastAsia="Times New Roman"/>
          <w:b/>
          <w:szCs w:val="24"/>
        </w:rPr>
      </w:pPr>
    </w:p>
    <w:p w14:paraId="53819203" w14:textId="77777777" w:rsidR="008E7FCE" w:rsidRDefault="008E7FCE" w:rsidP="008E7FCE">
      <w:pPr>
        <w:rPr>
          <w:rFonts w:eastAsia="Times New Roman"/>
          <w:b/>
          <w:szCs w:val="24"/>
        </w:rPr>
      </w:pPr>
    </w:p>
    <w:p w14:paraId="2CCB683D" w14:textId="77777777" w:rsidR="008E7FCE" w:rsidRDefault="008E7FCE" w:rsidP="008E7FCE">
      <w:pPr>
        <w:rPr>
          <w:rFonts w:eastAsia="Times New Roman"/>
          <w:b/>
          <w:szCs w:val="24"/>
        </w:rPr>
      </w:pPr>
    </w:p>
    <w:p w14:paraId="126ABC43" w14:textId="77777777" w:rsidR="008E7FCE" w:rsidRDefault="008E7FCE" w:rsidP="008E7FCE">
      <w:pPr>
        <w:rPr>
          <w:rFonts w:eastAsia="Times New Roman"/>
          <w:b/>
          <w:szCs w:val="24"/>
        </w:rPr>
      </w:pPr>
    </w:p>
    <w:p w14:paraId="23C5107C" w14:textId="77777777" w:rsidR="008E7FCE" w:rsidRDefault="008E7FCE" w:rsidP="008E7FCE">
      <w:pPr>
        <w:rPr>
          <w:rFonts w:eastAsia="Times New Roman"/>
          <w:b/>
          <w:szCs w:val="24"/>
        </w:rPr>
      </w:pPr>
    </w:p>
    <w:p w14:paraId="5A163D16" w14:textId="77777777" w:rsidR="008E7FCE" w:rsidRDefault="008E7FCE" w:rsidP="008E7FCE">
      <w:pPr>
        <w:rPr>
          <w:rFonts w:eastAsia="Times New Roman"/>
          <w:b/>
          <w:szCs w:val="24"/>
        </w:rPr>
      </w:pPr>
    </w:p>
    <w:p w14:paraId="7E0EC39D" w14:textId="77777777" w:rsidR="002B6379" w:rsidRDefault="002B6379" w:rsidP="008E7FCE">
      <w:pPr>
        <w:rPr>
          <w:rFonts w:eastAsia="Times New Roman"/>
          <w:b/>
          <w:szCs w:val="24"/>
        </w:rPr>
      </w:pPr>
    </w:p>
    <w:p w14:paraId="22325F3E" w14:textId="77777777" w:rsidR="008E7FCE" w:rsidRDefault="008E7FCE" w:rsidP="008E7FCE">
      <w:pPr>
        <w:rPr>
          <w:rFonts w:eastAsia="Times New Roman"/>
          <w:b/>
          <w:szCs w:val="24"/>
        </w:rPr>
      </w:pPr>
    </w:p>
    <w:p w14:paraId="017C96BC" w14:textId="77777777" w:rsidR="008E7FCE" w:rsidRDefault="008E7FCE" w:rsidP="008E7FCE">
      <w:pPr>
        <w:rPr>
          <w:rFonts w:eastAsia="Times New Roman"/>
          <w:b/>
          <w:szCs w:val="24"/>
        </w:rPr>
      </w:pPr>
    </w:p>
    <w:p w14:paraId="23AF492B" w14:textId="77777777" w:rsidR="008E7FCE" w:rsidRPr="004C2A45" w:rsidRDefault="008E7FCE" w:rsidP="008E7FCE">
      <w:pPr>
        <w:rPr>
          <w:rFonts w:eastAsia="Times New Roman"/>
          <w:b/>
          <w:szCs w:val="24"/>
        </w:rPr>
      </w:pPr>
    </w:p>
    <w:p w14:paraId="1696CA2C" w14:textId="77777777" w:rsidR="008E7FCE" w:rsidRDefault="008E7FCE" w:rsidP="008E7FCE">
      <w:pPr>
        <w:rPr>
          <w:rFonts w:eastAsia="Times New Roman"/>
          <w:b/>
          <w:szCs w:val="24"/>
        </w:rPr>
      </w:pPr>
      <w:r w:rsidRPr="004C2A45">
        <w:rPr>
          <w:rFonts w:eastAsia="Times New Roman"/>
          <w:b/>
          <w:szCs w:val="24"/>
        </w:rPr>
        <w:lastRenderedPageBreak/>
        <w:t>Coastal savannah</w:t>
      </w:r>
    </w:p>
    <w:p w14:paraId="31D6A6E8" w14:textId="77777777" w:rsidR="008E7FCE" w:rsidRDefault="008E7FCE" w:rsidP="008E7FCE">
      <w:pPr>
        <w:spacing w:line="240" w:lineRule="auto"/>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b/>
          <w:szCs w:val="24"/>
        </w:rPr>
        <w:object w:dxaOrig="10260" w:dyaOrig="5401" w14:anchorId="4F6FBB06">
          <v:shape id="_x0000_i1032" type="#_x0000_t75" style="width:516pt;height:271.5pt" o:ole="">
            <v:imagedata r:id="rId37" o:title=""/>
          </v:shape>
          <o:OLEObject Type="Embed" ProgID="AcroExch.Document.DC" ShapeID="_x0000_i1032" DrawAspect="Content" ObjectID="_1648879068" r:id="rId38"/>
        </w:object>
      </w:r>
      <w:r w:rsidRPr="004C2A45">
        <w:rPr>
          <w:rFonts w:eastAsia="Times New Roman"/>
          <w:b/>
          <w:noProof/>
          <w:szCs w:val="24"/>
          <w:lang w:val="en-GB" w:eastAsia="en-GB"/>
        </w:rPr>
        <w:t xml:space="preserve">                           </w:t>
      </w:r>
      <w:r w:rsidRPr="00A41C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14:paraId="12CDD4DC" w14:textId="77777777" w:rsidR="008E7FCE" w:rsidRDefault="008E7FCE" w:rsidP="008E7FCE">
      <w:pPr>
        <w:ind w:left="142" w:hanging="284"/>
        <w:jc w:val="center"/>
        <w:rPr>
          <w:rFonts w:eastAsia="Times New Roman"/>
          <w:szCs w:val="24"/>
        </w:rPr>
      </w:pPr>
      <w:r w:rsidRPr="004C2A45">
        <w:rPr>
          <w:rFonts w:eastAsia="Times New Roman"/>
          <w:b/>
          <w:szCs w:val="24"/>
        </w:rPr>
        <w:t>Fig 6</w:t>
      </w:r>
      <w:r>
        <w:rPr>
          <w:rFonts w:eastAsia="Times New Roman"/>
          <w:b/>
          <w:szCs w:val="24"/>
        </w:rPr>
        <w:t>a</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uncomplicated case for the Coastal savannah zone</w:t>
      </w:r>
      <w:r w:rsidRPr="004C2A45">
        <w:rPr>
          <w:rFonts w:eastAsia="Times New Roman"/>
          <w:szCs w:val="24"/>
        </w:rPr>
        <w:t>.</w:t>
      </w:r>
    </w:p>
    <w:p w14:paraId="7D6BAB16" w14:textId="77777777" w:rsidR="008E7FCE" w:rsidRDefault="008E7FCE" w:rsidP="008E7FCE">
      <w:pPr>
        <w:ind w:left="142" w:hanging="284"/>
        <w:jc w:val="center"/>
        <w:rPr>
          <w:rFonts w:eastAsia="Times New Roman"/>
          <w:b/>
          <w:szCs w:val="24"/>
        </w:rPr>
      </w:pPr>
    </w:p>
    <w:p w14:paraId="268F652A" w14:textId="77777777" w:rsidR="008E7FCE" w:rsidRDefault="008E7FCE" w:rsidP="008E7FCE">
      <w:pPr>
        <w:spacing w:line="240" w:lineRule="auto"/>
        <w:ind w:left="142" w:hanging="284"/>
        <w:jc w:val="center"/>
        <w:rPr>
          <w:rFonts w:eastAsia="Times New Roman"/>
          <w:b/>
          <w:szCs w:val="24"/>
        </w:rPr>
      </w:pPr>
      <w:r>
        <w:rPr>
          <w:rFonts w:eastAsia="Times New Roman"/>
          <w:b/>
          <w:szCs w:val="24"/>
        </w:rPr>
        <w:object w:dxaOrig="10260" w:dyaOrig="5401" w14:anchorId="0C66B05F">
          <v:shape id="_x0000_i1033" type="#_x0000_t75" style="width:516pt;height:271.5pt" o:ole="">
            <v:imagedata r:id="rId39" o:title=""/>
          </v:shape>
          <o:OLEObject Type="Embed" ProgID="AcroExch.Document.DC" ShapeID="_x0000_i1033" DrawAspect="Content" ObjectID="_1648879069" r:id="rId40"/>
        </w:object>
      </w:r>
      <w:r w:rsidRPr="004C2A45">
        <w:rPr>
          <w:rFonts w:eastAsia="Times New Roman"/>
          <w:b/>
          <w:szCs w:val="24"/>
        </w:rPr>
        <w:t>Fig 6</w:t>
      </w:r>
      <w:r>
        <w:rPr>
          <w:rFonts w:eastAsia="Times New Roman"/>
          <w:b/>
          <w:szCs w:val="24"/>
        </w:rPr>
        <w:t>b</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severe cases for the Coastal savannah zone</w:t>
      </w:r>
      <w:r w:rsidRPr="004C2A45">
        <w:rPr>
          <w:rFonts w:eastAsia="Times New Roman"/>
          <w:szCs w:val="24"/>
        </w:rPr>
        <w:t>.</w:t>
      </w:r>
    </w:p>
    <w:p w14:paraId="6628C95B" w14:textId="77777777" w:rsidR="008E7FCE" w:rsidRPr="004C2A45" w:rsidRDefault="008E7FCE" w:rsidP="008E7FCE">
      <w:pPr>
        <w:spacing w:line="240" w:lineRule="auto"/>
        <w:ind w:left="142" w:hanging="284"/>
        <w:rPr>
          <w:rFonts w:eastAsia="Times New Roman"/>
          <w:szCs w:val="24"/>
        </w:rPr>
      </w:pPr>
      <w:r>
        <w:rPr>
          <w:rFonts w:eastAsia="Times New Roman"/>
          <w:b/>
          <w:szCs w:val="24"/>
        </w:rPr>
        <w:object w:dxaOrig="10260" w:dyaOrig="5401" w14:anchorId="5A88E229">
          <v:shape id="_x0000_i1034" type="#_x0000_t75" style="width:516pt;height:271.5pt" o:ole="">
            <v:imagedata r:id="rId41" o:title=""/>
          </v:shape>
          <o:OLEObject Type="Embed" ProgID="AcroExch.Document.DC" ShapeID="_x0000_i1034" DrawAspect="Content" ObjectID="_1648879070" r:id="rId42"/>
        </w:object>
      </w:r>
      <w:r w:rsidRPr="004C2A45">
        <w:rPr>
          <w:rFonts w:eastAsia="Times New Roman"/>
          <w:b/>
          <w:szCs w:val="24"/>
        </w:rPr>
        <w:t>Fig 6</w:t>
      </w:r>
      <w:r>
        <w:rPr>
          <w:rFonts w:eastAsia="Times New Roman"/>
          <w:b/>
          <w:szCs w:val="24"/>
        </w:rPr>
        <w:t>c</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malaria in pregnancy for the Coastal savannah zone</w:t>
      </w:r>
      <w:r w:rsidRPr="004C2A45">
        <w:rPr>
          <w:rFonts w:eastAsia="Times New Roman"/>
          <w:szCs w:val="24"/>
        </w:rPr>
        <w:t>.</w:t>
      </w:r>
    </w:p>
    <w:p w14:paraId="45C1A4BD" w14:textId="77777777" w:rsidR="008E7FCE" w:rsidRPr="004C2A45" w:rsidRDefault="008E7FCE" w:rsidP="008E7FCE">
      <w:pPr>
        <w:rPr>
          <w:rFonts w:eastAsia="Times New Roman"/>
          <w:b/>
          <w:szCs w:val="24"/>
        </w:rPr>
      </w:pPr>
    </w:p>
    <w:p w14:paraId="30D9CA17" w14:textId="77777777" w:rsidR="008E7FCE" w:rsidRPr="004C2A45" w:rsidRDefault="008E7FCE" w:rsidP="008E7FCE">
      <w:pPr>
        <w:rPr>
          <w:rFonts w:eastAsia="Times New Roman"/>
          <w:b/>
          <w:szCs w:val="24"/>
        </w:rPr>
      </w:pPr>
    </w:p>
    <w:p w14:paraId="2E2AAF9F" w14:textId="77777777" w:rsidR="008E7FCE" w:rsidRPr="004C2A45" w:rsidRDefault="008E7FCE" w:rsidP="008E7FCE">
      <w:pPr>
        <w:rPr>
          <w:rFonts w:eastAsia="Times New Roman"/>
          <w:b/>
          <w:szCs w:val="24"/>
        </w:rPr>
      </w:pPr>
    </w:p>
    <w:p w14:paraId="36A02361" w14:textId="77777777" w:rsidR="008E7FCE" w:rsidRPr="004C2A45" w:rsidRDefault="008E7FCE" w:rsidP="008E7FCE">
      <w:pPr>
        <w:rPr>
          <w:rFonts w:eastAsia="Times New Roman"/>
          <w:b/>
          <w:szCs w:val="24"/>
        </w:rPr>
      </w:pPr>
    </w:p>
    <w:p w14:paraId="387A180E" w14:textId="77777777" w:rsidR="008E7FCE" w:rsidRPr="004C2A45" w:rsidRDefault="008E7FCE" w:rsidP="008E7FCE">
      <w:pPr>
        <w:rPr>
          <w:rFonts w:eastAsia="Times New Roman"/>
          <w:b/>
          <w:szCs w:val="24"/>
        </w:rPr>
      </w:pPr>
    </w:p>
    <w:p w14:paraId="3EF9A66E" w14:textId="77777777" w:rsidR="008E7FCE" w:rsidRPr="004C2A45" w:rsidRDefault="008E7FCE" w:rsidP="008E7FCE">
      <w:pPr>
        <w:rPr>
          <w:rFonts w:eastAsia="Times New Roman"/>
          <w:b/>
          <w:szCs w:val="24"/>
        </w:rPr>
      </w:pPr>
    </w:p>
    <w:p w14:paraId="0A729F88" w14:textId="77777777" w:rsidR="008E7FCE" w:rsidRPr="004C2A45" w:rsidRDefault="008E7FCE" w:rsidP="008E7FCE">
      <w:pPr>
        <w:rPr>
          <w:rFonts w:eastAsia="Times New Roman"/>
          <w:b/>
          <w:szCs w:val="24"/>
        </w:rPr>
      </w:pPr>
    </w:p>
    <w:p w14:paraId="6A5EE884" w14:textId="77777777" w:rsidR="008E7FCE" w:rsidRPr="004C2A45" w:rsidRDefault="008E7FCE" w:rsidP="008E7FCE">
      <w:pPr>
        <w:rPr>
          <w:rFonts w:eastAsia="Times New Roman"/>
          <w:b/>
          <w:szCs w:val="24"/>
        </w:rPr>
      </w:pPr>
    </w:p>
    <w:p w14:paraId="560AEE10" w14:textId="77777777" w:rsidR="008E7FCE" w:rsidRPr="004C2A45" w:rsidRDefault="008E7FCE" w:rsidP="008E7FCE">
      <w:pPr>
        <w:rPr>
          <w:rFonts w:eastAsia="Times New Roman"/>
          <w:b/>
          <w:szCs w:val="24"/>
        </w:rPr>
      </w:pPr>
    </w:p>
    <w:p w14:paraId="7C5BBB0B" w14:textId="77777777" w:rsidR="008E7FCE" w:rsidRPr="004C2A45" w:rsidRDefault="008E7FCE" w:rsidP="008E7FCE">
      <w:pPr>
        <w:rPr>
          <w:rFonts w:eastAsia="Times New Roman"/>
          <w:b/>
          <w:szCs w:val="24"/>
        </w:rPr>
      </w:pPr>
    </w:p>
    <w:p w14:paraId="66239007" w14:textId="77777777" w:rsidR="008E7FCE" w:rsidRPr="004C2A45" w:rsidRDefault="008E7FCE" w:rsidP="008E7FCE">
      <w:pPr>
        <w:rPr>
          <w:rFonts w:eastAsia="Times New Roman"/>
          <w:b/>
          <w:szCs w:val="24"/>
        </w:rPr>
      </w:pPr>
    </w:p>
    <w:p w14:paraId="7D594045" w14:textId="77777777" w:rsidR="008E7FCE" w:rsidRPr="004C2A45" w:rsidRDefault="008E7FCE" w:rsidP="008E7FCE">
      <w:pPr>
        <w:rPr>
          <w:rFonts w:eastAsia="Times New Roman"/>
          <w:b/>
          <w:szCs w:val="24"/>
        </w:rPr>
      </w:pPr>
    </w:p>
    <w:p w14:paraId="64038E33" w14:textId="77777777" w:rsidR="008E7FCE" w:rsidRPr="004C2A45" w:rsidRDefault="008E7FCE" w:rsidP="008E7FCE">
      <w:pPr>
        <w:rPr>
          <w:rFonts w:eastAsia="Times New Roman"/>
          <w:b/>
          <w:szCs w:val="24"/>
        </w:rPr>
      </w:pPr>
    </w:p>
    <w:p w14:paraId="77733389" w14:textId="77777777" w:rsidR="008E7FCE" w:rsidRDefault="008E7FCE" w:rsidP="008E7FCE">
      <w:pPr>
        <w:rPr>
          <w:rFonts w:eastAsia="Times New Roman"/>
          <w:b/>
          <w:szCs w:val="24"/>
        </w:rPr>
      </w:pPr>
    </w:p>
    <w:p w14:paraId="198CF606" w14:textId="77777777" w:rsidR="008E7FCE" w:rsidRPr="004C2A45" w:rsidRDefault="008E7FCE" w:rsidP="008E7FCE">
      <w:pPr>
        <w:rPr>
          <w:rFonts w:eastAsia="Times New Roman"/>
          <w:b/>
          <w:szCs w:val="24"/>
        </w:rPr>
      </w:pPr>
    </w:p>
    <w:p w14:paraId="4FC70358" w14:textId="77777777" w:rsidR="008E7FCE" w:rsidRDefault="008E7FCE" w:rsidP="008E7FCE">
      <w:pPr>
        <w:rPr>
          <w:rFonts w:eastAsia="Times New Roman"/>
          <w:b/>
          <w:szCs w:val="24"/>
        </w:rPr>
      </w:pPr>
    </w:p>
    <w:p w14:paraId="17736249" w14:textId="77777777" w:rsidR="002B6379" w:rsidRPr="004C2A45" w:rsidRDefault="002B6379" w:rsidP="008E7FCE">
      <w:pPr>
        <w:rPr>
          <w:rFonts w:eastAsia="Times New Roman"/>
          <w:b/>
          <w:szCs w:val="24"/>
        </w:rPr>
      </w:pPr>
    </w:p>
    <w:p w14:paraId="20D82588" w14:textId="77777777" w:rsidR="008E7FCE" w:rsidRPr="004C2A45" w:rsidRDefault="008E7FCE" w:rsidP="008E7FCE">
      <w:pPr>
        <w:rPr>
          <w:rFonts w:eastAsia="Times New Roman"/>
          <w:b/>
          <w:szCs w:val="24"/>
        </w:rPr>
      </w:pPr>
    </w:p>
    <w:p w14:paraId="1F248EBA" w14:textId="77777777" w:rsidR="008E7FCE" w:rsidRDefault="008E7FCE" w:rsidP="008E7FCE">
      <w:pPr>
        <w:spacing w:after="200" w:line="360" w:lineRule="auto"/>
        <w:rPr>
          <w:b/>
          <w:szCs w:val="24"/>
        </w:rPr>
      </w:pPr>
      <w:r w:rsidRPr="004C2A45">
        <w:rPr>
          <w:rFonts w:eastAsia="Times New Roman"/>
          <w:b/>
          <w:szCs w:val="24"/>
        </w:rPr>
        <w:lastRenderedPageBreak/>
        <w:t xml:space="preserve">Appendix B: </w:t>
      </w:r>
      <w:r w:rsidRPr="001227E2">
        <w:rPr>
          <w:b/>
          <w:szCs w:val="24"/>
        </w:rPr>
        <w:t>Biting Rates</w:t>
      </w:r>
      <w:r>
        <w:rPr>
          <w:b/>
          <w:szCs w:val="24"/>
        </w:rPr>
        <w:t xml:space="preserve"> (</w:t>
      </w:r>
      <w:r w:rsidRPr="001227E2">
        <w:rPr>
          <w:b/>
          <w:szCs w:val="24"/>
        </w:rPr>
        <w:t>BR)</w:t>
      </w:r>
      <w:r>
        <w:rPr>
          <w:b/>
          <w:szCs w:val="24"/>
        </w:rPr>
        <w:t xml:space="preserve"> (b/p/m) and rainfall (mm) by </w:t>
      </w:r>
      <w:r w:rsidRPr="001227E2">
        <w:rPr>
          <w:b/>
          <w:szCs w:val="24"/>
        </w:rPr>
        <w:t>zone</w:t>
      </w:r>
    </w:p>
    <w:p w14:paraId="58843183" w14:textId="77777777" w:rsidR="008E7FCE" w:rsidRPr="001227E2" w:rsidRDefault="008E7FCE" w:rsidP="008E7FCE">
      <w:pPr>
        <w:spacing w:after="0" w:line="240" w:lineRule="auto"/>
        <w:jc w:val="center"/>
        <w:rPr>
          <w:b/>
          <w:szCs w:val="24"/>
        </w:rPr>
      </w:pPr>
      <w:r w:rsidRPr="004C2A45">
        <w:rPr>
          <w:b/>
          <w:noProof/>
          <w:szCs w:val="24"/>
          <w:lang w:val="en-GB" w:eastAsia="en-GB"/>
        </w:rPr>
        <w:drawing>
          <wp:inline distT="0" distB="0" distL="0" distR="0" wp14:anchorId="50591AD5" wp14:editId="0567325A">
            <wp:extent cx="3708400" cy="2476500"/>
            <wp:effectExtent l="0" t="0" r="6350" b="0"/>
            <wp:docPr id="6" name="Picture 2" descr="C:\Users\AWNTIM001\Google Drive\Cape Town 2019\Term 2\Final outputs\savannah\Graphs\mbr_rainf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WNTIM001\Google Drive\Cape Town 2019\Term 2\Final outputs\savannah\Graphs\mbr_rainfall.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708400" cy="2476500"/>
                    </a:xfrm>
                    <a:prstGeom prst="rect">
                      <a:avLst/>
                    </a:prstGeom>
                    <a:noFill/>
                    <a:ln>
                      <a:noFill/>
                    </a:ln>
                  </pic:spPr>
                </pic:pic>
              </a:graphicData>
            </a:graphic>
          </wp:inline>
        </w:drawing>
      </w:r>
    </w:p>
    <w:p w14:paraId="626C546A" w14:textId="77777777" w:rsidR="008E7FCE" w:rsidRDefault="008E7FCE" w:rsidP="008E7FCE">
      <w:pPr>
        <w:spacing w:after="0" w:line="240" w:lineRule="auto"/>
        <w:jc w:val="center"/>
        <w:rPr>
          <w:szCs w:val="24"/>
        </w:rPr>
      </w:pPr>
      <w:r w:rsidRPr="004C2A45">
        <w:rPr>
          <w:noProof/>
          <w:szCs w:val="24"/>
          <w:lang w:val="en-GB" w:eastAsia="en-GB"/>
        </w:rPr>
        <w:drawing>
          <wp:inline distT="0" distB="0" distL="0" distR="0" wp14:anchorId="6303596C" wp14:editId="128A5CF4">
            <wp:extent cx="3746500" cy="2489200"/>
            <wp:effectExtent l="0" t="0" r="6350" b="6350"/>
            <wp:docPr id="10" name="Picture 15" descr="C:\Users\AWNTIM001\Google Drive\Cape Town 2019\Term 2\Final outputs\forest\Graphs\mbr_rainf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WNTIM001\Google Drive\Cape Town 2019\Term 2\Final outputs\forest\Graphs\mbr_rainfall.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746500" cy="2489200"/>
                    </a:xfrm>
                    <a:prstGeom prst="rect">
                      <a:avLst/>
                    </a:prstGeom>
                    <a:noFill/>
                    <a:ln>
                      <a:noFill/>
                    </a:ln>
                  </pic:spPr>
                </pic:pic>
              </a:graphicData>
            </a:graphic>
          </wp:inline>
        </w:drawing>
      </w:r>
      <w:r w:rsidRPr="004146AE">
        <w:rPr>
          <w:noProof/>
          <w:lang w:eastAsia="en-ZA"/>
        </w:rPr>
        <w:t xml:space="preserve"> </w:t>
      </w:r>
    </w:p>
    <w:p w14:paraId="70EF60F0" w14:textId="77777777" w:rsidR="008E7FCE" w:rsidRDefault="008E7FCE" w:rsidP="008E7FCE">
      <w:pPr>
        <w:spacing w:after="0" w:line="240" w:lineRule="auto"/>
        <w:jc w:val="center"/>
        <w:rPr>
          <w:szCs w:val="24"/>
        </w:rPr>
      </w:pPr>
    </w:p>
    <w:p w14:paraId="2A66CFC0" w14:textId="77777777" w:rsidR="008E7FCE" w:rsidRDefault="008E7FCE" w:rsidP="008E7FCE">
      <w:pPr>
        <w:spacing w:after="0" w:line="240" w:lineRule="auto"/>
        <w:jc w:val="center"/>
        <w:rPr>
          <w:szCs w:val="24"/>
        </w:rPr>
      </w:pPr>
      <w:r w:rsidRPr="004C2A45">
        <w:rPr>
          <w:noProof/>
          <w:szCs w:val="24"/>
          <w:lang w:val="en-GB" w:eastAsia="en-GB"/>
        </w:rPr>
        <w:drawing>
          <wp:inline distT="0" distB="0" distL="0" distR="0" wp14:anchorId="611CB283" wp14:editId="24F93C6F">
            <wp:extent cx="3721100" cy="2476500"/>
            <wp:effectExtent l="0" t="0" r="0" b="0"/>
            <wp:docPr id="11" name="Picture 21" descr="C:\Users\AWNTIM001\Google Drive\Cape Town 2019\Term 2\Final outputs\coastal\Graphs\mbr_rainf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WNTIM001\Google Drive\Cape Town 2019\Term 2\Final outputs\coastal\Graphs\mbr_rainfall.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721100" cy="2476500"/>
                    </a:xfrm>
                    <a:prstGeom prst="rect">
                      <a:avLst/>
                    </a:prstGeom>
                    <a:noFill/>
                    <a:ln>
                      <a:noFill/>
                    </a:ln>
                  </pic:spPr>
                </pic:pic>
              </a:graphicData>
            </a:graphic>
          </wp:inline>
        </w:drawing>
      </w:r>
    </w:p>
    <w:p w14:paraId="453CB644" w14:textId="60B1092C" w:rsidR="008E7FCE" w:rsidRPr="00AD796E" w:rsidRDefault="008E7FCE" w:rsidP="008E7FCE">
      <w:pPr>
        <w:spacing w:after="0" w:line="240" w:lineRule="auto"/>
        <w:ind w:left="720"/>
        <w:rPr>
          <w:b/>
          <w:szCs w:val="24"/>
        </w:rPr>
      </w:pPr>
      <w:r>
        <w:rPr>
          <w:b/>
          <w:szCs w:val="24"/>
        </w:rPr>
        <w:t>Fig 7</w:t>
      </w:r>
      <w:r w:rsidRPr="00AD796E">
        <w:rPr>
          <w:b/>
          <w:szCs w:val="24"/>
        </w:rPr>
        <w:t xml:space="preserve">: </w:t>
      </w:r>
      <w:r>
        <w:rPr>
          <w:b/>
          <w:szCs w:val="24"/>
        </w:rPr>
        <w:t>M</w:t>
      </w:r>
      <w:r w:rsidRPr="00AD796E">
        <w:rPr>
          <w:b/>
          <w:szCs w:val="24"/>
        </w:rPr>
        <w:t xml:space="preserve">onthly </w:t>
      </w:r>
      <w:r>
        <w:rPr>
          <w:b/>
          <w:szCs w:val="24"/>
        </w:rPr>
        <w:t>biting rates (b/p/m)</w:t>
      </w:r>
      <w:r w:rsidRPr="001227E2">
        <w:rPr>
          <w:b/>
          <w:szCs w:val="24"/>
        </w:rPr>
        <w:t xml:space="preserve"> </w:t>
      </w:r>
      <w:r w:rsidR="00290B41">
        <w:rPr>
          <w:b/>
          <w:szCs w:val="24"/>
        </w:rPr>
        <w:t xml:space="preserve">[Grey Bars] </w:t>
      </w:r>
      <w:r>
        <w:rPr>
          <w:b/>
          <w:szCs w:val="24"/>
        </w:rPr>
        <w:t>and rainfall</w:t>
      </w:r>
      <w:r w:rsidRPr="00AD796E">
        <w:rPr>
          <w:b/>
          <w:szCs w:val="24"/>
        </w:rPr>
        <w:t xml:space="preserve"> </w:t>
      </w:r>
      <w:r>
        <w:rPr>
          <w:b/>
          <w:szCs w:val="24"/>
        </w:rPr>
        <w:t xml:space="preserve">(mm) </w:t>
      </w:r>
      <w:r w:rsidR="00290B41">
        <w:rPr>
          <w:b/>
          <w:szCs w:val="24"/>
        </w:rPr>
        <w:t xml:space="preserve">[Blue Lines] </w:t>
      </w:r>
      <w:r w:rsidRPr="00AD796E">
        <w:rPr>
          <w:b/>
          <w:szCs w:val="24"/>
        </w:rPr>
        <w:t>in</w:t>
      </w:r>
      <w:r>
        <w:rPr>
          <w:b/>
          <w:szCs w:val="24"/>
        </w:rPr>
        <w:t xml:space="preserve"> </w:t>
      </w:r>
      <w:r w:rsidRPr="00AD796E">
        <w:rPr>
          <w:b/>
          <w:szCs w:val="24"/>
        </w:rPr>
        <w:t>the</w:t>
      </w:r>
      <w:r>
        <w:rPr>
          <w:b/>
          <w:szCs w:val="24"/>
        </w:rPr>
        <w:t xml:space="preserve"> </w:t>
      </w:r>
      <w:r w:rsidRPr="001227E2">
        <w:rPr>
          <w:b/>
          <w:szCs w:val="24"/>
        </w:rPr>
        <w:t>Guinea savannah</w:t>
      </w:r>
      <w:r>
        <w:rPr>
          <w:b/>
          <w:szCs w:val="24"/>
        </w:rPr>
        <w:t>,</w:t>
      </w:r>
      <w:r w:rsidRPr="00AD796E">
        <w:rPr>
          <w:b/>
          <w:szCs w:val="24"/>
        </w:rPr>
        <w:t xml:space="preserve"> </w:t>
      </w:r>
      <w:r>
        <w:rPr>
          <w:b/>
          <w:szCs w:val="24"/>
        </w:rPr>
        <w:t>Transitional forest and Coastal savannah</w:t>
      </w:r>
      <w:r w:rsidRPr="00AD796E">
        <w:rPr>
          <w:b/>
          <w:szCs w:val="24"/>
        </w:rPr>
        <w:t>.</w:t>
      </w:r>
    </w:p>
    <w:p w14:paraId="45292D6A" w14:textId="77777777" w:rsidR="008E7FCE" w:rsidRDefault="008E7FCE" w:rsidP="008E7FCE">
      <w:pPr>
        <w:spacing w:after="200" w:line="360" w:lineRule="auto"/>
        <w:jc w:val="center"/>
        <w:rPr>
          <w:szCs w:val="24"/>
        </w:rPr>
      </w:pPr>
    </w:p>
    <w:p w14:paraId="57C005C3" w14:textId="77777777" w:rsidR="008E7FCE" w:rsidRPr="004C2A45" w:rsidRDefault="008E7FCE" w:rsidP="008E7FCE">
      <w:pPr>
        <w:rPr>
          <w:rFonts w:eastAsia="Times New Roman"/>
          <w:szCs w:val="24"/>
        </w:rPr>
      </w:pPr>
      <w:r w:rsidRPr="004C2A45">
        <w:rPr>
          <w:rFonts w:eastAsia="Times New Roman"/>
          <w:b/>
          <w:szCs w:val="24"/>
        </w:rPr>
        <w:lastRenderedPageBreak/>
        <w:t>Appendix C:</w:t>
      </w:r>
      <w:r w:rsidRPr="004C2A45">
        <w:rPr>
          <w:rFonts w:eastAsia="Times New Roman"/>
          <w:szCs w:val="24"/>
        </w:rPr>
        <w:t xml:space="preserve"> Dynamics of immature </w:t>
      </w:r>
      <w:r>
        <w:rPr>
          <w:rFonts w:eastAsia="Times New Roman"/>
          <w:szCs w:val="24"/>
        </w:rPr>
        <w:t>mosquito</w:t>
      </w:r>
      <w:r w:rsidRPr="004C2A45">
        <w:rPr>
          <w:rFonts w:eastAsia="Times New Roman"/>
          <w:szCs w:val="24"/>
        </w:rPr>
        <w:t xml:space="preserve"> population by zone</w:t>
      </w:r>
    </w:p>
    <w:p w14:paraId="7CA9E3E6" w14:textId="77777777" w:rsidR="008E7FCE" w:rsidRPr="004C2A45" w:rsidRDefault="008E7FCE" w:rsidP="008E7FCE">
      <w:pPr>
        <w:rPr>
          <w:rFonts w:eastAsia="Times New Roman"/>
          <w:b/>
          <w:szCs w:val="24"/>
        </w:rPr>
      </w:pPr>
      <w:r w:rsidRPr="004C2A45">
        <w:rPr>
          <w:rFonts w:eastAsia="Times New Roman"/>
          <w:b/>
          <w:szCs w:val="24"/>
        </w:rPr>
        <w:t>Guinea savannah</w:t>
      </w:r>
    </w:p>
    <w:p w14:paraId="1C98FB7F"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r w:rsidRPr="00964746">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4C2A45">
        <w:rPr>
          <w:rFonts w:eastAsia="Times New Roman"/>
          <w:noProof/>
          <w:szCs w:val="24"/>
          <w:lang w:val="en-GB" w:eastAsia="en-GB"/>
        </w:rPr>
        <w:drawing>
          <wp:inline distT="0" distB="0" distL="0" distR="0" wp14:anchorId="089036EF" wp14:editId="1F9822AD">
            <wp:extent cx="5753100" cy="3479800"/>
            <wp:effectExtent l="0" t="0" r="0" b="6350"/>
            <wp:docPr id="12" name="Picture 12" descr="C:\Users\AWNTIM001\Google Drive\Cape Town 2019\Term 2\Final outputs\savannah\Graphs\fits\inmature mosquitoe popul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WNTIM001\Google Drive\Cape Town 2019\Term 2\Final outputs\savannah\Graphs\fits\inmature mosquitoe population.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53100" cy="3479800"/>
                    </a:xfrm>
                    <a:prstGeom prst="rect">
                      <a:avLst/>
                    </a:prstGeom>
                    <a:noFill/>
                    <a:ln>
                      <a:noFill/>
                    </a:ln>
                  </pic:spPr>
                </pic:pic>
              </a:graphicData>
            </a:graphic>
          </wp:inline>
        </w:drawing>
      </w:r>
    </w:p>
    <w:p w14:paraId="33F5043D" w14:textId="7F49F2B2" w:rsidR="008E7FCE" w:rsidRPr="004C2A45" w:rsidRDefault="008E7FCE" w:rsidP="008E7FCE">
      <w:pPr>
        <w:rPr>
          <w:rFonts w:eastAsia="Times New Roman"/>
          <w:b/>
          <w:szCs w:val="24"/>
        </w:rPr>
      </w:pPr>
      <w:r w:rsidRPr="004C2A45">
        <w:rPr>
          <w:rFonts w:eastAsia="Times New Roman"/>
          <w:b/>
          <w:szCs w:val="24"/>
        </w:rPr>
        <w:t>Fig 8</w:t>
      </w:r>
      <w:r>
        <w:rPr>
          <w:rFonts w:eastAsia="Times New Roman"/>
          <w:b/>
          <w:szCs w:val="24"/>
        </w:rPr>
        <w:t>a</w:t>
      </w:r>
      <w:r w:rsidRPr="004C2A45">
        <w:rPr>
          <w:rFonts w:eastAsia="Times New Roman"/>
          <w:b/>
          <w:szCs w:val="24"/>
        </w:rPr>
        <w:t xml:space="preserve">: Immature </w:t>
      </w:r>
      <w:r>
        <w:rPr>
          <w:rFonts w:eastAsia="Times New Roman"/>
          <w:b/>
          <w:szCs w:val="24"/>
        </w:rPr>
        <w:t>mosquito</w:t>
      </w:r>
      <w:r w:rsidRPr="004C2A45">
        <w:rPr>
          <w:rFonts w:eastAsia="Times New Roman"/>
          <w:b/>
          <w:szCs w:val="24"/>
        </w:rPr>
        <w:t xml:space="preserve"> (Larva and pupa) population </w:t>
      </w:r>
      <w:r w:rsidR="00810278">
        <w:rPr>
          <w:rFonts w:eastAsia="Times New Roman"/>
          <w:b/>
          <w:szCs w:val="24"/>
        </w:rPr>
        <w:t xml:space="preserve">dynamics </w:t>
      </w:r>
      <w:r w:rsidRPr="004C2A45">
        <w:rPr>
          <w:rFonts w:eastAsia="Times New Roman"/>
          <w:b/>
          <w:szCs w:val="24"/>
        </w:rPr>
        <w:t>for</w:t>
      </w:r>
      <w:r>
        <w:rPr>
          <w:rFonts w:eastAsia="Times New Roman"/>
          <w:b/>
          <w:szCs w:val="24"/>
        </w:rPr>
        <w:t xml:space="preserve"> Guinea savannah </w:t>
      </w:r>
      <w:r w:rsidRPr="004C2A45">
        <w:rPr>
          <w:rFonts w:eastAsia="Times New Roman"/>
          <w:b/>
          <w:szCs w:val="24"/>
        </w:rPr>
        <w:t>zone.</w:t>
      </w:r>
    </w:p>
    <w:p w14:paraId="59B06E7A" w14:textId="77777777" w:rsidR="008E7FCE" w:rsidRPr="004C2A45" w:rsidRDefault="008E7FCE" w:rsidP="008E7FCE">
      <w:pPr>
        <w:pStyle w:val="ListParagraph"/>
        <w:ind w:left="0"/>
        <w:jc w:val="center"/>
        <w:rPr>
          <w:rFonts w:eastAsia="Times New Roman"/>
          <w:szCs w:val="24"/>
        </w:rPr>
      </w:pPr>
    </w:p>
    <w:p w14:paraId="608B21C0" w14:textId="77777777" w:rsidR="008E7FCE" w:rsidRPr="004C2A45" w:rsidRDefault="008E7FCE" w:rsidP="008E7FCE">
      <w:pPr>
        <w:rPr>
          <w:rFonts w:eastAsia="Times New Roman"/>
          <w:szCs w:val="24"/>
        </w:rPr>
      </w:pPr>
      <w:r w:rsidRPr="004C2A45">
        <w:rPr>
          <w:rFonts w:eastAsia="Times New Roman"/>
          <w:b/>
          <w:szCs w:val="24"/>
        </w:rPr>
        <w:t xml:space="preserve">Transitional forest </w:t>
      </w:r>
      <w:r w:rsidRPr="00CE7EDE">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4C2A45">
        <w:rPr>
          <w:rFonts w:eastAsia="Times New Roman"/>
          <w:b/>
          <w:noProof/>
          <w:szCs w:val="24"/>
          <w:lang w:val="en-GB" w:eastAsia="en-GB"/>
        </w:rPr>
        <w:drawing>
          <wp:inline distT="0" distB="0" distL="0" distR="0" wp14:anchorId="2A771500" wp14:editId="356D65C9">
            <wp:extent cx="5753100" cy="3479800"/>
            <wp:effectExtent l="0" t="0" r="0" b="6350"/>
            <wp:docPr id="13" name="Picture 10" descr="C:\Users\AWNTIM001\Google Drive\Cape Town 2019\Term 2\Final outputs\forest\Graphs\fits\inmature mosquitoe popul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WNTIM001\Google Drive\Cape Town 2019\Term 2\Final outputs\forest\Graphs\fits\inmature mosquitoe population.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53100" cy="3479800"/>
                    </a:xfrm>
                    <a:prstGeom prst="rect">
                      <a:avLst/>
                    </a:prstGeom>
                    <a:noFill/>
                    <a:ln>
                      <a:noFill/>
                    </a:ln>
                  </pic:spPr>
                </pic:pic>
              </a:graphicData>
            </a:graphic>
          </wp:inline>
        </w:drawing>
      </w:r>
    </w:p>
    <w:p w14:paraId="549A9E03" w14:textId="1DD13E26" w:rsidR="008E7FCE" w:rsidRDefault="008E7FCE" w:rsidP="008E7FCE">
      <w:pPr>
        <w:rPr>
          <w:rFonts w:eastAsia="Times New Roman"/>
          <w:b/>
          <w:szCs w:val="24"/>
        </w:rPr>
      </w:pPr>
      <w:r w:rsidRPr="004C2A45">
        <w:rPr>
          <w:rFonts w:eastAsia="Times New Roman"/>
          <w:b/>
          <w:szCs w:val="24"/>
        </w:rPr>
        <w:lastRenderedPageBreak/>
        <w:t>Fig 8</w:t>
      </w:r>
      <w:r>
        <w:rPr>
          <w:rFonts w:eastAsia="Times New Roman"/>
          <w:b/>
          <w:szCs w:val="24"/>
        </w:rPr>
        <w:t>b</w:t>
      </w:r>
      <w:r w:rsidRPr="004C2A45">
        <w:rPr>
          <w:rFonts w:eastAsia="Times New Roman"/>
          <w:b/>
          <w:szCs w:val="24"/>
        </w:rPr>
        <w:t xml:space="preserve">: Immature </w:t>
      </w:r>
      <w:r>
        <w:rPr>
          <w:rFonts w:eastAsia="Times New Roman"/>
          <w:b/>
          <w:szCs w:val="24"/>
        </w:rPr>
        <w:t>mosquito</w:t>
      </w:r>
      <w:r w:rsidRPr="004C2A45">
        <w:rPr>
          <w:rFonts w:eastAsia="Times New Roman"/>
          <w:b/>
          <w:szCs w:val="24"/>
        </w:rPr>
        <w:t xml:space="preserve"> (Larva and pupa) population </w:t>
      </w:r>
      <w:r w:rsidR="00810278">
        <w:rPr>
          <w:rFonts w:eastAsia="Times New Roman"/>
          <w:b/>
          <w:szCs w:val="24"/>
        </w:rPr>
        <w:t xml:space="preserve">dynamics </w:t>
      </w:r>
      <w:r w:rsidRPr="004C2A45">
        <w:rPr>
          <w:rFonts w:eastAsia="Times New Roman"/>
          <w:b/>
          <w:szCs w:val="24"/>
        </w:rPr>
        <w:t xml:space="preserve">for Transitional forest </w:t>
      </w:r>
      <w:r>
        <w:rPr>
          <w:rFonts w:eastAsia="Times New Roman"/>
          <w:b/>
          <w:szCs w:val="24"/>
        </w:rPr>
        <w:t>zone</w:t>
      </w:r>
      <w:r w:rsidRPr="004C2A45">
        <w:rPr>
          <w:rFonts w:eastAsia="Times New Roman"/>
          <w:b/>
          <w:szCs w:val="24"/>
        </w:rPr>
        <w:t>.</w:t>
      </w:r>
    </w:p>
    <w:p w14:paraId="1744E7E0" w14:textId="77777777" w:rsidR="007D58D1" w:rsidRDefault="007D58D1" w:rsidP="008E7FCE">
      <w:pPr>
        <w:rPr>
          <w:rFonts w:eastAsia="Times New Roman"/>
          <w:b/>
          <w:szCs w:val="24"/>
        </w:rPr>
      </w:pPr>
    </w:p>
    <w:p w14:paraId="49803984" w14:textId="77777777" w:rsidR="007D58D1" w:rsidRPr="004C2A45" w:rsidRDefault="007D58D1" w:rsidP="008E7FCE">
      <w:pPr>
        <w:rPr>
          <w:rFonts w:eastAsia="Times New Roman"/>
          <w:b/>
          <w:szCs w:val="24"/>
        </w:rPr>
      </w:pPr>
    </w:p>
    <w:p w14:paraId="4AACBC12" w14:textId="77777777" w:rsidR="008E7FCE" w:rsidRPr="004C2A45" w:rsidRDefault="008E7FCE" w:rsidP="008E7FCE">
      <w:pPr>
        <w:rPr>
          <w:rFonts w:eastAsia="Times New Roman"/>
          <w:b/>
          <w:szCs w:val="24"/>
        </w:rPr>
      </w:pPr>
      <w:r w:rsidRPr="004C2A45">
        <w:rPr>
          <w:rFonts w:eastAsia="Times New Roman"/>
          <w:b/>
          <w:szCs w:val="24"/>
        </w:rPr>
        <w:t>Coastal savannah</w:t>
      </w:r>
    </w:p>
    <w:p w14:paraId="5FB7D65A" w14:textId="77777777" w:rsidR="008E7FCE" w:rsidRPr="004C2A45" w:rsidRDefault="008E7FCE" w:rsidP="008E7FCE">
      <w:pPr>
        <w:jc w:val="center"/>
        <w:rPr>
          <w:rFonts w:eastAsia="Times New Roman"/>
          <w:szCs w:val="24"/>
        </w:rPr>
      </w:pPr>
      <w:r w:rsidRPr="00CE7EDE">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4C2A45">
        <w:rPr>
          <w:rFonts w:eastAsia="Times New Roman"/>
          <w:noProof/>
          <w:szCs w:val="24"/>
          <w:lang w:val="en-GB" w:eastAsia="en-GB"/>
        </w:rPr>
        <w:drawing>
          <wp:inline distT="0" distB="0" distL="0" distR="0" wp14:anchorId="40E6A01E" wp14:editId="6A997F67">
            <wp:extent cx="5753100" cy="3479800"/>
            <wp:effectExtent l="0" t="0" r="0" b="6350"/>
            <wp:docPr id="14" name="Picture 5" descr="C:\Users\AWNTIM001\Google Drive\Cape Town 2019\Term 2\Final outputs\coastal\Graphs\fits\inmature mosquito popul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WNTIM001\Google Drive\Cape Town 2019\Term 2\Final outputs\coastal\Graphs\fits\inmature mosquito population.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53100" cy="3479800"/>
                    </a:xfrm>
                    <a:prstGeom prst="rect">
                      <a:avLst/>
                    </a:prstGeom>
                    <a:noFill/>
                    <a:ln>
                      <a:noFill/>
                    </a:ln>
                  </pic:spPr>
                </pic:pic>
              </a:graphicData>
            </a:graphic>
          </wp:inline>
        </w:drawing>
      </w:r>
    </w:p>
    <w:p w14:paraId="2AA73667" w14:textId="378A5320" w:rsidR="008E7FCE" w:rsidRPr="004C2A45" w:rsidRDefault="008E7FCE" w:rsidP="008E7FCE">
      <w:pPr>
        <w:rPr>
          <w:rFonts w:eastAsia="Times New Roman"/>
          <w:b/>
          <w:szCs w:val="24"/>
        </w:rPr>
      </w:pPr>
      <w:r w:rsidRPr="004C2A45">
        <w:rPr>
          <w:rFonts w:eastAsia="Times New Roman"/>
          <w:b/>
          <w:szCs w:val="24"/>
        </w:rPr>
        <w:t>Fig 8</w:t>
      </w:r>
      <w:r>
        <w:rPr>
          <w:rFonts w:eastAsia="Times New Roman"/>
          <w:b/>
          <w:szCs w:val="24"/>
        </w:rPr>
        <w:t>c</w:t>
      </w:r>
      <w:r w:rsidRPr="004C2A45">
        <w:rPr>
          <w:rFonts w:eastAsia="Times New Roman"/>
          <w:b/>
          <w:szCs w:val="24"/>
        </w:rPr>
        <w:t xml:space="preserve">: Immature </w:t>
      </w:r>
      <w:r>
        <w:rPr>
          <w:rFonts w:eastAsia="Times New Roman"/>
          <w:b/>
          <w:szCs w:val="24"/>
        </w:rPr>
        <w:t>mosquito</w:t>
      </w:r>
      <w:r w:rsidRPr="004C2A45">
        <w:rPr>
          <w:rFonts w:eastAsia="Times New Roman"/>
          <w:b/>
          <w:szCs w:val="24"/>
        </w:rPr>
        <w:t xml:space="preserve"> (Larva and pupa) population </w:t>
      </w:r>
      <w:r w:rsidR="00810278">
        <w:rPr>
          <w:rFonts w:eastAsia="Times New Roman"/>
          <w:b/>
          <w:szCs w:val="24"/>
        </w:rPr>
        <w:t xml:space="preserve">dynamics </w:t>
      </w:r>
      <w:r w:rsidRPr="004C2A45">
        <w:rPr>
          <w:rFonts w:eastAsia="Times New Roman"/>
          <w:b/>
          <w:szCs w:val="24"/>
        </w:rPr>
        <w:t>for Coastal savannah zone.</w:t>
      </w:r>
    </w:p>
    <w:p w14:paraId="6BDEE2FC" w14:textId="77777777" w:rsidR="008E7FCE" w:rsidRPr="004C2A45" w:rsidRDefault="008E7FCE" w:rsidP="008E7FCE">
      <w:pPr>
        <w:rPr>
          <w:rFonts w:eastAsia="Times New Roman"/>
          <w:b/>
          <w:szCs w:val="24"/>
        </w:rPr>
      </w:pPr>
    </w:p>
    <w:p w14:paraId="60B6C805" w14:textId="77777777" w:rsidR="008E7FCE" w:rsidRPr="004C2A45" w:rsidRDefault="008E7FCE" w:rsidP="008E7FCE">
      <w:pPr>
        <w:rPr>
          <w:rFonts w:eastAsia="Times New Roman"/>
          <w:b/>
          <w:szCs w:val="24"/>
        </w:rPr>
      </w:pPr>
    </w:p>
    <w:p w14:paraId="5F244600" w14:textId="77777777" w:rsidR="008E7FCE" w:rsidRDefault="008E7FCE" w:rsidP="008E7FCE">
      <w:pPr>
        <w:rPr>
          <w:rFonts w:eastAsia="Times New Roman"/>
          <w:b/>
          <w:szCs w:val="24"/>
        </w:rPr>
      </w:pPr>
    </w:p>
    <w:p w14:paraId="572B5F2F" w14:textId="77777777" w:rsidR="007D58D1" w:rsidRDefault="007D58D1" w:rsidP="008E7FCE">
      <w:pPr>
        <w:rPr>
          <w:rFonts w:eastAsia="Times New Roman"/>
          <w:b/>
          <w:szCs w:val="24"/>
        </w:rPr>
      </w:pPr>
    </w:p>
    <w:p w14:paraId="35EF6CEF" w14:textId="77777777" w:rsidR="007D58D1" w:rsidRDefault="007D58D1" w:rsidP="008E7FCE">
      <w:pPr>
        <w:rPr>
          <w:rFonts w:eastAsia="Times New Roman"/>
          <w:b/>
          <w:szCs w:val="24"/>
        </w:rPr>
      </w:pPr>
    </w:p>
    <w:p w14:paraId="3D32E504" w14:textId="77777777" w:rsidR="007D58D1" w:rsidRPr="004C2A45" w:rsidRDefault="007D58D1" w:rsidP="008E7FCE">
      <w:pPr>
        <w:rPr>
          <w:rFonts w:eastAsia="Times New Roman"/>
          <w:b/>
          <w:szCs w:val="24"/>
        </w:rPr>
      </w:pPr>
    </w:p>
    <w:p w14:paraId="0D9E5435" w14:textId="77777777" w:rsidR="008E7FCE" w:rsidRPr="004C2A45" w:rsidRDefault="008E7FCE" w:rsidP="008E7FCE">
      <w:pPr>
        <w:rPr>
          <w:rFonts w:eastAsia="Times New Roman"/>
          <w:b/>
          <w:szCs w:val="24"/>
        </w:rPr>
      </w:pPr>
    </w:p>
    <w:p w14:paraId="0E111F71" w14:textId="77777777" w:rsidR="008E7FCE" w:rsidRPr="004C2A45" w:rsidRDefault="008E7FCE" w:rsidP="008E7FCE">
      <w:pPr>
        <w:rPr>
          <w:rFonts w:eastAsia="Times New Roman"/>
          <w:b/>
          <w:szCs w:val="24"/>
        </w:rPr>
      </w:pPr>
    </w:p>
    <w:p w14:paraId="41EFEFA4" w14:textId="77777777" w:rsidR="008E7FCE" w:rsidRPr="004C2A45" w:rsidRDefault="008E7FCE" w:rsidP="008E7FCE">
      <w:pPr>
        <w:rPr>
          <w:rFonts w:eastAsia="Times New Roman"/>
          <w:b/>
          <w:szCs w:val="24"/>
        </w:rPr>
      </w:pPr>
    </w:p>
    <w:p w14:paraId="2CC94C42" w14:textId="77777777" w:rsidR="008E7FCE" w:rsidRPr="004C2A45" w:rsidRDefault="008E7FCE" w:rsidP="008E7FCE">
      <w:pPr>
        <w:rPr>
          <w:rFonts w:eastAsia="Times New Roman"/>
          <w:b/>
          <w:szCs w:val="24"/>
        </w:rPr>
      </w:pPr>
    </w:p>
    <w:p w14:paraId="4236DB19" w14:textId="77777777" w:rsidR="008E7FCE" w:rsidRDefault="008E7FCE" w:rsidP="008E7FCE">
      <w:pPr>
        <w:rPr>
          <w:rFonts w:eastAsia="Times New Roman"/>
          <w:b/>
          <w:szCs w:val="24"/>
        </w:rPr>
      </w:pPr>
    </w:p>
    <w:p w14:paraId="4D803508" w14:textId="77777777" w:rsidR="008E7FCE" w:rsidRDefault="008E7FCE" w:rsidP="008E7FCE">
      <w:pPr>
        <w:rPr>
          <w:rFonts w:eastAsia="Times New Roman"/>
          <w:b/>
          <w:szCs w:val="24"/>
        </w:rPr>
      </w:pPr>
    </w:p>
    <w:p w14:paraId="318D36B2" w14:textId="77777777" w:rsidR="008E7FCE" w:rsidRPr="004C2A45" w:rsidRDefault="008E7FCE" w:rsidP="008E7FCE">
      <w:pPr>
        <w:rPr>
          <w:rFonts w:eastAsia="Times New Roman"/>
          <w:szCs w:val="24"/>
        </w:rPr>
      </w:pPr>
      <w:r w:rsidRPr="004C2A45">
        <w:rPr>
          <w:rFonts w:eastAsia="Times New Roman"/>
          <w:b/>
          <w:szCs w:val="24"/>
        </w:rPr>
        <w:lastRenderedPageBreak/>
        <w:t>Appendix D:</w:t>
      </w:r>
      <w:r w:rsidRPr="004C2A45">
        <w:rPr>
          <w:rFonts w:eastAsia="Times New Roman"/>
          <w:szCs w:val="24"/>
        </w:rPr>
        <w:t xml:space="preserve"> </w:t>
      </w:r>
    </w:p>
    <w:p w14:paraId="117813F2" w14:textId="77777777" w:rsidR="008E7FCE" w:rsidRDefault="008E7FCE" w:rsidP="008E7FCE">
      <w:pPr>
        <w:rPr>
          <w:rFonts w:eastAsia="Times New Roman"/>
          <w:b/>
          <w:szCs w:val="24"/>
        </w:rPr>
      </w:pPr>
      <w:r w:rsidRPr="004C2A45">
        <w:rPr>
          <w:rFonts w:eastAsia="Times New Roman"/>
          <w:b/>
          <w:szCs w:val="24"/>
        </w:rPr>
        <w:t>Guinea savannah</w:t>
      </w:r>
    </w:p>
    <w:p w14:paraId="46A1F71E" w14:textId="51FAD643" w:rsidR="008E7FCE" w:rsidRDefault="008E7FCE" w:rsidP="008E7FCE">
      <w:pPr>
        <w:ind w:hanging="567"/>
        <w:rPr>
          <w:rFonts w:eastAsia="Times New Roman"/>
          <w:b/>
          <w:szCs w:val="24"/>
        </w:rPr>
      </w:pPr>
      <w:r>
        <w:rPr>
          <w:rFonts w:eastAsia="Times New Roman"/>
          <w:szCs w:val="24"/>
        </w:rPr>
        <w:object w:dxaOrig="16200" w:dyaOrig="10801" w14:anchorId="1DB990D3">
          <v:shape id="_x0000_i1035" type="#_x0000_t75" style="width:535.5pt;height:357.75pt" o:ole="">
            <v:imagedata r:id="rId49" o:title=""/>
          </v:shape>
          <o:OLEObject Type="Embed" ProgID="AcroExch.Document.DC" ShapeID="_x0000_i1035" DrawAspect="Content" ObjectID="_1648879071" r:id="rId50"/>
        </w:object>
      </w:r>
      <w:r w:rsidRPr="000125D7">
        <w:rPr>
          <w:rFonts w:eastAsia="Times New Roman"/>
          <w:b/>
          <w:szCs w:val="24"/>
        </w:rPr>
        <w:t xml:space="preserve"> </w:t>
      </w:r>
      <w:r w:rsidRPr="004C2A45">
        <w:rPr>
          <w:rFonts w:eastAsia="Times New Roman"/>
          <w:b/>
          <w:szCs w:val="24"/>
        </w:rPr>
        <w:t>Fig 9</w:t>
      </w:r>
      <w:r>
        <w:rPr>
          <w:rFonts w:eastAsia="Times New Roman"/>
          <w:b/>
          <w:szCs w:val="24"/>
        </w:rPr>
        <w:t>a</w:t>
      </w:r>
      <w:r w:rsidRPr="004C2A45">
        <w:rPr>
          <w:rFonts w:eastAsia="Times New Roman"/>
          <w:b/>
          <w:szCs w:val="24"/>
        </w:rPr>
        <w:t xml:space="preserve">: Graphs for prediction errors </w:t>
      </w:r>
      <w:r w:rsidR="00810278">
        <w:rPr>
          <w:rFonts w:eastAsia="Times New Roman"/>
          <w:b/>
          <w:szCs w:val="24"/>
        </w:rPr>
        <w:t xml:space="preserve">[with tolerances of 0.01 (red points) and 0.02 (blue points)] </w:t>
      </w:r>
      <w:r w:rsidRPr="004C2A45">
        <w:rPr>
          <w:rFonts w:eastAsia="Times New Roman"/>
          <w:b/>
          <w:szCs w:val="24"/>
        </w:rPr>
        <w:t>for model parameters estimated by the Approximate Bayesian Computation (ABC) for Guinea savannah</w:t>
      </w:r>
      <w:r>
        <w:rPr>
          <w:rFonts w:eastAsia="Times New Roman"/>
          <w:b/>
          <w:szCs w:val="24"/>
        </w:rPr>
        <w:t xml:space="preserve"> zone</w:t>
      </w:r>
      <w:r w:rsidRPr="004C2A45">
        <w:rPr>
          <w:rFonts w:eastAsia="Times New Roman"/>
          <w:b/>
          <w:szCs w:val="24"/>
        </w:rPr>
        <w:t>.</w:t>
      </w:r>
    </w:p>
    <w:p w14:paraId="4E920952" w14:textId="77777777" w:rsidR="008E7FCE" w:rsidRPr="004C2A45" w:rsidRDefault="008E7FCE" w:rsidP="008E7FCE">
      <w:pPr>
        <w:rPr>
          <w:rFonts w:eastAsia="Times New Roman"/>
          <w:szCs w:val="24"/>
        </w:rPr>
      </w:pPr>
    </w:p>
    <w:p w14:paraId="537C7D4F" w14:textId="77777777" w:rsidR="008E7FCE" w:rsidRPr="004C2A45" w:rsidRDefault="008E7FCE" w:rsidP="008E7FCE">
      <w:pPr>
        <w:rPr>
          <w:rFonts w:eastAsia="Times New Roman"/>
          <w:b/>
          <w:szCs w:val="24"/>
        </w:rPr>
      </w:pPr>
    </w:p>
    <w:p w14:paraId="69E01677" w14:textId="77777777" w:rsidR="008E7FCE" w:rsidRDefault="008E7FCE" w:rsidP="008E7FCE">
      <w:pPr>
        <w:rPr>
          <w:rFonts w:eastAsia="Times New Roman"/>
          <w:b/>
          <w:szCs w:val="24"/>
        </w:rPr>
      </w:pPr>
    </w:p>
    <w:p w14:paraId="54CABA1B" w14:textId="77777777" w:rsidR="008E7FCE" w:rsidRDefault="008E7FCE" w:rsidP="008E7FCE">
      <w:pPr>
        <w:rPr>
          <w:rFonts w:eastAsia="Times New Roman"/>
          <w:b/>
          <w:szCs w:val="24"/>
        </w:rPr>
      </w:pPr>
    </w:p>
    <w:p w14:paraId="005286B6" w14:textId="77777777" w:rsidR="008E7FCE" w:rsidRDefault="008E7FCE" w:rsidP="008E7FCE">
      <w:pPr>
        <w:rPr>
          <w:rFonts w:eastAsia="Times New Roman"/>
          <w:b/>
          <w:szCs w:val="24"/>
        </w:rPr>
      </w:pPr>
    </w:p>
    <w:p w14:paraId="7906B2FB" w14:textId="77777777" w:rsidR="008E7FCE" w:rsidRDefault="008E7FCE" w:rsidP="008E7FCE">
      <w:pPr>
        <w:rPr>
          <w:rFonts w:eastAsia="Times New Roman"/>
          <w:b/>
          <w:szCs w:val="24"/>
        </w:rPr>
      </w:pPr>
    </w:p>
    <w:p w14:paraId="110D303D" w14:textId="77777777" w:rsidR="008E7FCE" w:rsidRDefault="008E7FCE" w:rsidP="008E7FCE">
      <w:pPr>
        <w:rPr>
          <w:rFonts w:eastAsia="Times New Roman"/>
          <w:b/>
          <w:szCs w:val="24"/>
        </w:rPr>
      </w:pPr>
    </w:p>
    <w:p w14:paraId="420048FC" w14:textId="77777777" w:rsidR="008E7FCE" w:rsidRDefault="008E7FCE" w:rsidP="008E7FCE">
      <w:pPr>
        <w:rPr>
          <w:rFonts w:eastAsia="Times New Roman"/>
          <w:b/>
          <w:szCs w:val="24"/>
        </w:rPr>
      </w:pPr>
    </w:p>
    <w:p w14:paraId="1FFCC790" w14:textId="77777777" w:rsidR="008E7FCE" w:rsidRDefault="008E7FCE" w:rsidP="008E7FCE">
      <w:pPr>
        <w:rPr>
          <w:rFonts w:eastAsia="Times New Roman"/>
          <w:b/>
          <w:szCs w:val="24"/>
        </w:rPr>
      </w:pPr>
    </w:p>
    <w:p w14:paraId="3F8094E3" w14:textId="77777777" w:rsidR="008E7FCE" w:rsidRDefault="008E7FCE" w:rsidP="008E7FCE">
      <w:pPr>
        <w:rPr>
          <w:rFonts w:eastAsia="Times New Roman"/>
          <w:b/>
          <w:szCs w:val="24"/>
        </w:rPr>
      </w:pPr>
    </w:p>
    <w:p w14:paraId="42DC9D6F" w14:textId="77777777" w:rsidR="008E7FCE" w:rsidRDefault="008E7FCE" w:rsidP="008E7FCE">
      <w:pPr>
        <w:rPr>
          <w:rFonts w:eastAsia="Times New Roman"/>
          <w:b/>
          <w:szCs w:val="24"/>
        </w:rPr>
      </w:pPr>
    </w:p>
    <w:p w14:paraId="2490846A" w14:textId="77777777" w:rsidR="008E7FCE" w:rsidRPr="004C2A45" w:rsidRDefault="008E7FCE" w:rsidP="008E7FCE">
      <w:pPr>
        <w:rPr>
          <w:rFonts w:eastAsia="Times New Roman"/>
          <w:b/>
          <w:szCs w:val="24"/>
        </w:rPr>
      </w:pPr>
      <w:r w:rsidRPr="004C2A45">
        <w:rPr>
          <w:rFonts w:eastAsia="Times New Roman"/>
          <w:b/>
          <w:szCs w:val="24"/>
        </w:rPr>
        <w:t xml:space="preserve">Transitional forest </w:t>
      </w:r>
    </w:p>
    <w:p w14:paraId="5734AF39" w14:textId="750ADB70" w:rsidR="008E7FCE" w:rsidRDefault="008E7FCE" w:rsidP="008E7FCE">
      <w:pPr>
        <w:ind w:hanging="567"/>
        <w:rPr>
          <w:rFonts w:eastAsia="Times New Roman"/>
          <w:b/>
          <w:szCs w:val="24"/>
        </w:rPr>
      </w:pPr>
      <w:r>
        <w:rPr>
          <w:rFonts w:eastAsia="Times New Roman"/>
          <w:b/>
          <w:szCs w:val="24"/>
        </w:rPr>
        <w:object w:dxaOrig="16200" w:dyaOrig="10801" w14:anchorId="72F5B289">
          <v:shape id="_x0000_i1036" type="#_x0000_t75" style="width:535.5pt;height:355.5pt" o:ole="">
            <v:imagedata r:id="rId51" o:title=""/>
          </v:shape>
          <o:OLEObject Type="Embed" ProgID="AcroExch.Document.DC" ShapeID="_x0000_i1036" DrawAspect="Content" ObjectID="_1648879072" r:id="rId52"/>
        </w:object>
      </w:r>
      <w:r w:rsidRPr="000125D7">
        <w:rPr>
          <w:rFonts w:eastAsia="Times New Roman"/>
          <w:b/>
          <w:szCs w:val="24"/>
        </w:rPr>
        <w:t xml:space="preserve"> </w:t>
      </w:r>
      <w:r w:rsidRPr="004C2A45">
        <w:rPr>
          <w:rFonts w:eastAsia="Times New Roman"/>
          <w:b/>
          <w:szCs w:val="24"/>
        </w:rPr>
        <w:t>Fig 9</w:t>
      </w:r>
      <w:r>
        <w:rPr>
          <w:rFonts w:eastAsia="Times New Roman"/>
          <w:b/>
          <w:szCs w:val="24"/>
        </w:rPr>
        <w:t>b</w:t>
      </w:r>
      <w:r w:rsidRPr="004C2A45">
        <w:rPr>
          <w:rFonts w:eastAsia="Times New Roman"/>
          <w:b/>
          <w:szCs w:val="24"/>
        </w:rPr>
        <w:t xml:space="preserve">: Graphs for prediction errors </w:t>
      </w:r>
      <w:proofErr w:type="spellStart"/>
      <w:r w:rsidR="00810278" w:rsidRPr="004C2A45">
        <w:rPr>
          <w:rFonts w:eastAsia="Times New Roman"/>
          <w:b/>
          <w:szCs w:val="24"/>
        </w:rPr>
        <w:t>errors</w:t>
      </w:r>
      <w:proofErr w:type="spellEnd"/>
      <w:r w:rsidR="00810278" w:rsidRPr="004C2A45">
        <w:rPr>
          <w:rFonts w:eastAsia="Times New Roman"/>
          <w:b/>
          <w:szCs w:val="24"/>
        </w:rPr>
        <w:t xml:space="preserve"> </w:t>
      </w:r>
      <w:r w:rsidR="00810278">
        <w:rPr>
          <w:rFonts w:eastAsia="Times New Roman"/>
          <w:b/>
          <w:szCs w:val="24"/>
        </w:rPr>
        <w:t>[with tolerances of 0.01 (red points) and 0.02 (blue points)</w:t>
      </w:r>
      <w:proofErr w:type="gramStart"/>
      <w:r w:rsidR="00810278">
        <w:rPr>
          <w:rFonts w:eastAsia="Times New Roman"/>
          <w:b/>
          <w:szCs w:val="24"/>
        </w:rPr>
        <w:t>]</w:t>
      </w:r>
      <w:r w:rsidRPr="004C2A45">
        <w:rPr>
          <w:rFonts w:eastAsia="Times New Roman"/>
          <w:b/>
          <w:szCs w:val="24"/>
        </w:rPr>
        <w:t>for</w:t>
      </w:r>
      <w:proofErr w:type="gramEnd"/>
      <w:r w:rsidRPr="004C2A45">
        <w:rPr>
          <w:rFonts w:eastAsia="Times New Roman"/>
          <w:b/>
          <w:szCs w:val="24"/>
        </w:rPr>
        <w:t xml:space="preserve"> model parameters estimated by the Approximate Bayesian Computation (ABC) for Transitional </w:t>
      </w:r>
      <w:r>
        <w:rPr>
          <w:rFonts w:eastAsia="Times New Roman"/>
          <w:b/>
          <w:szCs w:val="24"/>
        </w:rPr>
        <w:t>zone</w:t>
      </w:r>
      <w:r w:rsidRPr="004C2A45">
        <w:rPr>
          <w:rFonts w:eastAsia="Times New Roman"/>
          <w:b/>
          <w:szCs w:val="24"/>
        </w:rPr>
        <w:t>.</w:t>
      </w:r>
    </w:p>
    <w:p w14:paraId="1B32F9F2" w14:textId="77777777" w:rsidR="008E7FCE" w:rsidRPr="004C2A45" w:rsidRDefault="008E7FCE" w:rsidP="008E7FCE">
      <w:pPr>
        <w:rPr>
          <w:rFonts w:eastAsia="Times New Roman"/>
          <w:b/>
          <w:szCs w:val="24"/>
        </w:rPr>
      </w:pPr>
    </w:p>
    <w:p w14:paraId="0DAB8365" w14:textId="77777777" w:rsidR="008E7FCE" w:rsidRDefault="008E7FCE" w:rsidP="008E7FCE">
      <w:pPr>
        <w:rPr>
          <w:rFonts w:eastAsia="Times New Roman"/>
          <w:b/>
          <w:szCs w:val="24"/>
        </w:rPr>
      </w:pPr>
    </w:p>
    <w:p w14:paraId="07DC824D" w14:textId="77777777" w:rsidR="008E7FCE" w:rsidRDefault="008E7FCE" w:rsidP="008E7FCE">
      <w:pPr>
        <w:rPr>
          <w:rFonts w:eastAsia="Times New Roman"/>
          <w:b/>
          <w:szCs w:val="24"/>
        </w:rPr>
      </w:pPr>
    </w:p>
    <w:p w14:paraId="317F77D3" w14:textId="77777777" w:rsidR="008E7FCE" w:rsidRDefault="008E7FCE" w:rsidP="008E7FCE">
      <w:pPr>
        <w:rPr>
          <w:rFonts w:eastAsia="Times New Roman"/>
          <w:b/>
          <w:szCs w:val="24"/>
        </w:rPr>
      </w:pPr>
    </w:p>
    <w:p w14:paraId="0224A7CF" w14:textId="77777777" w:rsidR="008E7FCE" w:rsidRDefault="008E7FCE" w:rsidP="008E7FCE">
      <w:pPr>
        <w:rPr>
          <w:rFonts w:eastAsia="Times New Roman"/>
          <w:b/>
          <w:szCs w:val="24"/>
        </w:rPr>
      </w:pPr>
    </w:p>
    <w:p w14:paraId="53464E9F" w14:textId="77777777" w:rsidR="008E7FCE" w:rsidRDefault="008E7FCE" w:rsidP="008E7FCE">
      <w:pPr>
        <w:rPr>
          <w:rFonts w:eastAsia="Times New Roman"/>
          <w:b/>
          <w:szCs w:val="24"/>
        </w:rPr>
      </w:pPr>
    </w:p>
    <w:p w14:paraId="4B42F9DD" w14:textId="77777777" w:rsidR="008E7FCE" w:rsidRDefault="008E7FCE" w:rsidP="008E7FCE">
      <w:pPr>
        <w:rPr>
          <w:rFonts w:eastAsia="Times New Roman"/>
          <w:b/>
          <w:szCs w:val="24"/>
        </w:rPr>
      </w:pPr>
    </w:p>
    <w:p w14:paraId="6378646E" w14:textId="77777777" w:rsidR="008E7FCE" w:rsidRDefault="008E7FCE" w:rsidP="008E7FCE">
      <w:pPr>
        <w:rPr>
          <w:rFonts w:eastAsia="Times New Roman"/>
          <w:b/>
          <w:szCs w:val="24"/>
        </w:rPr>
      </w:pPr>
    </w:p>
    <w:p w14:paraId="1CB1C54D" w14:textId="77777777" w:rsidR="008E7FCE" w:rsidRDefault="008E7FCE" w:rsidP="008E7FCE">
      <w:pPr>
        <w:rPr>
          <w:rFonts w:eastAsia="Times New Roman"/>
          <w:b/>
          <w:szCs w:val="24"/>
        </w:rPr>
      </w:pPr>
    </w:p>
    <w:p w14:paraId="6AEADFAE" w14:textId="77777777" w:rsidR="008E7FCE" w:rsidRDefault="008E7FCE" w:rsidP="008E7FCE">
      <w:pPr>
        <w:rPr>
          <w:rFonts w:eastAsia="Times New Roman"/>
          <w:b/>
          <w:szCs w:val="24"/>
        </w:rPr>
      </w:pPr>
    </w:p>
    <w:p w14:paraId="4F9405B4" w14:textId="77777777" w:rsidR="008E7FCE" w:rsidRDefault="008E7FCE" w:rsidP="008E7FCE">
      <w:pPr>
        <w:rPr>
          <w:rFonts w:eastAsia="Times New Roman"/>
          <w:b/>
          <w:szCs w:val="24"/>
        </w:rPr>
      </w:pPr>
    </w:p>
    <w:p w14:paraId="7CABAF04" w14:textId="77777777" w:rsidR="008E7FCE" w:rsidRDefault="008E7FCE" w:rsidP="008E7FCE">
      <w:pPr>
        <w:rPr>
          <w:rFonts w:eastAsia="Times New Roman"/>
          <w:b/>
          <w:szCs w:val="24"/>
        </w:rPr>
      </w:pPr>
    </w:p>
    <w:p w14:paraId="61662A7B" w14:textId="77777777" w:rsidR="008E7FCE" w:rsidRPr="004C2A45" w:rsidRDefault="008E7FCE" w:rsidP="008E7FCE">
      <w:pPr>
        <w:rPr>
          <w:rFonts w:eastAsia="Times New Roman"/>
          <w:szCs w:val="24"/>
        </w:rPr>
      </w:pPr>
      <w:r w:rsidRPr="004C2A45">
        <w:rPr>
          <w:rFonts w:eastAsia="Times New Roman"/>
          <w:b/>
          <w:szCs w:val="24"/>
        </w:rPr>
        <w:t>Coastal savannah</w:t>
      </w:r>
    </w:p>
    <w:p w14:paraId="27789E9B" w14:textId="2B92BDDB" w:rsidR="008E7FCE" w:rsidRDefault="008E7FCE" w:rsidP="008E7FCE">
      <w:pPr>
        <w:ind w:hanging="567"/>
        <w:rPr>
          <w:rFonts w:eastAsia="Times New Roman"/>
          <w:b/>
          <w:szCs w:val="24"/>
        </w:rPr>
      </w:pPr>
      <w:r>
        <w:rPr>
          <w:rFonts w:eastAsia="Times New Roman"/>
          <w:szCs w:val="24"/>
        </w:rPr>
        <w:object w:dxaOrig="16200" w:dyaOrig="10801" w14:anchorId="56CF2156">
          <v:shape id="_x0000_i1037" type="#_x0000_t75" style="width:535.5pt;height:355.5pt" o:ole="">
            <v:imagedata r:id="rId53" o:title=""/>
          </v:shape>
          <o:OLEObject Type="Embed" ProgID="AcroExch.Document.DC" ShapeID="_x0000_i1037" DrawAspect="Content" ObjectID="_1648879073" r:id="rId54"/>
        </w:object>
      </w:r>
      <w:r w:rsidRPr="004C2A45">
        <w:rPr>
          <w:rFonts w:eastAsia="Times New Roman"/>
          <w:b/>
          <w:szCs w:val="24"/>
        </w:rPr>
        <w:t>Fig 9</w:t>
      </w:r>
      <w:r>
        <w:rPr>
          <w:rFonts w:eastAsia="Times New Roman"/>
          <w:b/>
          <w:szCs w:val="24"/>
        </w:rPr>
        <w:t>c</w:t>
      </w:r>
      <w:r w:rsidRPr="004C2A45">
        <w:rPr>
          <w:rFonts w:eastAsia="Times New Roman"/>
          <w:b/>
          <w:szCs w:val="24"/>
        </w:rPr>
        <w:t>: Graphs for prediction errors</w:t>
      </w:r>
      <w:r w:rsidR="00810278">
        <w:rPr>
          <w:rFonts w:eastAsia="Times New Roman"/>
          <w:b/>
          <w:szCs w:val="24"/>
        </w:rPr>
        <w:t xml:space="preserve"> </w:t>
      </w:r>
      <w:r w:rsidR="00810278" w:rsidRPr="004C2A45">
        <w:rPr>
          <w:rFonts w:eastAsia="Times New Roman"/>
          <w:b/>
          <w:szCs w:val="24"/>
        </w:rPr>
        <w:t xml:space="preserve">errors </w:t>
      </w:r>
      <w:r w:rsidR="00810278">
        <w:rPr>
          <w:rFonts w:eastAsia="Times New Roman"/>
          <w:b/>
          <w:szCs w:val="24"/>
        </w:rPr>
        <w:t>[with tolerances of 0.01 (red points) and 0.02 (blue points)]</w:t>
      </w:r>
      <w:r w:rsidRPr="004C2A45">
        <w:rPr>
          <w:rFonts w:eastAsia="Times New Roman"/>
          <w:b/>
          <w:szCs w:val="24"/>
        </w:rPr>
        <w:t xml:space="preserve"> for model parameters estimated by the Approximate Bayesian Computation (ABC) for Coastal savannah zone.</w:t>
      </w:r>
    </w:p>
    <w:p w14:paraId="596965B1" w14:textId="77777777" w:rsidR="008E7FCE" w:rsidRDefault="008E7FCE" w:rsidP="008E7FCE">
      <w:pPr>
        <w:rPr>
          <w:rFonts w:eastAsia="Times New Roman"/>
          <w:b/>
          <w:szCs w:val="24"/>
        </w:rPr>
      </w:pPr>
    </w:p>
    <w:p w14:paraId="3B6F18C8" w14:textId="77777777" w:rsidR="008E7FCE" w:rsidRDefault="008E7FCE" w:rsidP="008E7FCE">
      <w:pPr>
        <w:rPr>
          <w:rFonts w:eastAsia="Times New Roman"/>
          <w:b/>
          <w:szCs w:val="24"/>
        </w:rPr>
      </w:pPr>
    </w:p>
    <w:p w14:paraId="3016968F" w14:textId="77777777" w:rsidR="008E7FCE" w:rsidRDefault="008E7FCE" w:rsidP="008E7FCE">
      <w:pPr>
        <w:rPr>
          <w:rFonts w:eastAsia="Times New Roman"/>
          <w:b/>
          <w:szCs w:val="24"/>
        </w:rPr>
      </w:pPr>
    </w:p>
    <w:p w14:paraId="6D9AC6FC" w14:textId="77777777" w:rsidR="008E7FCE" w:rsidRDefault="008E7FCE" w:rsidP="008E7FCE">
      <w:pPr>
        <w:rPr>
          <w:rFonts w:eastAsia="Times New Roman"/>
          <w:b/>
          <w:szCs w:val="24"/>
        </w:rPr>
      </w:pPr>
    </w:p>
    <w:p w14:paraId="65D0A5FC" w14:textId="77777777" w:rsidR="008E7FCE" w:rsidRDefault="008E7FCE" w:rsidP="008E7FCE">
      <w:pPr>
        <w:rPr>
          <w:rFonts w:eastAsia="Times New Roman"/>
          <w:b/>
          <w:szCs w:val="24"/>
        </w:rPr>
      </w:pPr>
    </w:p>
    <w:p w14:paraId="107C98E1" w14:textId="77777777" w:rsidR="008E7FCE" w:rsidRDefault="008E7FCE" w:rsidP="008E7FCE">
      <w:pPr>
        <w:rPr>
          <w:rFonts w:eastAsia="Times New Roman"/>
          <w:b/>
          <w:szCs w:val="24"/>
        </w:rPr>
      </w:pPr>
    </w:p>
    <w:p w14:paraId="1701AB89" w14:textId="77777777" w:rsidR="008E7FCE" w:rsidRDefault="008E7FCE" w:rsidP="008E7FCE">
      <w:pPr>
        <w:rPr>
          <w:rFonts w:eastAsia="Times New Roman"/>
          <w:b/>
          <w:szCs w:val="24"/>
        </w:rPr>
      </w:pPr>
    </w:p>
    <w:p w14:paraId="361E584C" w14:textId="77777777" w:rsidR="008E7FCE" w:rsidRDefault="008E7FCE" w:rsidP="008E7FCE">
      <w:pPr>
        <w:rPr>
          <w:rFonts w:eastAsia="Times New Roman"/>
          <w:b/>
          <w:szCs w:val="24"/>
        </w:rPr>
      </w:pPr>
    </w:p>
    <w:p w14:paraId="452E37EC" w14:textId="77777777" w:rsidR="008E7FCE" w:rsidRDefault="008E7FCE" w:rsidP="008E7FCE">
      <w:pPr>
        <w:rPr>
          <w:rFonts w:eastAsia="Times New Roman"/>
          <w:b/>
          <w:szCs w:val="24"/>
        </w:rPr>
      </w:pPr>
    </w:p>
    <w:p w14:paraId="19242A2F" w14:textId="77777777" w:rsidR="008E7FCE" w:rsidRDefault="008E7FCE" w:rsidP="008E7FCE">
      <w:pPr>
        <w:rPr>
          <w:rFonts w:eastAsia="Times New Roman"/>
          <w:b/>
          <w:szCs w:val="24"/>
        </w:rPr>
      </w:pPr>
    </w:p>
    <w:p w14:paraId="1B731190" w14:textId="77777777" w:rsidR="008E7FCE" w:rsidRDefault="008E7FCE" w:rsidP="008E7FCE">
      <w:pPr>
        <w:rPr>
          <w:rFonts w:eastAsia="Times New Roman"/>
          <w:b/>
          <w:szCs w:val="24"/>
        </w:rPr>
      </w:pPr>
    </w:p>
    <w:p w14:paraId="3D2AF9C3" w14:textId="77777777" w:rsidR="008E7FCE" w:rsidRPr="004C2A45" w:rsidRDefault="008E7FCE" w:rsidP="008E7FCE">
      <w:pPr>
        <w:rPr>
          <w:rFonts w:eastAsia="Times New Roman"/>
          <w:szCs w:val="24"/>
        </w:rPr>
      </w:pPr>
      <w:r w:rsidRPr="004C2A45">
        <w:rPr>
          <w:rFonts w:eastAsia="Times New Roman"/>
          <w:b/>
          <w:szCs w:val="24"/>
        </w:rPr>
        <w:lastRenderedPageBreak/>
        <w:t>Appendix E:</w:t>
      </w:r>
      <w:r w:rsidRPr="004C2A45">
        <w:rPr>
          <w:rFonts w:eastAsia="Times New Roman"/>
          <w:szCs w:val="24"/>
        </w:rPr>
        <w:t xml:space="preserve"> </w:t>
      </w:r>
    </w:p>
    <w:p w14:paraId="34BC8462" w14:textId="05681AC8" w:rsidR="008E7FCE" w:rsidRDefault="008E7FCE" w:rsidP="008E7FCE">
      <w:pPr>
        <w:rPr>
          <w:rFonts w:eastAsia="Times New Roman"/>
          <w:b/>
          <w:szCs w:val="24"/>
        </w:rPr>
      </w:pPr>
      <w:r w:rsidRPr="004C2A45">
        <w:rPr>
          <w:rFonts w:eastAsia="Times New Roman"/>
          <w:b/>
          <w:szCs w:val="24"/>
        </w:rPr>
        <w:t xml:space="preserve">Table </w:t>
      </w:r>
      <w:r w:rsidR="00622896">
        <w:rPr>
          <w:rFonts w:eastAsia="Times New Roman"/>
          <w:b/>
          <w:szCs w:val="24"/>
        </w:rPr>
        <w:t>5</w:t>
      </w:r>
      <w:r w:rsidRPr="004C2A45">
        <w:rPr>
          <w:rFonts w:eastAsia="Times New Roman"/>
          <w:b/>
          <w:szCs w:val="24"/>
        </w:rPr>
        <w:t>: Sensitivity analysis for parameters of the Guinea savannah model</w:t>
      </w:r>
    </w:p>
    <w:tbl>
      <w:tblPr>
        <w:tblW w:w="9979" w:type="dxa"/>
        <w:tblLook w:val="04A0" w:firstRow="1" w:lastRow="0" w:firstColumn="1" w:lastColumn="0" w:noHBand="0" w:noVBand="1"/>
      </w:tblPr>
      <w:tblGrid>
        <w:gridCol w:w="1825"/>
        <w:gridCol w:w="2630"/>
        <w:gridCol w:w="1492"/>
        <w:gridCol w:w="276"/>
        <w:gridCol w:w="1834"/>
        <w:gridCol w:w="1932"/>
      </w:tblGrid>
      <w:tr w:rsidR="008E7FCE" w:rsidRPr="002F3FE2" w14:paraId="1ABE574E" w14:textId="77777777" w:rsidTr="009629A6">
        <w:trPr>
          <w:trHeight w:val="309"/>
        </w:trPr>
        <w:tc>
          <w:tcPr>
            <w:tcW w:w="9979" w:type="dxa"/>
            <w:gridSpan w:val="6"/>
            <w:tcBorders>
              <w:top w:val="single" w:sz="4" w:space="0" w:color="auto"/>
              <w:left w:val="nil"/>
              <w:bottom w:val="single" w:sz="4" w:space="0" w:color="auto"/>
              <w:right w:val="nil"/>
            </w:tcBorders>
            <w:shd w:val="clear" w:color="auto" w:fill="auto"/>
            <w:noWrap/>
            <w:vAlign w:val="bottom"/>
            <w:hideMark/>
          </w:tcPr>
          <w:p w14:paraId="3F2F7593"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Guinea savannah</w:t>
            </w:r>
          </w:p>
        </w:tc>
      </w:tr>
      <w:tr w:rsidR="008E7FCE" w:rsidRPr="002F3FE2" w14:paraId="7E4EA171" w14:textId="77777777" w:rsidTr="009629A6">
        <w:trPr>
          <w:trHeight w:val="309"/>
        </w:trPr>
        <w:tc>
          <w:tcPr>
            <w:tcW w:w="5947" w:type="dxa"/>
            <w:gridSpan w:val="3"/>
            <w:tcBorders>
              <w:top w:val="nil"/>
              <w:left w:val="single" w:sz="4" w:space="0" w:color="auto"/>
              <w:bottom w:val="single" w:sz="4" w:space="0" w:color="auto"/>
              <w:right w:val="single" w:sz="4" w:space="0" w:color="000000"/>
            </w:tcBorders>
            <w:shd w:val="clear" w:color="auto" w:fill="auto"/>
            <w:noWrap/>
            <w:vAlign w:val="bottom"/>
            <w:hideMark/>
          </w:tcPr>
          <w:p w14:paraId="13280914" w14:textId="77777777" w:rsidR="008E7FCE" w:rsidRPr="002F3FE2" w:rsidRDefault="008E7FCE" w:rsidP="009629A6">
            <w:pPr>
              <w:spacing w:after="0" w:line="240" w:lineRule="auto"/>
              <w:rPr>
                <w:rFonts w:eastAsia="Times New Roman"/>
                <w:b/>
                <w:bCs/>
                <w:szCs w:val="24"/>
                <w:lang w:eastAsia="en-ZA"/>
              </w:rPr>
            </w:pPr>
            <w:r w:rsidRPr="002F3FE2">
              <w:rPr>
                <w:rFonts w:eastAsia="Times New Roman"/>
                <w:b/>
                <w:bCs/>
                <w:szCs w:val="24"/>
                <w:lang w:eastAsia="en-ZA"/>
              </w:rPr>
              <w:t xml:space="preserve">Multiple regression estimation </w:t>
            </w:r>
          </w:p>
        </w:tc>
        <w:tc>
          <w:tcPr>
            <w:tcW w:w="265" w:type="dxa"/>
            <w:tcBorders>
              <w:top w:val="nil"/>
              <w:left w:val="nil"/>
              <w:bottom w:val="nil"/>
              <w:right w:val="single" w:sz="4" w:space="0" w:color="auto"/>
            </w:tcBorders>
            <w:shd w:val="clear" w:color="auto" w:fill="auto"/>
            <w:noWrap/>
            <w:vAlign w:val="bottom"/>
            <w:hideMark/>
          </w:tcPr>
          <w:p w14:paraId="01F11185"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 </w:t>
            </w:r>
          </w:p>
        </w:tc>
        <w:tc>
          <w:tcPr>
            <w:tcW w:w="376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1839D936"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Standardised and ordered coefficients</w:t>
            </w:r>
          </w:p>
        </w:tc>
      </w:tr>
      <w:tr w:rsidR="008E7FCE" w:rsidRPr="002F3FE2" w14:paraId="072D9265"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bottom"/>
            <w:hideMark/>
          </w:tcPr>
          <w:p w14:paraId="29945F11" w14:textId="77777777" w:rsidR="008E7FCE" w:rsidRPr="002F3FE2" w:rsidRDefault="008E7FCE" w:rsidP="009629A6">
            <w:pPr>
              <w:spacing w:after="0" w:line="240" w:lineRule="auto"/>
              <w:rPr>
                <w:rFonts w:eastAsia="Times New Roman"/>
                <w:b/>
                <w:bCs/>
                <w:szCs w:val="24"/>
                <w:lang w:eastAsia="en-ZA"/>
              </w:rPr>
            </w:pPr>
            <w:r w:rsidRPr="002F3FE2">
              <w:rPr>
                <w:rFonts w:eastAsia="Times New Roman"/>
                <w:b/>
                <w:bCs/>
                <w:szCs w:val="24"/>
                <w:lang w:eastAsia="en-ZA"/>
              </w:rPr>
              <w:t>Parameter</w:t>
            </w:r>
          </w:p>
        </w:tc>
        <w:tc>
          <w:tcPr>
            <w:tcW w:w="2630" w:type="dxa"/>
            <w:tcBorders>
              <w:top w:val="nil"/>
              <w:left w:val="nil"/>
              <w:bottom w:val="single" w:sz="4" w:space="0" w:color="auto"/>
              <w:right w:val="single" w:sz="4" w:space="0" w:color="auto"/>
            </w:tcBorders>
            <w:shd w:val="clear" w:color="auto" w:fill="auto"/>
            <w:noWrap/>
            <w:vAlign w:val="bottom"/>
            <w:hideMark/>
          </w:tcPr>
          <w:p w14:paraId="3C0FE21F" w14:textId="77777777" w:rsidR="008E7FCE" w:rsidRPr="002F3FE2" w:rsidRDefault="008E7FCE" w:rsidP="009629A6">
            <w:pPr>
              <w:spacing w:after="0" w:line="240" w:lineRule="auto"/>
              <w:rPr>
                <w:rFonts w:eastAsia="Times New Roman"/>
                <w:b/>
                <w:bCs/>
                <w:szCs w:val="24"/>
                <w:lang w:eastAsia="en-ZA"/>
              </w:rPr>
            </w:pPr>
            <w:r w:rsidRPr="002F3FE2">
              <w:rPr>
                <w:rFonts w:eastAsia="Times New Roman"/>
                <w:b/>
                <w:bCs/>
                <w:szCs w:val="24"/>
                <w:lang w:eastAsia="en-ZA"/>
              </w:rPr>
              <w:t>Estimate</w:t>
            </w:r>
          </w:p>
        </w:tc>
        <w:tc>
          <w:tcPr>
            <w:tcW w:w="1491" w:type="dxa"/>
            <w:tcBorders>
              <w:top w:val="nil"/>
              <w:left w:val="nil"/>
              <w:bottom w:val="single" w:sz="4" w:space="0" w:color="auto"/>
              <w:right w:val="single" w:sz="4" w:space="0" w:color="auto"/>
            </w:tcBorders>
            <w:shd w:val="clear" w:color="auto" w:fill="auto"/>
            <w:noWrap/>
            <w:vAlign w:val="bottom"/>
            <w:hideMark/>
          </w:tcPr>
          <w:p w14:paraId="48629C06" w14:textId="77777777" w:rsidR="008E7FCE" w:rsidRPr="002F3FE2" w:rsidRDefault="008E7FCE" w:rsidP="009629A6">
            <w:pPr>
              <w:spacing w:after="0" w:line="240" w:lineRule="auto"/>
              <w:rPr>
                <w:rFonts w:eastAsia="Times New Roman"/>
                <w:b/>
                <w:bCs/>
                <w:szCs w:val="24"/>
                <w:lang w:eastAsia="en-ZA"/>
              </w:rPr>
            </w:pPr>
            <w:r w:rsidRPr="002F3FE2">
              <w:rPr>
                <w:rFonts w:eastAsia="Times New Roman"/>
                <w:b/>
                <w:bCs/>
                <w:szCs w:val="24"/>
                <w:lang w:eastAsia="en-ZA"/>
              </w:rPr>
              <w:t>P-value</w:t>
            </w:r>
          </w:p>
        </w:tc>
        <w:tc>
          <w:tcPr>
            <w:tcW w:w="265" w:type="dxa"/>
            <w:tcBorders>
              <w:top w:val="nil"/>
              <w:left w:val="nil"/>
              <w:bottom w:val="nil"/>
              <w:right w:val="nil"/>
            </w:tcBorders>
            <w:shd w:val="clear" w:color="auto" w:fill="auto"/>
            <w:noWrap/>
            <w:vAlign w:val="bottom"/>
            <w:hideMark/>
          </w:tcPr>
          <w:p w14:paraId="0A086714" w14:textId="77777777" w:rsidR="008E7FCE" w:rsidRPr="002F3FE2" w:rsidRDefault="008E7FCE" w:rsidP="009629A6">
            <w:pPr>
              <w:spacing w:after="0" w:line="240" w:lineRule="auto"/>
              <w:rPr>
                <w:rFonts w:eastAsia="Times New Roman"/>
                <w:b/>
                <w:bCs/>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bottom"/>
            <w:hideMark/>
          </w:tcPr>
          <w:p w14:paraId="7F671605"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Parameter</w:t>
            </w:r>
          </w:p>
        </w:tc>
        <w:tc>
          <w:tcPr>
            <w:tcW w:w="1931" w:type="dxa"/>
            <w:tcBorders>
              <w:top w:val="nil"/>
              <w:left w:val="nil"/>
              <w:bottom w:val="single" w:sz="4" w:space="0" w:color="auto"/>
              <w:right w:val="single" w:sz="4" w:space="0" w:color="auto"/>
            </w:tcBorders>
            <w:shd w:val="clear" w:color="auto" w:fill="auto"/>
            <w:noWrap/>
            <w:vAlign w:val="bottom"/>
            <w:hideMark/>
          </w:tcPr>
          <w:p w14:paraId="30C4C10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coefficient</w:t>
            </w:r>
          </w:p>
        </w:tc>
      </w:tr>
      <w:tr w:rsidR="008E7FCE" w:rsidRPr="002F3FE2" w14:paraId="650BE9EC"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A55DB4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(Intercept)</w:t>
            </w:r>
          </w:p>
        </w:tc>
        <w:tc>
          <w:tcPr>
            <w:tcW w:w="2630" w:type="dxa"/>
            <w:tcBorders>
              <w:top w:val="nil"/>
              <w:left w:val="nil"/>
              <w:bottom w:val="single" w:sz="4" w:space="0" w:color="auto"/>
              <w:right w:val="single" w:sz="4" w:space="0" w:color="auto"/>
            </w:tcBorders>
            <w:shd w:val="clear" w:color="auto" w:fill="auto"/>
            <w:noWrap/>
            <w:vAlign w:val="bottom"/>
            <w:hideMark/>
          </w:tcPr>
          <w:p w14:paraId="4ACACBB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12740000.00</w:t>
            </w:r>
          </w:p>
        </w:tc>
        <w:tc>
          <w:tcPr>
            <w:tcW w:w="1491" w:type="dxa"/>
            <w:tcBorders>
              <w:top w:val="nil"/>
              <w:left w:val="nil"/>
              <w:bottom w:val="single" w:sz="4" w:space="0" w:color="auto"/>
              <w:right w:val="single" w:sz="4" w:space="0" w:color="auto"/>
            </w:tcBorders>
            <w:shd w:val="clear" w:color="auto" w:fill="auto"/>
            <w:noWrap/>
            <w:vAlign w:val="bottom"/>
            <w:hideMark/>
          </w:tcPr>
          <w:p w14:paraId="60F56AD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0.7598</w:t>
            </w:r>
          </w:p>
        </w:tc>
        <w:tc>
          <w:tcPr>
            <w:tcW w:w="265" w:type="dxa"/>
            <w:tcBorders>
              <w:top w:val="nil"/>
              <w:left w:val="nil"/>
              <w:bottom w:val="nil"/>
              <w:right w:val="nil"/>
            </w:tcBorders>
            <w:shd w:val="clear" w:color="auto" w:fill="auto"/>
            <w:noWrap/>
            <w:vAlign w:val="bottom"/>
            <w:hideMark/>
          </w:tcPr>
          <w:p w14:paraId="420FB722"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6FF159B5"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hlsp</w:t>
            </w:r>
          </w:p>
        </w:tc>
        <w:tc>
          <w:tcPr>
            <w:tcW w:w="1931" w:type="dxa"/>
            <w:tcBorders>
              <w:top w:val="nil"/>
              <w:left w:val="nil"/>
              <w:bottom w:val="single" w:sz="4" w:space="0" w:color="auto"/>
              <w:right w:val="single" w:sz="4" w:space="0" w:color="auto"/>
            </w:tcBorders>
            <w:shd w:val="clear" w:color="auto" w:fill="auto"/>
            <w:noWrap/>
            <w:vAlign w:val="bottom"/>
            <w:hideMark/>
          </w:tcPr>
          <w:p w14:paraId="190B641A"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9.41</w:t>
            </w:r>
          </w:p>
        </w:tc>
      </w:tr>
      <w:tr w:rsidR="008E7FCE" w:rsidRPr="002F3FE2" w14:paraId="47DAD5BB"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519F09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pc1</w:t>
            </w:r>
          </w:p>
        </w:tc>
        <w:tc>
          <w:tcPr>
            <w:tcW w:w="2630" w:type="dxa"/>
            <w:tcBorders>
              <w:top w:val="nil"/>
              <w:left w:val="nil"/>
              <w:bottom w:val="single" w:sz="4" w:space="0" w:color="auto"/>
              <w:right w:val="single" w:sz="4" w:space="0" w:color="auto"/>
            </w:tcBorders>
            <w:shd w:val="clear" w:color="auto" w:fill="auto"/>
            <w:noWrap/>
            <w:vAlign w:val="bottom"/>
            <w:hideMark/>
          </w:tcPr>
          <w:p w14:paraId="1F2F428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3934000.00</w:t>
            </w:r>
          </w:p>
        </w:tc>
        <w:tc>
          <w:tcPr>
            <w:tcW w:w="1491" w:type="dxa"/>
            <w:tcBorders>
              <w:top w:val="nil"/>
              <w:left w:val="nil"/>
              <w:bottom w:val="single" w:sz="4" w:space="0" w:color="auto"/>
              <w:right w:val="single" w:sz="4" w:space="0" w:color="auto"/>
            </w:tcBorders>
            <w:shd w:val="clear" w:color="auto" w:fill="auto"/>
            <w:noWrap/>
            <w:vAlign w:val="bottom"/>
            <w:hideMark/>
          </w:tcPr>
          <w:p w14:paraId="7318B41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0.0292</w:t>
            </w:r>
          </w:p>
        </w:tc>
        <w:tc>
          <w:tcPr>
            <w:tcW w:w="265" w:type="dxa"/>
            <w:tcBorders>
              <w:top w:val="nil"/>
              <w:left w:val="nil"/>
              <w:bottom w:val="nil"/>
              <w:right w:val="nil"/>
            </w:tcBorders>
            <w:shd w:val="clear" w:color="auto" w:fill="auto"/>
            <w:noWrap/>
            <w:vAlign w:val="bottom"/>
            <w:hideMark/>
          </w:tcPr>
          <w:p w14:paraId="15C2089D"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FD1274E"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ptq2</w:t>
            </w:r>
          </w:p>
        </w:tc>
        <w:tc>
          <w:tcPr>
            <w:tcW w:w="1931" w:type="dxa"/>
            <w:tcBorders>
              <w:top w:val="nil"/>
              <w:left w:val="nil"/>
              <w:bottom w:val="single" w:sz="4" w:space="0" w:color="auto"/>
              <w:right w:val="single" w:sz="4" w:space="0" w:color="auto"/>
            </w:tcBorders>
            <w:shd w:val="clear" w:color="auto" w:fill="auto"/>
            <w:noWrap/>
            <w:vAlign w:val="bottom"/>
            <w:hideMark/>
          </w:tcPr>
          <w:p w14:paraId="25DDC4FD"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1.14</w:t>
            </w:r>
          </w:p>
        </w:tc>
      </w:tr>
      <w:tr w:rsidR="008E7FCE" w:rsidRPr="002F3FE2" w14:paraId="5A2C754A"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31464D2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pa1</w:t>
            </w:r>
          </w:p>
        </w:tc>
        <w:tc>
          <w:tcPr>
            <w:tcW w:w="2630" w:type="dxa"/>
            <w:tcBorders>
              <w:top w:val="nil"/>
              <w:left w:val="nil"/>
              <w:bottom w:val="single" w:sz="4" w:space="0" w:color="auto"/>
              <w:right w:val="single" w:sz="4" w:space="0" w:color="auto"/>
            </w:tcBorders>
            <w:shd w:val="clear" w:color="auto" w:fill="auto"/>
            <w:noWrap/>
            <w:vAlign w:val="bottom"/>
            <w:hideMark/>
          </w:tcPr>
          <w:p w14:paraId="710A084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323600.00</w:t>
            </w:r>
          </w:p>
        </w:tc>
        <w:tc>
          <w:tcPr>
            <w:tcW w:w="1491" w:type="dxa"/>
            <w:tcBorders>
              <w:top w:val="nil"/>
              <w:left w:val="nil"/>
              <w:bottom w:val="single" w:sz="4" w:space="0" w:color="auto"/>
              <w:right w:val="single" w:sz="4" w:space="0" w:color="auto"/>
            </w:tcBorders>
            <w:shd w:val="clear" w:color="auto" w:fill="auto"/>
            <w:noWrap/>
            <w:vAlign w:val="bottom"/>
            <w:hideMark/>
          </w:tcPr>
          <w:p w14:paraId="28EBD64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0.394</w:t>
            </w:r>
          </w:p>
        </w:tc>
        <w:tc>
          <w:tcPr>
            <w:tcW w:w="265" w:type="dxa"/>
            <w:tcBorders>
              <w:top w:val="nil"/>
              <w:left w:val="nil"/>
              <w:bottom w:val="nil"/>
              <w:right w:val="nil"/>
            </w:tcBorders>
            <w:shd w:val="clear" w:color="auto" w:fill="auto"/>
            <w:noWrap/>
            <w:vAlign w:val="bottom"/>
            <w:hideMark/>
          </w:tcPr>
          <w:p w14:paraId="7A88E112"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02F69F8"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pro_hm</w:t>
            </w:r>
          </w:p>
        </w:tc>
        <w:tc>
          <w:tcPr>
            <w:tcW w:w="1931" w:type="dxa"/>
            <w:tcBorders>
              <w:top w:val="nil"/>
              <w:left w:val="nil"/>
              <w:bottom w:val="single" w:sz="4" w:space="0" w:color="auto"/>
              <w:right w:val="single" w:sz="4" w:space="0" w:color="auto"/>
            </w:tcBorders>
            <w:shd w:val="clear" w:color="auto" w:fill="auto"/>
            <w:noWrap/>
            <w:vAlign w:val="bottom"/>
            <w:hideMark/>
          </w:tcPr>
          <w:p w14:paraId="660147CD"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0.62</w:t>
            </w:r>
          </w:p>
        </w:tc>
      </w:tr>
      <w:tr w:rsidR="008E7FCE" w:rsidRPr="002F3FE2" w14:paraId="429883BB"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69C6E5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pc2</w:t>
            </w:r>
          </w:p>
        </w:tc>
        <w:tc>
          <w:tcPr>
            <w:tcW w:w="2630" w:type="dxa"/>
            <w:tcBorders>
              <w:top w:val="nil"/>
              <w:left w:val="nil"/>
              <w:bottom w:val="single" w:sz="4" w:space="0" w:color="auto"/>
              <w:right w:val="single" w:sz="4" w:space="0" w:color="auto"/>
            </w:tcBorders>
            <w:shd w:val="clear" w:color="auto" w:fill="auto"/>
            <w:noWrap/>
            <w:vAlign w:val="bottom"/>
            <w:hideMark/>
          </w:tcPr>
          <w:p w14:paraId="6A423DB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84090000.00</w:t>
            </w:r>
          </w:p>
        </w:tc>
        <w:tc>
          <w:tcPr>
            <w:tcW w:w="1491" w:type="dxa"/>
            <w:tcBorders>
              <w:top w:val="nil"/>
              <w:left w:val="nil"/>
              <w:bottom w:val="single" w:sz="4" w:space="0" w:color="auto"/>
              <w:right w:val="single" w:sz="4" w:space="0" w:color="auto"/>
            </w:tcBorders>
            <w:shd w:val="clear" w:color="auto" w:fill="auto"/>
            <w:noWrap/>
            <w:vAlign w:val="bottom"/>
            <w:hideMark/>
          </w:tcPr>
          <w:p w14:paraId="0A45CF2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327C2F6"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176F2406"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pt3</w:t>
            </w:r>
          </w:p>
        </w:tc>
        <w:tc>
          <w:tcPr>
            <w:tcW w:w="1931" w:type="dxa"/>
            <w:tcBorders>
              <w:top w:val="nil"/>
              <w:left w:val="nil"/>
              <w:bottom w:val="single" w:sz="4" w:space="0" w:color="auto"/>
              <w:right w:val="single" w:sz="4" w:space="0" w:color="auto"/>
            </w:tcBorders>
            <w:shd w:val="clear" w:color="auto" w:fill="auto"/>
            <w:noWrap/>
            <w:vAlign w:val="bottom"/>
            <w:hideMark/>
          </w:tcPr>
          <w:p w14:paraId="1DC5A6B1"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0.60</w:t>
            </w:r>
          </w:p>
        </w:tc>
      </w:tr>
      <w:tr w:rsidR="008E7FCE" w:rsidRPr="002F3FE2" w14:paraId="562EF71F"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00275F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pa2</w:t>
            </w:r>
          </w:p>
        </w:tc>
        <w:tc>
          <w:tcPr>
            <w:tcW w:w="2630" w:type="dxa"/>
            <w:tcBorders>
              <w:top w:val="nil"/>
              <w:left w:val="nil"/>
              <w:bottom w:val="single" w:sz="4" w:space="0" w:color="auto"/>
              <w:right w:val="single" w:sz="4" w:space="0" w:color="auto"/>
            </w:tcBorders>
            <w:shd w:val="clear" w:color="auto" w:fill="auto"/>
            <w:noWrap/>
            <w:vAlign w:val="bottom"/>
            <w:hideMark/>
          </w:tcPr>
          <w:p w14:paraId="2973BD0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2244000.00</w:t>
            </w:r>
          </w:p>
        </w:tc>
        <w:tc>
          <w:tcPr>
            <w:tcW w:w="1491" w:type="dxa"/>
            <w:tcBorders>
              <w:top w:val="nil"/>
              <w:left w:val="nil"/>
              <w:bottom w:val="single" w:sz="4" w:space="0" w:color="auto"/>
              <w:right w:val="single" w:sz="4" w:space="0" w:color="auto"/>
            </w:tcBorders>
            <w:shd w:val="clear" w:color="auto" w:fill="auto"/>
            <w:noWrap/>
            <w:vAlign w:val="bottom"/>
            <w:hideMark/>
          </w:tcPr>
          <w:p w14:paraId="58276F9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5.84E-07</w:t>
            </w:r>
          </w:p>
        </w:tc>
        <w:tc>
          <w:tcPr>
            <w:tcW w:w="265" w:type="dxa"/>
            <w:tcBorders>
              <w:top w:val="nil"/>
              <w:left w:val="nil"/>
              <w:bottom w:val="nil"/>
              <w:right w:val="nil"/>
            </w:tcBorders>
            <w:shd w:val="clear" w:color="auto" w:fill="auto"/>
            <w:noWrap/>
            <w:vAlign w:val="bottom"/>
            <w:hideMark/>
          </w:tcPr>
          <w:p w14:paraId="7BF1AB1B"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13E192F"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ah1</w:t>
            </w:r>
          </w:p>
        </w:tc>
        <w:tc>
          <w:tcPr>
            <w:tcW w:w="1931" w:type="dxa"/>
            <w:tcBorders>
              <w:top w:val="nil"/>
              <w:left w:val="nil"/>
              <w:bottom w:val="single" w:sz="4" w:space="0" w:color="auto"/>
              <w:right w:val="single" w:sz="4" w:space="0" w:color="auto"/>
            </w:tcBorders>
            <w:shd w:val="clear" w:color="auto" w:fill="auto"/>
            <w:noWrap/>
            <w:vAlign w:val="bottom"/>
            <w:hideMark/>
          </w:tcPr>
          <w:p w14:paraId="4658C29E"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0.56</w:t>
            </w:r>
          </w:p>
        </w:tc>
      </w:tr>
      <w:tr w:rsidR="008E7FCE" w:rsidRPr="002F3FE2" w14:paraId="4ACFC16C"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62CB4FC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ppc</w:t>
            </w:r>
          </w:p>
        </w:tc>
        <w:tc>
          <w:tcPr>
            <w:tcW w:w="2630" w:type="dxa"/>
            <w:tcBorders>
              <w:top w:val="nil"/>
              <w:left w:val="nil"/>
              <w:bottom w:val="single" w:sz="4" w:space="0" w:color="auto"/>
              <w:right w:val="single" w:sz="4" w:space="0" w:color="auto"/>
            </w:tcBorders>
            <w:shd w:val="clear" w:color="auto" w:fill="auto"/>
            <w:noWrap/>
            <w:vAlign w:val="bottom"/>
            <w:hideMark/>
          </w:tcPr>
          <w:p w14:paraId="2CBF83B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6772000.00</w:t>
            </w:r>
          </w:p>
        </w:tc>
        <w:tc>
          <w:tcPr>
            <w:tcW w:w="1491" w:type="dxa"/>
            <w:tcBorders>
              <w:top w:val="nil"/>
              <w:left w:val="nil"/>
              <w:bottom w:val="single" w:sz="4" w:space="0" w:color="auto"/>
              <w:right w:val="single" w:sz="4" w:space="0" w:color="auto"/>
            </w:tcBorders>
            <w:shd w:val="clear" w:color="auto" w:fill="auto"/>
            <w:noWrap/>
            <w:vAlign w:val="bottom"/>
            <w:hideMark/>
          </w:tcPr>
          <w:p w14:paraId="4A2DE7B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0.2667</w:t>
            </w:r>
          </w:p>
        </w:tc>
        <w:tc>
          <w:tcPr>
            <w:tcW w:w="265" w:type="dxa"/>
            <w:tcBorders>
              <w:top w:val="nil"/>
              <w:left w:val="nil"/>
              <w:bottom w:val="nil"/>
              <w:right w:val="nil"/>
            </w:tcBorders>
            <w:shd w:val="clear" w:color="auto" w:fill="auto"/>
            <w:noWrap/>
            <w:vAlign w:val="bottom"/>
            <w:hideMark/>
          </w:tcPr>
          <w:p w14:paraId="5E1E38B5"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872559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pc2</w:t>
            </w:r>
          </w:p>
        </w:tc>
        <w:tc>
          <w:tcPr>
            <w:tcW w:w="1931" w:type="dxa"/>
            <w:tcBorders>
              <w:top w:val="nil"/>
              <w:left w:val="nil"/>
              <w:bottom w:val="single" w:sz="4" w:space="0" w:color="auto"/>
              <w:right w:val="single" w:sz="4" w:space="0" w:color="auto"/>
            </w:tcBorders>
            <w:shd w:val="clear" w:color="auto" w:fill="auto"/>
            <w:noWrap/>
            <w:vAlign w:val="bottom"/>
            <w:hideMark/>
          </w:tcPr>
          <w:p w14:paraId="65495F0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0.34</w:t>
            </w:r>
          </w:p>
        </w:tc>
      </w:tr>
      <w:tr w:rsidR="008E7FCE" w:rsidRPr="002F3FE2" w14:paraId="42F894DF"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F3C2E5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ppa</w:t>
            </w:r>
          </w:p>
        </w:tc>
        <w:tc>
          <w:tcPr>
            <w:tcW w:w="2630" w:type="dxa"/>
            <w:tcBorders>
              <w:top w:val="nil"/>
              <w:left w:val="nil"/>
              <w:bottom w:val="single" w:sz="4" w:space="0" w:color="auto"/>
              <w:right w:val="single" w:sz="4" w:space="0" w:color="auto"/>
            </w:tcBorders>
            <w:shd w:val="clear" w:color="auto" w:fill="auto"/>
            <w:noWrap/>
            <w:vAlign w:val="bottom"/>
            <w:hideMark/>
          </w:tcPr>
          <w:p w14:paraId="62C9AA5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167000.00</w:t>
            </w:r>
          </w:p>
        </w:tc>
        <w:tc>
          <w:tcPr>
            <w:tcW w:w="1491" w:type="dxa"/>
            <w:tcBorders>
              <w:top w:val="nil"/>
              <w:left w:val="nil"/>
              <w:bottom w:val="single" w:sz="4" w:space="0" w:color="auto"/>
              <w:right w:val="single" w:sz="4" w:space="0" w:color="auto"/>
            </w:tcBorders>
            <w:shd w:val="clear" w:color="auto" w:fill="auto"/>
            <w:noWrap/>
            <w:vAlign w:val="bottom"/>
            <w:hideMark/>
          </w:tcPr>
          <w:p w14:paraId="6D98F8C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0.8369</w:t>
            </w:r>
          </w:p>
        </w:tc>
        <w:tc>
          <w:tcPr>
            <w:tcW w:w="265" w:type="dxa"/>
            <w:tcBorders>
              <w:top w:val="nil"/>
              <w:left w:val="nil"/>
              <w:bottom w:val="nil"/>
              <w:right w:val="nil"/>
            </w:tcBorders>
            <w:shd w:val="clear" w:color="auto" w:fill="auto"/>
            <w:noWrap/>
            <w:vAlign w:val="bottom"/>
            <w:hideMark/>
          </w:tcPr>
          <w:p w14:paraId="208C4847"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0BD93F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m2</w:t>
            </w:r>
          </w:p>
        </w:tc>
        <w:tc>
          <w:tcPr>
            <w:tcW w:w="1931" w:type="dxa"/>
            <w:tcBorders>
              <w:top w:val="nil"/>
              <w:left w:val="nil"/>
              <w:bottom w:val="single" w:sz="4" w:space="0" w:color="auto"/>
              <w:right w:val="single" w:sz="4" w:space="0" w:color="auto"/>
            </w:tcBorders>
            <w:shd w:val="clear" w:color="auto" w:fill="auto"/>
            <w:noWrap/>
            <w:vAlign w:val="bottom"/>
            <w:hideMark/>
          </w:tcPr>
          <w:p w14:paraId="43E1A80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0.21</w:t>
            </w:r>
          </w:p>
        </w:tc>
      </w:tr>
      <w:tr w:rsidR="008E7FCE" w:rsidRPr="002F3FE2" w14:paraId="3FE5E495"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57417E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x</w:t>
            </w:r>
          </w:p>
        </w:tc>
        <w:tc>
          <w:tcPr>
            <w:tcW w:w="2630" w:type="dxa"/>
            <w:tcBorders>
              <w:top w:val="nil"/>
              <w:left w:val="nil"/>
              <w:bottom w:val="single" w:sz="4" w:space="0" w:color="auto"/>
              <w:right w:val="single" w:sz="4" w:space="0" w:color="auto"/>
            </w:tcBorders>
            <w:shd w:val="clear" w:color="auto" w:fill="auto"/>
            <w:noWrap/>
            <w:vAlign w:val="bottom"/>
            <w:hideMark/>
          </w:tcPr>
          <w:p w14:paraId="61C62AD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-92100000.00</w:t>
            </w:r>
          </w:p>
        </w:tc>
        <w:tc>
          <w:tcPr>
            <w:tcW w:w="1491" w:type="dxa"/>
            <w:tcBorders>
              <w:top w:val="nil"/>
              <w:left w:val="nil"/>
              <w:bottom w:val="single" w:sz="4" w:space="0" w:color="auto"/>
              <w:right w:val="single" w:sz="4" w:space="0" w:color="auto"/>
            </w:tcBorders>
            <w:shd w:val="clear" w:color="auto" w:fill="auto"/>
            <w:noWrap/>
            <w:vAlign w:val="bottom"/>
            <w:hideMark/>
          </w:tcPr>
          <w:p w14:paraId="0A67961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0.6131</w:t>
            </w:r>
          </w:p>
        </w:tc>
        <w:tc>
          <w:tcPr>
            <w:tcW w:w="265" w:type="dxa"/>
            <w:tcBorders>
              <w:top w:val="nil"/>
              <w:left w:val="nil"/>
              <w:bottom w:val="nil"/>
              <w:right w:val="nil"/>
            </w:tcBorders>
            <w:shd w:val="clear" w:color="auto" w:fill="auto"/>
            <w:noWrap/>
            <w:vAlign w:val="bottom"/>
            <w:hideMark/>
          </w:tcPr>
          <w:p w14:paraId="42F4B09D"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02857D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pst</w:t>
            </w:r>
          </w:p>
        </w:tc>
        <w:tc>
          <w:tcPr>
            <w:tcW w:w="1931" w:type="dxa"/>
            <w:tcBorders>
              <w:top w:val="nil"/>
              <w:left w:val="nil"/>
              <w:bottom w:val="single" w:sz="4" w:space="0" w:color="auto"/>
              <w:right w:val="single" w:sz="4" w:space="0" w:color="auto"/>
            </w:tcBorders>
            <w:shd w:val="clear" w:color="auto" w:fill="auto"/>
            <w:noWrap/>
            <w:vAlign w:val="bottom"/>
            <w:hideMark/>
          </w:tcPr>
          <w:p w14:paraId="66BEC70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0.14</w:t>
            </w:r>
          </w:p>
        </w:tc>
      </w:tr>
      <w:tr w:rsidR="008E7FCE" w:rsidRPr="002F3FE2" w14:paraId="7A4EFA22"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17EF2D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Kv</w:t>
            </w:r>
          </w:p>
        </w:tc>
        <w:tc>
          <w:tcPr>
            <w:tcW w:w="2630" w:type="dxa"/>
            <w:tcBorders>
              <w:top w:val="nil"/>
              <w:left w:val="nil"/>
              <w:bottom w:val="single" w:sz="4" w:space="0" w:color="auto"/>
              <w:right w:val="single" w:sz="4" w:space="0" w:color="auto"/>
            </w:tcBorders>
            <w:shd w:val="clear" w:color="auto" w:fill="auto"/>
            <w:noWrap/>
            <w:vAlign w:val="bottom"/>
            <w:hideMark/>
          </w:tcPr>
          <w:p w14:paraId="2E36B2E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-70.81</w:t>
            </w:r>
          </w:p>
        </w:tc>
        <w:tc>
          <w:tcPr>
            <w:tcW w:w="1491" w:type="dxa"/>
            <w:tcBorders>
              <w:top w:val="nil"/>
              <w:left w:val="nil"/>
              <w:bottom w:val="single" w:sz="4" w:space="0" w:color="auto"/>
              <w:right w:val="single" w:sz="4" w:space="0" w:color="auto"/>
            </w:tcBorders>
            <w:shd w:val="clear" w:color="auto" w:fill="auto"/>
            <w:noWrap/>
            <w:vAlign w:val="bottom"/>
            <w:hideMark/>
          </w:tcPr>
          <w:p w14:paraId="0379A2A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0.1706</w:t>
            </w:r>
          </w:p>
        </w:tc>
        <w:tc>
          <w:tcPr>
            <w:tcW w:w="265" w:type="dxa"/>
            <w:tcBorders>
              <w:top w:val="nil"/>
              <w:left w:val="nil"/>
              <w:bottom w:val="nil"/>
              <w:right w:val="nil"/>
            </w:tcBorders>
            <w:shd w:val="clear" w:color="auto" w:fill="auto"/>
            <w:noWrap/>
            <w:vAlign w:val="bottom"/>
            <w:hideMark/>
          </w:tcPr>
          <w:p w14:paraId="6C62BC7C"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22E5C1A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q</w:t>
            </w:r>
          </w:p>
        </w:tc>
        <w:tc>
          <w:tcPr>
            <w:tcW w:w="1931" w:type="dxa"/>
            <w:tcBorders>
              <w:top w:val="nil"/>
              <w:left w:val="nil"/>
              <w:bottom w:val="single" w:sz="4" w:space="0" w:color="auto"/>
              <w:right w:val="single" w:sz="4" w:space="0" w:color="auto"/>
            </w:tcBorders>
            <w:shd w:val="clear" w:color="auto" w:fill="auto"/>
            <w:noWrap/>
            <w:vAlign w:val="bottom"/>
            <w:hideMark/>
          </w:tcPr>
          <w:p w14:paraId="63421C9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0.14</w:t>
            </w:r>
          </w:p>
        </w:tc>
      </w:tr>
      <w:tr w:rsidR="008E7FCE" w:rsidRPr="002F3FE2" w14:paraId="5EE4096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2DED62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m1</w:t>
            </w:r>
          </w:p>
        </w:tc>
        <w:tc>
          <w:tcPr>
            <w:tcW w:w="2630" w:type="dxa"/>
            <w:tcBorders>
              <w:top w:val="nil"/>
              <w:left w:val="nil"/>
              <w:bottom w:val="single" w:sz="4" w:space="0" w:color="auto"/>
              <w:right w:val="single" w:sz="4" w:space="0" w:color="auto"/>
            </w:tcBorders>
            <w:shd w:val="clear" w:color="auto" w:fill="auto"/>
            <w:noWrap/>
            <w:vAlign w:val="bottom"/>
            <w:hideMark/>
          </w:tcPr>
          <w:p w14:paraId="79CB3E8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4064000.00</w:t>
            </w:r>
          </w:p>
        </w:tc>
        <w:tc>
          <w:tcPr>
            <w:tcW w:w="1491" w:type="dxa"/>
            <w:tcBorders>
              <w:top w:val="nil"/>
              <w:left w:val="nil"/>
              <w:bottom w:val="single" w:sz="4" w:space="0" w:color="auto"/>
              <w:right w:val="single" w:sz="4" w:space="0" w:color="auto"/>
            </w:tcBorders>
            <w:shd w:val="clear" w:color="auto" w:fill="auto"/>
            <w:noWrap/>
            <w:vAlign w:val="bottom"/>
            <w:hideMark/>
          </w:tcPr>
          <w:p w14:paraId="0529E9F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401F343"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9DE2A3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ac1</w:t>
            </w:r>
          </w:p>
        </w:tc>
        <w:tc>
          <w:tcPr>
            <w:tcW w:w="1931" w:type="dxa"/>
            <w:tcBorders>
              <w:top w:val="nil"/>
              <w:left w:val="nil"/>
              <w:bottom w:val="single" w:sz="4" w:space="0" w:color="auto"/>
              <w:right w:val="single" w:sz="4" w:space="0" w:color="auto"/>
            </w:tcBorders>
            <w:shd w:val="clear" w:color="auto" w:fill="auto"/>
            <w:noWrap/>
            <w:vAlign w:val="bottom"/>
            <w:hideMark/>
          </w:tcPr>
          <w:p w14:paraId="6B05F71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0.14</w:t>
            </w:r>
          </w:p>
        </w:tc>
      </w:tr>
      <w:tr w:rsidR="008E7FCE" w:rsidRPr="002F3FE2" w14:paraId="5FCF06B1"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6D49F0D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m2</w:t>
            </w:r>
          </w:p>
        </w:tc>
        <w:tc>
          <w:tcPr>
            <w:tcW w:w="2630" w:type="dxa"/>
            <w:tcBorders>
              <w:top w:val="nil"/>
              <w:left w:val="nil"/>
              <w:bottom w:val="single" w:sz="4" w:space="0" w:color="auto"/>
              <w:right w:val="single" w:sz="4" w:space="0" w:color="auto"/>
            </w:tcBorders>
            <w:shd w:val="clear" w:color="auto" w:fill="auto"/>
            <w:noWrap/>
            <w:vAlign w:val="bottom"/>
            <w:hideMark/>
          </w:tcPr>
          <w:p w14:paraId="48AA217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15870000.00</w:t>
            </w:r>
          </w:p>
        </w:tc>
        <w:tc>
          <w:tcPr>
            <w:tcW w:w="1491" w:type="dxa"/>
            <w:tcBorders>
              <w:top w:val="nil"/>
              <w:left w:val="nil"/>
              <w:bottom w:val="single" w:sz="4" w:space="0" w:color="auto"/>
              <w:right w:val="single" w:sz="4" w:space="0" w:color="auto"/>
            </w:tcBorders>
            <w:shd w:val="clear" w:color="auto" w:fill="auto"/>
            <w:noWrap/>
            <w:vAlign w:val="bottom"/>
            <w:hideMark/>
          </w:tcPr>
          <w:p w14:paraId="41D250F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C789D79"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A3DF5F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tfr1</w:t>
            </w:r>
          </w:p>
        </w:tc>
        <w:tc>
          <w:tcPr>
            <w:tcW w:w="1931" w:type="dxa"/>
            <w:tcBorders>
              <w:top w:val="nil"/>
              <w:left w:val="nil"/>
              <w:bottom w:val="single" w:sz="4" w:space="0" w:color="auto"/>
              <w:right w:val="single" w:sz="4" w:space="0" w:color="auto"/>
            </w:tcBorders>
            <w:shd w:val="clear" w:color="auto" w:fill="auto"/>
            <w:noWrap/>
            <w:vAlign w:val="bottom"/>
            <w:hideMark/>
          </w:tcPr>
          <w:p w14:paraId="3611B16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0.11</w:t>
            </w:r>
          </w:p>
        </w:tc>
      </w:tr>
      <w:tr w:rsidR="008E7FCE" w:rsidRPr="002F3FE2" w14:paraId="2F03A628"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2440AB7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w:t>
            </w:r>
          </w:p>
        </w:tc>
        <w:tc>
          <w:tcPr>
            <w:tcW w:w="2630" w:type="dxa"/>
            <w:tcBorders>
              <w:top w:val="nil"/>
              <w:left w:val="nil"/>
              <w:bottom w:val="single" w:sz="4" w:space="0" w:color="auto"/>
              <w:right w:val="single" w:sz="4" w:space="0" w:color="auto"/>
            </w:tcBorders>
            <w:shd w:val="clear" w:color="auto" w:fill="auto"/>
            <w:noWrap/>
            <w:vAlign w:val="bottom"/>
            <w:hideMark/>
          </w:tcPr>
          <w:p w14:paraId="5FFDBA2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1615000.00</w:t>
            </w:r>
          </w:p>
        </w:tc>
        <w:tc>
          <w:tcPr>
            <w:tcW w:w="1491" w:type="dxa"/>
            <w:tcBorders>
              <w:top w:val="nil"/>
              <w:left w:val="nil"/>
              <w:bottom w:val="single" w:sz="4" w:space="0" w:color="auto"/>
              <w:right w:val="single" w:sz="4" w:space="0" w:color="auto"/>
            </w:tcBorders>
            <w:shd w:val="clear" w:color="auto" w:fill="auto"/>
            <w:noWrap/>
            <w:vAlign w:val="bottom"/>
            <w:hideMark/>
          </w:tcPr>
          <w:p w14:paraId="23DC766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8.06E-06</w:t>
            </w:r>
          </w:p>
        </w:tc>
        <w:tc>
          <w:tcPr>
            <w:tcW w:w="265" w:type="dxa"/>
            <w:tcBorders>
              <w:top w:val="nil"/>
              <w:left w:val="nil"/>
              <w:bottom w:val="nil"/>
              <w:right w:val="nil"/>
            </w:tcBorders>
            <w:shd w:val="clear" w:color="auto" w:fill="auto"/>
            <w:noWrap/>
            <w:vAlign w:val="bottom"/>
            <w:hideMark/>
          </w:tcPr>
          <w:p w14:paraId="5BB6A195"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861C75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ss</w:t>
            </w:r>
          </w:p>
        </w:tc>
        <w:tc>
          <w:tcPr>
            <w:tcW w:w="1931" w:type="dxa"/>
            <w:tcBorders>
              <w:top w:val="nil"/>
              <w:left w:val="nil"/>
              <w:bottom w:val="single" w:sz="4" w:space="0" w:color="auto"/>
              <w:right w:val="single" w:sz="4" w:space="0" w:color="auto"/>
            </w:tcBorders>
            <w:shd w:val="clear" w:color="auto" w:fill="auto"/>
            <w:noWrap/>
            <w:vAlign w:val="bottom"/>
            <w:hideMark/>
          </w:tcPr>
          <w:p w14:paraId="2A2A2CC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0.09</w:t>
            </w:r>
          </w:p>
        </w:tc>
      </w:tr>
      <w:tr w:rsidR="008E7FCE" w:rsidRPr="002F3FE2" w14:paraId="2461DEF3"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3A0A0F4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pst</w:t>
            </w:r>
          </w:p>
        </w:tc>
        <w:tc>
          <w:tcPr>
            <w:tcW w:w="2630" w:type="dxa"/>
            <w:tcBorders>
              <w:top w:val="nil"/>
              <w:left w:val="nil"/>
              <w:bottom w:val="single" w:sz="4" w:space="0" w:color="auto"/>
              <w:right w:val="single" w:sz="4" w:space="0" w:color="auto"/>
            </w:tcBorders>
            <w:shd w:val="clear" w:color="auto" w:fill="auto"/>
            <w:noWrap/>
            <w:vAlign w:val="bottom"/>
            <w:hideMark/>
          </w:tcPr>
          <w:p w14:paraId="2EF9840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2656000.00</w:t>
            </w:r>
          </w:p>
        </w:tc>
        <w:tc>
          <w:tcPr>
            <w:tcW w:w="1491" w:type="dxa"/>
            <w:tcBorders>
              <w:top w:val="nil"/>
              <w:left w:val="nil"/>
              <w:bottom w:val="single" w:sz="4" w:space="0" w:color="auto"/>
              <w:right w:val="single" w:sz="4" w:space="0" w:color="auto"/>
            </w:tcBorders>
            <w:shd w:val="clear" w:color="auto" w:fill="auto"/>
            <w:noWrap/>
            <w:vAlign w:val="bottom"/>
            <w:hideMark/>
          </w:tcPr>
          <w:p w14:paraId="354A6A2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0.4535</w:t>
            </w:r>
          </w:p>
        </w:tc>
        <w:tc>
          <w:tcPr>
            <w:tcW w:w="265" w:type="dxa"/>
            <w:tcBorders>
              <w:top w:val="nil"/>
              <w:left w:val="nil"/>
              <w:bottom w:val="nil"/>
              <w:right w:val="nil"/>
            </w:tcBorders>
            <w:shd w:val="clear" w:color="auto" w:fill="auto"/>
            <w:noWrap/>
            <w:vAlign w:val="bottom"/>
            <w:hideMark/>
          </w:tcPr>
          <w:p w14:paraId="02D6B502"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1EABD9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m1</w:t>
            </w:r>
          </w:p>
        </w:tc>
        <w:tc>
          <w:tcPr>
            <w:tcW w:w="1931" w:type="dxa"/>
            <w:tcBorders>
              <w:top w:val="nil"/>
              <w:left w:val="nil"/>
              <w:bottom w:val="single" w:sz="4" w:space="0" w:color="auto"/>
              <w:right w:val="single" w:sz="4" w:space="0" w:color="auto"/>
            </w:tcBorders>
            <w:shd w:val="clear" w:color="auto" w:fill="auto"/>
            <w:noWrap/>
            <w:vAlign w:val="bottom"/>
            <w:hideMark/>
          </w:tcPr>
          <w:p w14:paraId="2578BFC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0.07</w:t>
            </w:r>
          </w:p>
        </w:tc>
      </w:tr>
      <w:tr w:rsidR="008E7FCE" w:rsidRPr="002F3FE2" w14:paraId="3C0F8896"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9B2E22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pn</w:t>
            </w:r>
          </w:p>
        </w:tc>
        <w:tc>
          <w:tcPr>
            <w:tcW w:w="2630" w:type="dxa"/>
            <w:tcBorders>
              <w:top w:val="nil"/>
              <w:left w:val="nil"/>
              <w:bottom w:val="single" w:sz="4" w:space="0" w:color="auto"/>
              <w:right w:val="single" w:sz="4" w:space="0" w:color="auto"/>
            </w:tcBorders>
            <w:shd w:val="clear" w:color="auto" w:fill="auto"/>
            <w:noWrap/>
            <w:vAlign w:val="bottom"/>
            <w:hideMark/>
          </w:tcPr>
          <w:p w14:paraId="3E9BA04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68070000.00</w:t>
            </w:r>
          </w:p>
        </w:tc>
        <w:tc>
          <w:tcPr>
            <w:tcW w:w="1491" w:type="dxa"/>
            <w:tcBorders>
              <w:top w:val="nil"/>
              <w:left w:val="nil"/>
              <w:bottom w:val="single" w:sz="4" w:space="0" w:color="auto"/>
              <w:right w:val="single" w:sz="4" w:space="0" w:color="auto"/>
            </w:tcBorders>
            <w:shd w:val="clear" w:color="auto" w:fill="auto"/>
            <w:noWrap/>
            <w:vAlign w:val="bottom"/>
            <w:hideMark/>
          </w:tcPr>
          <w:p w14:paraId="7360AC0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5EB408B1"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3BBE563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w:t>
            </w:r>
          </w:p>
        </w:tc>
        <w:tc>
          <w:tcPr>
            <w:tcW w:w="1931" w:type="dxa"/>
            <w:tcBorders>
              <w:top w:val="nil"/>
              <w:left w:val="nil"/>
              <w:bottom w:val="single" w:sz="4" w:space="0" w:color="auto"/>
              <w:right w:val="single" w:sz="4" w:space="0" w:color="auto"/>
            </w:tcBorders>
            <w:shd w:val="clear" w:color="auto" w:fill="auto"/>
            <w:noWrap/>
            <w:vAlign w:val="bottom"/>
            <w:hideMark/>
          </w:tcPr>
          <w:p w14:paraId="0FFEC67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0.05</w:t>
            </w:r>
          </w:p>
        </w:tc>
      </w:tr>
      <w:tr w:rsidR="008E7FCE" w:rsidRPr="002F3FE2" w14:paraId="62D317B4"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3AF7AA6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pm</w:t>
            </w:r>
          </w:p>
        </w:tc>
        <w:tc>
          <w:tcPr>
            <w:tcW w:w="2630" w:type="dxa"/>
            <w:tcBorders>
              <w:top w:val="nil"/>
              <w:left w:val="nil"/>
              <w:bottom w:val="single" w:sz="4" w:space="0" w:color="auto"/>
              <w:right w:val="single" w:sz="4" w:space="0" w:color="auto"/>
            </w:tcBorders>
            <w:shd w:val="clear" w:color="auto" w:fill="auto"/>
            <w:noWrap/>
            <w:vAlign w:val="bottom"/>
            <w:hideMark/>
          </w:tcPr>
          <w:p w14:paraId="4A51D97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757800.00</w:t>
            </w:r>
          </w:p>
        </w:tc>
        <w:tc>
          <w:tcPr>
            <w:tcW w:w="1491" w:type="dxa"/>
            <w:tcBorders>
              <w:top w:val="nil"/>
              <w:left w:val="nil"/>
              <w:bottom w:val="single" w:sz="4" w:space="0" w:color="auto"/>
              <w:right w:val="single" w:sz="4" w:space="0" w:color="auto"/>
            </w:tcBorders>
            <w:shd w:val="clear" w:color="auto" w:fill="auto"/>
            <w:noWrap/>
            <w:vAlign w:val="bottom"/>
            <w:hideMark/>
          </w:tcPr>
          <w:p w14:paraId="411050B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0.0356</w:t>
            </w:r>
          </w:p>
        </w:tc>
        <w:tc>
          <w:tcPr>
            <w:tcW w:w="265" w:type="dxa"/>
            <w:tcBorders>
              <w:top w:val="nil"/>
              <w:left w:val="nil"/>
              <w:bottom w:val="nil"/>
              <w:right w:val="nil"/>
            </w:tcBorders>
            <w:shd w:val="clear" w:color="auto" w:fill="auto"/>
            <w:noWrap/>
            <w:vAlign w:val="bottom"/>
            <w:hideMark/>
          </w:tcPr>
          <w:p w14:paraId="29F670CD"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tcPr>
          <w:p w14:paraId="6E5231E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pa2</w:t>
            </w:r>
          </w:p>
        </w:tc>
        <w:tc>
          <w:tcPr>
            <w:tcW w:w="1931" w:type="dxa"/>
            <w:tcBorders>
              <w:top w:val="nil"/>
              <w:left w:val="nil"/>
              <w:bottom w:val="single" w:sz="4" w:space="0" w:color="auto"/>
              <w:right w:val="single" w:sz="4" w:space="0" w:color="auto"/>
            </w:tcBorders>
            <w:shd w:val="clear" w:color="auto" w:fill="auto"/>
            <w:noWrap/>
            <w:vAlign w:val="bottom"/>
          </w:tcPr>
          <w:p w14:paraId="6251450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r>
      <w:tr w:rsidR="008E7FCE" w:rsidRPr="002F3FE2" w14:paraId="671FF68B"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tcPr>
          <w:p w14:paraId="57414AA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ss</w:t>
            </w:r>
          </w:p>
        </w:tc>
        <w:tc>
          <w:tcPr>
            <w:tcW w:w="2630" w:type="dxa"/>
            <w:tcBorders>
              <w:top w:val="nil"/>
              <w:left w:val="nil"/>
              <w:bottom w:val="single" w:sz="4" w:space="0" w:color="auto"/>
              <w:right w:val="single" w:sz="4" w:space="0" w:color="auto"/>
            </w:tcBorders>
            <w:shd w:val="clear" w:color="auto" w:fill="auto"/>
            <w:noWrap/>
            <w:vAlign w:val="bottom"/>
          </w:tcPr>
          <w:p w14:paraId="7ED8CE1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-2417000.00</w:t>
            </w:r>
          </w:p>
        </w:tc>
        <w:tc>
          <w:tcPr>
            <w:tcW w:w="1491" w:type="dxa"/>
            <w:tcBorders>
              <w:top w:val="nil"/>
              <w:left w:val="nil"/>
              <w:bottom w:val="single" w:sz="4" w:space="0" w:color="auto"/>
              <w:right w:val="single" w:sz="4" w:space="0" w:color="auto"/>
            </w:tcBorders>
            <w:shd w:val="clear" w:color="auto" w:fill="auto"/>
            <w:noWrap/>
            <w:vAlign w:val="bottom"/>
          </w:tcPr>
          <w:p w14:paraId="5E672C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2.55E-11</w:t>
            </w:r>
          </w:p>
        </w:tc>
        <w:tc>
          <w:tcPr>
            <w:tcW w:w="265" w:type="dxa"/>
            <w:tcBorders>
              <w:top w:val="nil"/>
              <w:left w:val="nil"/>
              <w:bottom w:val="nil"/>
              <w:right w:val="nil"/>
            </w:tcBorders>
            <w:shd w:val="clear" w:color="auto" w:fill="auto"/>
            <w:noWrap/>
            <w:vAlign w:val="bottom"/>
            <w:hideMark/>
          </w:tcPr>
          <w:p w14:paraId="372CF79A"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5323A2B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pc1</w:t>
            </w:r>
          </w:p>
        </w:tc>
        <w:tc>
          <w:tcPr>
            <w:tcW w:w="1931" w:type="dxa"/>
            <w:tcBorders>
              <w:top w:val="nil"/>
              <w:left w:val="nil"/>
              <w:bottom w:val="single" w:sz="4" w:space="0" w:color="auto"/>
              <w:right w:val="single" w:sz="4" w:space="0" w:color="auto"/>
            </w:tcBorders>
            <w:shd w:val="clear" w:color="auto" w:fill="auto"/>
            <w:noWrap/>
            <w:vAlign w:val="bottom"/>
            <w:hideMark/>
          </w:tcPr>
          <w:p w14:paraId="1926232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32966451"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0422F1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w:t>
            </w:r>
          </w:p>
        </w:tc>
        <w:tc>
          <w:tcPr>
            <w:tcW w:w="2630" w:type="dxa"/>
            <w:tcBorders>
              <w:top w:val="nil"/>
              <w:left w:val="nil"/>
              <w:bottom w:val="single" w:sz="4" w:space="0" w:color="auto"/>
              <w:right w:val="single" w:sz="4" w:space="0" w:color="auto"/>
            </w:tcBorders>
            <w:shd w:val="clear" w:color="auto" w:fill="auto"/>
            <w:noWrap/>
            <w:vAlign w:val="bottom"/>
            <w:hideMark/>
          </w:tcPr>
          <w:p w14:paraId="1615D4E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-4446000.00</w:t>
            </w:r>
          </w:p>
        </w:tc>
        <w:tc>
          <w:tcPr>
            <w:tcW w:w="1491" w:type="dxa"/>
            <w:tcBorders>
              <w:top w:val="nil"/>
              <w:left w:val="nil"/>
              <w:bottom w:val="single" w:sz="4" w:space="0" w:color="auto"/>
              <w:right w:val="single" w:sz="4" w:space="0" w:color="auto"/>
            </w:tcBorders>
            <w:shd w:val="clear" w:color="auto" w:fill="auto"/>
            <w:noWrap/>
            <w:vAlign w:val="bottom"/>
            <w:hideMark/>
          </w:tcPr>
          <w:p w14:paraId="5E95A7A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2E4E075D"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27D562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nr</w:t>
            </w:r>
          </w:p>
        </w:tc>
        <w:tc>
          <w:tcPr>
            <w:tcW w:w="1931" w:type="dxa"/>
            <w:tcBorders>
              <w:top w:val="nil"/>
              <w:left w:val="nil"/>
              <w:bottom w:val="single" w:sz="4" w:space="0" w:color="auto"/>
              <w:right w:val="single" w:sz="4" w:space="0" w:color="auto"/>
            </w:tcBorders>
            <w:shd w:val="clear" w:color="auto" w:fill="auto"/>
            <w:noWrap/>
            <w:vAlign w:val="bottom"/>
            <w:hideMark/>
          </w:tcPr>
          <w:p w14:paraId="1D5DCD3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2FEF0C3D"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E933DC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q</w:t>
            </w:r>
          </w:p>
        </w:tc>
        <w:tc>
          <w:tcPr>
            <w:tcW w:w="2630" w:type="dxa"/>
            <w:tcBorders>
              <w:top w:val="nil"/>
              <w:left w:val="nil"/>
              <w:bottom w:val="single" w:sz="4" w:space="0" w:color="auto"/>
              <w:right w:val="single" w:sz="4" w:space="0" w:color="auto"/>
            </w:tcBorders>
            <w:shd w:val="clear" w:color="auto" w:fill="auto"/>
            <w:noWrap/>
            <w:vAlign w:val="bottom"/>
            <w:hideMark/>
          </w:tcPr>
          <w:p w14:paraId="01B6110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-282800.00</w:t>
            </w:r>
          </w:p>
        </w:tc>
        <w:tc>
          <w:tcPr>
            <w:tcW w:w="1491" w:type="dxa"/>
            <w:tcBorders>
              <w:top w:val="nil"/>
              <w:left w:val="nil"/>
              <w:bottom w:val="single" w:sz="4" w:space="0" w:color="auto"/>
              <w:right w:val="single" w:sz="4" w:space="0" w:color="auto"/>
            </w:tcBorders>
            <w:shd w:val="clear" w:color="auto" w:fill="auto"/>
            <w:noWrap/>
            <w:vAlign w:val="bottom"/>
            <w:hideMark/>
          </w:tcPr>
          <w:p w14:paraId="40B703B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0.4356</w:t>
            </w:r>
          </w:p>
        </w:tc>
        <w:tc>
          <w:tcPr>
            <w:tcW w:w="265" w:type="dxa"/>
            <w:tcBorders>
              <w:top w:val="nil"/>
              <w:left w:val="nil"/>
              <w:bottom w:val="nil"/>
              <w:right w:val="nil"/>
            </w:tcBorders>
            <w:shd w:val="clear" w:color="auto" w:fill="auto"/>
            <w:noWrap/>
            <w:vAlign w:val="bottom"/>
            <w:hideMark/>
          </w:tcPr>
          <w:p w14:paraId="48157D36"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B715E4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Kv</w:t>
            </w:r>
          </w:p>
        </w:tc>
        <w:tc>
          <w:tcPr>
            <w:tcW w:w="1931" w:type="dxa"/>
            <w:tcBorders>
              <w:top w:val="nil"/>
              <w:left w:val="nil"/>
              <w:bottom w:val="single" w:sz="4" w:space="0" w:color="auto"/>
              <w:right w:val="single" w:sz="4" w:space="0" w:color="auto"/>
            </w:tcBorders>
            <w:shd w:val="clear" w:color="auto" w:fill="auto"/>
            <w:noWrap/>
            <w:vAlign w:val="bottom"/>
            <w:hideMark/>
          </w:tcPr>
          <w:p w14:paraId="473AA59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72694FFF"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0B5421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gamma</w:t>
            </w:r>
          </w:p>
        </w:tc>
        <w:tc>
          <w:tcPr>
            <w:tcW w:w="2630" w:type="dxa"/>
            <w:tcBorders>
              <w:top w:val="nil"/>
              <w:left w:val="nil"/>
              <w:bottom w:val="single" w:sz="4" w:space="0" w:color="auto"/>
              <w:right w:val="single" w:sz="4" w:space="0" w:color="auto"/>
            </w:tcBorders>
            <w:shd w:val="clear" w:color="auto" w:fill="auto"/>
            <w:noWrap/>
            <w:vAlign w:val="bottom"/>
            <w:hideMark/>
          </w:tcPr>
          <w:p w14:paraId="44B58CE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6910000.00</w:t>
            </w:r>
          </w:p>
        </w:tc>
        <w:tc>
          <w:tcPr>
            <w:tcW w:w="1491" w:type="dxa"/>
            <w:tcBorders>
              <w:top w:val="nil"/>
              <w:left w:val="nil"/>
              <w:bottom w:val="single" w:sz="4" w:space="0" w:color="auto"/>
              <w:right w:val="single" w:sz="4" w:space="0" w:color="auto"/>
            </w:tcBorders>
            <w:shd w:val="clear" w:color="auto" w:fill="auto"/>
            <w:noWrap/>
            <w:vAlign w:val="bottom"/>
            <w:hideMark/>
          </w:tcPr>
          <w:p w14:paraId="03EC43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0.0582</w:t>
            </w:r>
          </w:p>
        </w:tc>
        <w:tc>
          <w:tcPr>
            <w:tcW w:w="265" w:type="dxa"/>
            <w:tcBorders>
              <w:top w:val="nil"/>
              <w:left w:val="nil"/>
              <w:bottom w:val="nil"/>
              <w:right w:val="nil"/>
            </w:tcBorders>
            <w:shd w:val="clear" w:color="auto" w:fill="auto"/>
            <w:noWrap/>
            <w:vAlign w:val="bottom"/>
            <w:hideMark/>
          </w:tcPr>
          <w:p w14:paraId="19F01862"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2AE4363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ppc</w:t>
            </w:r>
          </w:p>
        </w:tc>
        <w:tc>
          <w:tcPr>
            <w:tcW w:w="1931" w:type="dxa"/>
            <w:tcBorders>
              <w:top w:val="nil"/>
              <w:left w:val="nil"/>
              <w:bottom w:val="single" w:sz="4" w:space="0" w:color="auto"/>
              <w:right w:val="single" w:sz="4" w:space="0" w:color="auto"/>
            </w:tcBorders>
            <w:shd w:val="clear" w:color="auto" w:fill="auto"/>
            <w:noWrap/>
            <w:vAlign w:val="bottom"/>
            <w:hideMark/>
          </w:tcPr>
          <w:p w14:paraId="1000312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3051813F"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D2ECC6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t1</w:t>
            </w:r>
          </w:p>
        </w:tc>
        <w:tc>
          <w:tcPr>
            <w:tcW w:w="2630" w:type="dxa"/>
            <w:tcBorders>
              <w:top w:val="nil"/>
              <w:left w:val="nil"/>
              <w:bottom w:val="single" w:sz="4" w:space="0" w:color="auto"/>
              <w:right w:val="single" w:sz="4" w:space="0" w:color="auto"/>
            </w:tcBorders>
            <w:shd w:val="clear" w:color="auto" w:fill="auto"/>
            <w:noWrap/>
            <w:vAlign w:val="bottom"/>
            <w:hideMark/>
          </w:tcPr>
          <w:p w14:paraId="176401C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2081000.00</w:t>
            </w:r>
          </w:p>
        </w:tc>
        <w:tc>
          <w:tcPr>
            <w:tcW w:w="1491" w:type="dxa"/>
            <w:tcBorders>
              <w:top w:val="nil"/>
              <w:left w:val="nil"/>
              <w:bottom w:val="single" w:sz="4" w:space="0" w:color="auto"/>
              <w:right w:val="single" w:sz="4" w:space="0" w:color="auto"/>
            </w:tcBorders>
            <w:shd w:val="clear" w:color="auto" w:fill="auto"/>
            <w:noWrap/>
            <w:vAlign w:val="bottom"/>
            <w:hideMark/>
          </w:tcPr>
          <w:p w14:paraId="72A4126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0.7746</w:t>
            </w:r>
          </w:p>
        </w:tc>
        <w:tc>
          <w:tcPr>
            <w:tcW w:w="265" w:type="dxa"/>
            <w:tcBorders>
              <w:top w:val="nil"/>
              <w:left w:val="nil"/>
              <w:bottom w:val="nil"/>
              <w:right w:val="nil"/>
            </w:tcBorders>
            <w:shd w:val="clear" w:color="auto" w:fill="auto"/>
            <w:noWrap/>
            <w:vAlign w:val="bottom"/>
            <w:hideMark/>
          </w:tcPr>
          <w:p w14:paraId="1B6278E5"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2BC4B8B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rho1</w:t>
            </w:r>
          </w:p>
        </w:tc>
        <w:tc>
          <w:tcPr>
            <w:tcW w:w="1931" w:type="dxa"/>
            <w:tcBorders>
              <w:top w:val="nil"/>
              <w:left w:val="nil"/>
              <w:bottom w:val="single" w:sz="4" w:space="0" w:color="auto"/>
              <w:right w:val="single" w:sz="4" w:space="0" w:color="auto"/>
            </w:tcBorders>
            <w:shd w:val="clear" w:color="auto" w:fill="auto"/>
            <w:noWrap/>
            <w:vAlign w:val="bottom"/>
            <w:hideMark/>
          </w:tcPr>
          <w:p w14:paraId="34EE2D6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6A208004"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1D80EC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rho1</w:t>
            </w:r>
          </w:p>
        </w:tc>
        <w:tc>
          <w:tcPr>
            <w:tcW w:w="2630" w:type="dxa"/>
            <w:tcBorders>
              <w:top w:val="nil"/>
              <w:left w:val="nil"/>
              <w:bottom w:val="single" w:sz="4" w:space="0" w:color="auto"/>
              <w:right w:val="single" w:sz="4" w:space="0" w:color="auto"/>
            </w:tcBorders>
            <w:shd w:val="clear" w:color="auto" w:fill="auto"/>
            <w:noWrap/>
            <w:vAlign w:val="bottom"/>
            <w:hideMark/>
          </w:tcPr>
          <w:p w14:paraId="18BBA74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-15730.00</w:t>
            </w:r>
          </w:p>
        </w:tc>
        <w:tc>
          <w:tcPr>
            <w:tcW w:w="1491" w:type="dxa"/>
            <w:tcBorders>
              <w:top w:val="nil"/>
              <w:left w:val="nil"/>
              <w:bottom w:val="single" w:sz="4" w:space="0" w:color="auto"/>
              <w:right w:val="single" w:sz="4" w:space="0" w:color="auto"/>
            </w:tcBorders>
            <w:shd w:val="clear" w:color="auto" w:fill="auto"/>
            <w:noWrap/>
            <w:vAlign w:val="bottom"/>
            <w:hideMark/>
          </w:tcPr>
          <w:p w14:paraId="720E525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0.2515</w:t>
            </w:r>
          </w:p>
        </w:tc>
        <w:tc>
          <w:tcPr>
            <w:tcW w:w="265" w:type="dxa"/>
            <w:tcBorders>
              <w:top w:val="nil"/>
              <w:left w:val="nil"/>
              <w:bottom w:val="nil"/>
              <w:right w:val="nil"/>
            </w:tcBorders>
            <w:shd w:val="clear" w:color="auto" w:fill="auto"/>
            <w:noWrap/>
            <w:vAlign w:val="bottom"/>
            <w:hideMark/>
          </w:tcPr>
          <w:p w14:paraId="2A78FEB7"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ED06DB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pa1</w:t>
            </w:r>
          </w:p>
        </w:tc>
        <w:tc>
          <w:tcPr>
            <w:tcW w:w="1931" w:type="dxa"/>
            <w:tcBorders>
              <w:top w:val="nil"/>
              <w:left w:val="nil"/>
              <w:bottom w:val="single" w:sz="4" w:space="0" w:color="auto"/>
              <w:right w:val="single" w:sz="4" w:space="0" w:color="auto"/>
            </w:tcBorders>
            <w:shd w:val="clear" w:color="auto" w:fill="auto"/>
            <w:noWrap/>
            <w:vAlign w:val="bottom"/>
            <w:hideMark/>
          </w:tcPr>
          <w:p w14:paraId="1D0F2C3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6ABBD7F6"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BDBF63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ptq2</w:t>
            </w:r>
          </w:p>
        </w:tc>
        <w:tc>
          <w:tcPr>
            <w:tcW w:w="2630" w:type="dxa"/>
            <w:tcBorders>
              <w:top w:val="nil"/>
              <w:left w:val="nil"/>
              <w:bottom w:val="single" w:sz="4" w:space="0" w:color="auto"/>
              <w:right w:val="single" w:sz="4" w:space="0" w:color="auto"/>
            </w:tcBorders>
            <w:shd w:val="clear" w:color="auto" w:fill="auto"/>
            <w:noWrap/>
            <w:vAlign w:val="bottom"/>
            <w:hideMark/>
          </w:tcPr>
          <w:p w14:paraId="408170E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-13860.00</w:t>
            </w:r>
          </w:p>
        </w:tc>
        <w:tc>
          <w:tcPr>
            <w:tcW w:w="1491" w:type="dxa"/>
            <w:tcBorders>
              <w:top w:val="nil"/>
              <w:left w:val="nil"/>
              <w:bottom w:val="single" w:sz="4" w:space="0" w:color="auto"/>
              <w:right w:val="single" w:sz="4" w:space="0" w:color="auto"/>
            </w:tcBorders>
            <w:shd w:val="clear" w:color="auto" w:fill="auto"/>
            <w:noWrap/>
            <w:vAlign w:val="bottom"/>
            <w:hideMark/>
          </w:tcPr>
          <w:p w14:paraId="40D4139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0.2439</w:t>
            </w:r>
          </w:p>
        </w:tc>
        <w:tc>
          <w:tcPr>
            <w:tcW w:w="265" w:type="dxa"/>
            <w:tcBorders>
              <w:top w:val="nil"/>
              <w:left w:val="nil"/>
              <w:bottom w:val="nil"/>
              <w:right w:val="nil"/>
            </w:tcBorders>
            <w:shd w:val="clear" w:color="auto" w:fill="auto"/>
            <w:noWrap/>
            <w:vAlign w:val="bottom"/>
            <w:hideMark/>
          </w:tcPr>
          <w:p w14:paraId="22FFABD8"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570553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w:t>
            </w:r>
          </w:p>
        </w:tc>
        <w:tc>
          <w:tcPr>
            <w:tcW w:w="1931" w:type="dxa"/>
            <w:tcBorders>
              <w:top w:val="nil"/>
              <w:left w:val="nil"/>
              <w:bottom w:val="single" w:sz="4" w:space="0" w:color="auto"/>
              <w:right w:val="single" w:sz="4" w:space="0" w:color="auto"/>
            </w:tcBorders>
            <w:shd w:val="clear" w:color="auto" w:fill="auto"/>
            <w:noWrap/>
            <w:vAlign w:val="bottom"/>
            <w:hideMark/>
          </w:tcPr>
          <w:p w14:paraId="0181C6F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758B5D7E"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358E27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rho2</w:t>
            </w:r>
          </w:p>
        </w:tc>
        <w:tc>
          <w:tcPr>
            <w:tcW w:w="2630" w:type="dxa"/>
            <w:tcBorders>
              <w:top w:val="nil"/>
              <w:left w:val="nil"/>
              <w:bottom w:val="single" w:sz="4" w:space="0" w:color="auto"/>
              <w:right w:val="single" w:sz="4" w:space="0" w:color="auto"/>
            </w:tcBorders>
            <w:shd w:val="clear" w:color="auto" w:fill="auto"/>
            <w:noWrap/>
            <w:vAlign w:val="bottom"/>
            <w:hideMark/>
          </w:tcPr>
          <w:p w14:paraId="43F4DC5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1880000.00</w:t>
            </w:r>
          </w:p>
        </w:tc>
        <w:tc>
          <w:tcPr>
            <w:tcW w:w="1491" w:type="dxa"/>
            <w:tcBorders>
              <w:top w:val="nil"/>
              <w:left w:val="nil"/>
              <w:bottom w:val="single" w:sz="4" w:space="0" w:color="auto"/>
              <w:right w:val="single" w:sz="4" w:space="0" w:color="auto"/>
            </w:tcBorders>
            <w:shd w:val="clear" w:color="auto" w:fill="auto"/>
            <w:noWrap/>
            <w:vAlign w:val="bottom"/>
            <w:hideMark/>
          </w:tcPr>
          <w:p w14:paraId="23B547F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0.3774</w:t>
            </w:r>
          </w:p>
        </w:tc>
        <w:tc>
          <w:tcPr>
            <w:tcW w:w="265" w:type="dxa"/>
            <w:tcBorders>
              <w:top w:val="nil"/>
              <w:left w:val="nil"/>
              <w:bottom w:val="nil"/>
              <w:right w:val="nil"/>
            </w:tcBorders>
            <w:shd w:val="clear" w:color="auto" w:fill="auto"/>
            <w:noWrap/>
            <w:vAlign w:val="bottom"/>
            <w:hideMark/>
          </w:tcPr>
          <w:p w14:paraId="7C9703E7"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87DBD1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gamma</w:t>
            </w:r>
          </w:p>
        </w:tc>
        <w:tc>
          <w:tcPr>
            <w:tcW w:w="1931" w:type="dxa"/>
            <w:tcBorders>
              <w:top w:val="nil"/>
              <w:left w:val="nil"/>
              <w:bottom w:val="single" w:sz="4" w:space="0" w:color="auto"/>
              <w:right w:val="single" w:sz="4" w:space="0" w:color="auto"/>
            </w:tcBorders>
            <w:shd w:val="clear" w:color="auto" w:fill="auto"/>
            <w:noWrap/>
            <w:vAlign w:val="bottom"/>
            <w:hideMark/>
          </w:tcPr>
          <w:p w14:paraId="1ACAEA4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7E05D747"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E8E9C9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v</w:t>
            </w:r>
          </w:p>
        </w:tc>
        <w:tc>
          <w:tcPr>
            <w:tcW w:w="2630" w:type="dxa"/>
            <w:tcBorders>
              <w:top w:val="nil"/>
              <w:left w:val="nil"/>
              <w:bottom w:val="single" w:sz="4" w:space="0" w:color="auto"/>
              <w:right w:val="single" w:sz="4" w:space="0" w:color="auto"/>
            </w:tcBorders>
            <w:shd w:val="clear" w:color="auto" w:fill="auto"/>
            <w:noWrap/>
            <w:vAlign w:val="bottom"/>
            <w:hideMark/>
          </w:tcPr>
          <w:p w14:paraId="401A236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119200.00</w:t>
            </w:r>
          </w:p>
        </w:tc>
        <w:tc>
          <w:tcPr>
            <w:tcW w:w="1491" w:type="dxa"/>
            <w:tcBorders>
              <w:top w:val="nil"/>
              <w:left w:val="nil"/>
              <w:bottom w:val="single" w:sz="4" w:space="0" w:color="auto"/>
              <w:right w:val="single" w:sz="4" w:space="0" w:color="auto"/>
            </w:tcBorders>
            <w:shd w:val="clear" w:color="auto" w:fill="auto"/>
            <w:noWrap/>
            <w:vAlign w:val="bottom"/>
            <w:hideMark/>
          </w:tcPr>
          <w:p w14:paraId="45CCD21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0.337</w:t>
            </w:r>
          </w:p>
        </w:tc>
        <w:tc>
          <w:tcPr>
            <w:tcW w:w="265" w:type="dxa"/>
            <w:tcBorders>
              <w:top w:val="nil"/>
              <w:left w:val="nil"/>
              <w:bottom w:val="nil"/>
              <w:right w:val="nil"/>
            </w:tcBorders>
            <w:shd w:val="clear" w:color="auto" w:fill="auto"/>
            <w:noWrap/>
            <w:vAlign w:val="bottom"/>
            <w:hideMark/>
          </w:tcPr>
          <w:p w14:paraId="5DA50550"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1EC9AE0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x</w:t>
            </w:r>
          </w:p>
        </w:tc>
        <w:tc>
          <w:tcPr>
            <w:tcW w:w="1931" w:type="dxa"/>
            <w:tcBorders>
              <w:top w:val="nil"/>
              <w:left w:val="nil"/>
              <w:bottom w:val="single" w:sz="4" w:space="0" w:color="auto"/>
              <w:right w:val="single" w:sz="4" w:space="0" w:color="auto"/>
            </w:tcBorders>
            <w:shd w:val="clear" w:color="auto" w:fill="auto"/>
            <w:noWrap/>
            <w:vAlign w:val="bottom"/>
            <w:hideMark/>
          </w:tcPr>
          <w:p w14:paraId="3A26CFF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00EDE72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120ABB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nr</w:t>
            </w:r>
          </w:p>
        </w:tc>
        <w:tc>
          <w:tcPr>
            <w:tcW w:w="2630" w:type="dxa"/>
            <w:tcBorders>
              <w:top w:val="nil"/>
              <w:left w:val="nil"/>
              <w:bottom w:val="single" w:sz="4" w:space="0" w:color="auto"/>
              <w:right w:val="single" w:sz="4" w:space="0" w:color="auto"/>
            </w:tcBorders>
            <w:shd w:val="clear" w:color="auto" w:fill="auto"/>
            <w:noWrap/>
            <w:vAlign w:val="bottom"/>
            <w:hideMark/>
          </w:tcPr>
          <w:p w14:paraId="1D694FB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-6056.00</w:t>
            </w:r>
          </w:p>
        </w:tc>
        <w:tc>
          <w:tcPr>
            <w:tcW w:w="1491" w:type="dxa"/>
            <w:tcBorders>
              <w:top w:val="nil"/>
              <w:left w:val="nil"/>
              <w:bottom w:val="single" w:sz="4" w:space="0" w:color="auto"/>
              <w:right w:val="single" w:sz="4" w:space="0" w:color="auto"/>
            </w:tcBorders>
            <w:shd w:val="clear" w:color="auto" w:fill="auto"/>
            <w:noWrap/>
            <w:vAlign w:val="bottom"/>
            <w:hideMark/>
          </w:tcPr>
          <w:p w14:paraId="6C2337E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0.1925</w:t>
            </w:r>
          </w:p>
        </w:tc>
        <w:tc>
          <w:tcPr>
            <w:tcW w:w="265" w:type="dxa"/>
            <w:tcBorders>
              <w:top w:val="nil"/>
              <w:left w:val="nil"/>
              <w:bottom w:val="nil"/>
              <w:right w:val="nil"/>
            </w:tcBorders>
            <w:shd w:val="clear" w:color="auto" w:fill="auto"/>
            <w:noWrap/>
            <w:vAlign w:val="bottom"/>
            <w:hideMark/>
          </w:tcPr>
          <w:p w14:paraId="1E257E41"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1F69408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ppa</w:t>
            </w:r>
          </w:p>
        </w:tc>
        <w:tc>
          <w:tcPr>
            <w:tcW w:w="1931" w:type="dxa"/>
            <w:tcBorders>
              <w:top w:val="nil"/>
              <w:left w:val="nil"/>
              <w:bottom w:val="single" w:sz="4" w:space="0" w:color="auto"/>
              <w:right w:val="single" w:sz="4" w:space="0" w:color="auto"/>
            </w:tcBorders>
            <w:shd w:val="clear" w:color="auto" w:fill="auto"/>
            <w:noWrap/>
            <w:vAlign w:val="bottom"/>
            <w:hideMark/>
          </w:tcPr>
          <w:p w14:paraId="23DD6EB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B0C8E8A"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1C9C09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ah1</w:t>
            </w:r>
          </w:p>
        </w:tc>
        <w:tc>
          <w:tcPr>
            <w:tcW w:w="2630" w:type="dxa"/>
            <w:tcBorders>
              <w:top w:val="nil"/>
              <w:left w:val="nil"/>
              <w:bottom w:val="single" w:sz="4" w:space="0" w:color="auto"/>
              <w:right w:val="single" w:sz="4" w:space="0" w:color="auto"/>
            </w:tcBorders>
            <w:shd w:val="clear" w:color="auto" w:fill="auto"/>
            <w:noWrap/>
            <w:vAlign w:val="bottom"/>
            <w:hideMark/>
          </w:tcPr>
          <w:p w14:paraId="73EE89F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-8282.00</w:t>
            </w:r>
          </w:p>
        </w:tc>
        <w:tc>
          <w:tcPr>
            <w:tcW w:w="1491" w:type="dxa"/>
            <w:tcBorders>
              <w:top w:val="nil"/>
              <w:left w:val="nil"/>
              <w:bottom w:val="single" w:sz="4" w:space="0" w:color="auto"/>
              <w:right w:val="single" w:sz="4" w:space="0" w:color="auto"/>
            </w:tcBorders>
            <w:shd w:val="clear" w:color="auto" w:fill="auto"/>
            <w:noWrap/>
            <w:vAlign w:val="bottom"/>
            <w:hideMark/>
          </w:tcPr>
          <w:p w14:paraId="212FD2F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0.0649</w:t>
            </w:r>
          </w:p>
        </w:tc>
        <w:tc>
          <w:tcPr>
            <w:tcW w:w="265" w:type="dxa"/>
            <w:tcBorders>
              <w:top w:val="nil"/>
              <w:left w:val="nil"/>
              <w:bottom w:val="nil"/>
              <w:right w:val="nil"/>
            </w:tcBorders>
            <w:shd w:val="clear" w:color="auto" w:fill="auto"/>
            <w:noWrap/>
            <w:vAlign w:val="bottom"/>
            <w:hideMark/>
          </w:tcPr>
          <w:p w14:paraId="42BD793E"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9E110B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px</w:t>
            </w:r>
          </w:p>
        </w:tc>
        <w:tc>
          <w:tcPr>
            <w:tcW w:w="1931" w:type="dxa"/>
            <w:tcBorders>
              <w:top w:val="nil"/>
              <w:left w:val="nil"/>
              <w:bottom w:val="single" w:sz="4" w:space="0" w:color="auto"/>
              <w:right w:val="single" w:sz="4" w:space="0" w:color="auto"/>
            </w:tcBorders>
            <w:shd w:val="clear" w:color="auto" w:fill="auto"/>
            <w:noWrap/>
            <w:vAlign w:val="bottom"/>
            <w:hideMark/>
          </w:tcPr>
          <w:p w14:paraId="4A4C455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9F5473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BC53AF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ah2</w:t>
            </w:r>
          </w:p>
        </w:tc>
        <w:tc>
          <w:tcPr>
            <w:tcW w:w="2630" w:type="dxa"/>
            <w:tcBorders>
              <w:top w:val="nil"/>
              <w:left w:val="nil"/>
              <w:bottom w:val="single" w:sz="4" w:space="0" w:color="auto"/>
              <w:right w:val="single" w:sz="4" w:space="0" w:color="auto"/>
            </w:tcBorders>
            <w:shd w:val="clear" w:color="auto" w:fill="auto"/>
            <w:noWrap/>
            <w:vAlign w:val="bottom"/>
            <w:hideMark/>
          </w:tcPr>
          <w:p w14:paraId="3874193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-349000.00</w:t>
            </w:r>
          </w:p>
        </w:tc>
        <w:tc>
          <w:tcPr>
            <w:tcW w:w="1491" w:type="dxa"/>
            <w:tcBorders>
              <w:top w:val="nil"/>
              <w:left w:val="nil"/>
              <w:bottom w:val="single" w:sz="4" w:space="0" w:color="auto"/>
              <w:right w:val="single" w:sz="4" w:space="0" w:color="auto"/>
            </w:tcBorders>
            <w:shd w:val="clear" w:color="auto" w:fill="auto"/>
            <w:noWrap/>
            <w:vAlign w:val="bottom"/>
            <w:hideMark/>
          </w:tcPr>
          <w:p w14:paraId="58F8BDC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0.3406</w:t>
            </w:r>
          </w:p>
        </w:tc>
        <w:tc>
          <w:tcPr>
            <w:tcW w:w="265" w:type="dxa"/>
            <w:tcBorders>
              <w:top w:val="nil"/>
              <w:left w:val="nil"/>
              <w:bottom w:val="nil"/>
              <w:right w:val="nil"/>
            </w:tcBorders>
            <w:shd w:val="clear" w:color="auto" w:fill="auto"/>
            <w:noWrap/>
            <w:vAlign w:val="bottom"/>
            <w:hideMark/>
          </w:tcPr>
          <w:p w14:paraId="59966BB7"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AAF2A3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ac2</w:t>
            </w:r>
          </w:p>
        </w:tc>
        <w:tc>
          <w:tcPr>
            <w:tcW w:w="1931" w:type="dxa"/>
            <w:tcBorders>
              <w:top w:val="nil"/>
              <w:left w:val="nil"/>
              <w:bottom w:val="single" w:sz="4" w:space="0" w:color="auto"/>
              <w:right w:val="single" w:sz="4" w:space="0" w:color="auto"/>
            </w:tcBorders>
            <w:shd w:val="clear" w:color="auto" w:fill="auto"/>
            <w:noWrap/>
            <w:vAlign w:val="bottom"/>
            <w:hideMark/>
          </w:tcPr>
          <w:p w14:paraId="2CF2640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4837E3A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1BA434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px</w:t>
            </w:r>
          </w:p>
        </w:tc>
        <w:tc>
          <w:tcPr>
            <w:tcW w:w="2630" w:type="dxa"/>
            <w:tcBorders>
              <w:top w:val="nil"/>
              <w:left w:val="nil"/>
              <w:bottom w:val="single" w:sz="4" w:space="0" w:color="auto"/>
              <w:right w:val="single" w:sz="4" w:space="0" w:color="auto"/>
            </w:tcBorders>
            <w:shd w:val="clear" w:color="auto" w:fill="auto"/>
            <w:noWrap/>
            <w:vAlign w:val="bottom"/>
            <w:hideMark/>
          </w:tcPr>
          <w:p w14:paraId="61B2DD8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22240.00</w:t>
            </w:r>
          </w:p>
        </w:tc>
        <w:tc>
          <w:tcPr>
            <w:tcW w:w="1491" w:type="dxa"/>
            <w:tcBorders>
              <w:top w:val="nil"/>
              <w:left w:val="nil"/>
              <w:bottom w:val="single" w:sz="4" w:space="0" w:color="auto"/>
              <w:right w:val="single" w:sz="4" w:space="0" w:color="auto"/>
            </w:tcBorders>
            <w:shd w:val="clear" w:color="auto" w:fill="auto"/>
            <w:noWrap/>
            <w:vAlign w:val="bottom"/>
            <w:hideMark/>
          </w:tcPr>
          <w:p w14:paraId="25E9070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0.2623</w:t>
            </w:r>
          </w:p>
        </w:tc>
        <w:tc>
          <w:tcPr>
            <w:tcW w:w="265" w:type="dxa"/>
            <w:tcBorders>
              <w:top w:val="nil"/>
              <w:left w:val="nil"/>
              <w:bottom w:val="nil"/>
              <w:right w:val="nil"/>
            </w:tcBorders>
            <w:shd w:val="clear" w:color="auto" w:fill="auto"/>
            <w:noWrap/>
            <w:vAlign w:val="bottom"/>
            <w:hideMark/>
          </w:tcPr>
          <w:p w14:paraId="77C005A9"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1CA62E5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pro_mh</w:t>
            </w:r>
          </w:p>
        </w:tc>
        <w:tc>
          <w:tcPr>
            <w:tcW w:w="1931" w:type="dxa"/>
            <w:tcBorders>
              <w:top w:val="nil"/>
              <w:left w:val="nil"/>
              <w:bottom w:val="single" w:sz="4" w:space="0" w:color="auto"/>
              <w:right w:val="single" w:sz="4" w:space="0" w:color="auto"/>
            </w:tcBorders>
            <w:shd w:val="clear" w:color="auto" w:fill="auto"/>
            <w:noWrap/>
            <w:vAlign w:val="bottom"/>
            <w:hideMark/>
          </w:tcPr>
          <w:p w14:paraId="2E4C828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38931730"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23259ED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pt3</w:t>
            </w:r>
          </w:p>
        </w:tc>
        <w:tc>
          <w:tcPr>
            <w:tcW w:w="2630" w:type="dxa"/>
            <w:tcBorders>
              <w:top w:val="nil"/>
              <w:left w:val="nil"/>
              <w:bottom w:val="single" w:sz="4" w:space="0" w:color="auto"/>
              <w:right w:val="single" w:sz="4" w:space="0" w:color="auto"/>
            </w:tcBorders>
            <w:shd w:val="clear" w:color="auto" w:fill="auto"/>
            <w:noWrap/>
            <w:vAlign w:val="bottom"/>
            <w:hideMark/>
          </w:tcPr>
          <w:p w14:paraId="754B6CC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3500.00</w:t>
            </w:r>
          </w:p>
        </w:tc>
        <w:tc>
          <w:tcPr>
            <w:tcW w:w="1491" w:type="dxa"/>
            <w:tcBorders>
              <w:top w:val="nil"/>
              <w:left w:val="nil"/>
              <w:bottom w:val="single" w:sz="4" w:space="0" w:color="auto"/>
              <w:right w:val="single" w:sz="4" w:space="0" w:color="auto"/>
            </w:tcBorders>
            <w:shd w:val="clear" w:color="auto" w:fill="auto"/>
            <w:noWrap/>
            <w:vAlign w:val="bottom"/>
            <w:hideMark/>
          </w:tcPr>
          <w:p w14:paraId="699903D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0.8331</w:t>
            </w:r>
          </w:p>
        </w:tc>
        <w:tc>
          <w:tcPr>
            <w:tcW w:w="265" w:type="dxa"/>
            <w:tcBorders>
              <w:top w:val="nil"/>
              <w:left w:val="nil"/>
              <w:bottom w:val="nil"/>
              <w:right w:val="nil"/>
            </w:tcBorders>
            <w:shd w:val="clear" w:color="auto" w:fill="auto"/>
            <w:noWrap/>
            <w:vAlign w:val="bottom"/>
            <w:hideMark/>
          </w:tcPr>
          <w:p w14:paraId="2E35C240"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5F69D4F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pn</w:t>
            </w:r>
          </w:p>
        </w:tc>
        <w:tc>
          <w:tcPr>
            <w:tcW w:w="1931" w:type="dxa"/>
            <w:tcBorders>
              <w:top w:val="nil"/>
              <w:left w:val="nil"/>
              <w:bottom w:val="single" w:sz="4" w:space="0" w:color="auto"/>
              <w:right w:val="single" w:sz="4" w:space="0" w:color="auto"/>
            </w:tcBorders>
            <w:shd w:val="clear" w:color="auto" w:fill="auto"/>
            <w:noWrap/>
            <w:vAlign w:val="bottom"/>
            <w:hideMark/>
          </w:tcPr>
          <w:p w14:paraId="7A1CA92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3CB55B5"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DED5F6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ah3</w:t>
            </w:r>
          </w:p>
        </w:tc>
        <w:tc>
          <w:tcPr>
            <w:tcW w:w="2630" w:type="dxa"/>
            <w:tcBorders>
              <w:top w:val="nil"/>
              <w:left w:val="nil"/>
              <w:bottom w:val="single" w:sz="4" w:space="0" w:color="auto"/>
              <w:right w:val="single" w:sz="4" w:space="0" w:color="auto"/>
            </w:tcBorders>
            <w:shd w:val="clear" w:color="auto" w:fill="auto"/>
            <w:noWrap/>
            <w:vAlign w:val="bottom"/>
            <w:hideMark/>
          </w:tcPr>
          <w:p w14:paraId="16710F5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-1374000.00</w:t>
            </w:r>
          </w:p>
        </w:tc>
        <w:tc>
          <w:tcPr>
            <w:tcW w:w="1491" w:type="dxa"/>
            <w:tcBorders>
              <w:top w:val="nil"/>
              <w:left w:val="nil"/>
              <w:bottom w:val="single" w:sz="4" w:space="0" w:color="auto"/>
              <w:right w:val="single" w:sz="4" w:space="0" w:color="auto"/>
            </w:tcBorders>
            <w:shd w:val="clear" w:color="auto" w:fill="auto"/>
            <w:noWrap/>
            <w:vAlign w:val="bottom"/>
            <w:hideMark/>
          </w:tcPr>
          <w:p w14:paraId="0A6737D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0.1533</w:t>
            </w:r>
          </w:p>
        </w:tc>
        <w:tc>
          <w:tcPr>
            <w:tcW w:w="265" w:type="dxa"/>
            <w:tcBorders>
              <w:top w:val="nil"/>
              <w:left w:val="nil"/>
              <w:bottom w:val="nil"/>
              <w:right w:val="nil"/>
            </w:tcBorders>
            <w:shd w:val="clear" w:color="auto" w:fill="auto"/>
            <w:noWrap/>
            <w:vAlign w:val="bottom"/>
            <w:hideMark/>
          </w:tcPr>
          <w:p w14:paraId="34D5A013"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26ACD8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w:t>
            </w:r>
          </w:p>
        </w:tc>
        <w:tc>
          <w:tcPr>
            <w:tcW w:w="1931" w:type="dxa"/>
            <w:tcBorders>
              <w:top w:val="nil"/>
              <w:left w:val="nil"/>
              <w:bottom w:val="single" w:sz="4" w:space="0" w:color="auto"/>
              <w:right w:val="single" w:sz="4" w:space="0" w:color="auto"/>
            </w:tcBorders>
            <w:shd w:val="clear" w:color="auto" w:fill="auto"/>
            <w:noWrap/>
            <w:vAlign w:val="bottom"/>
            <w:hideMark/>
          </w:tcPr>
          <w:p w14:paraId="565A5DB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5C67655E"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AA3F22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hlsp</w:t>
            </w:r>
          </w:p>
        </w:tc>
        <w:tc>
          <w:tcPr>
            <w:tcW w:w="2630" w:type="dxa"/>
            <w:tcBorders>
              <w:top w:val="nil"/>
              <w:left w:val="nil"/>
              <w:bottom w:val="single" w:sz="4" w:space="0" w:color="auto"/>
              <w:right w:val="single" w:sz="4" w:space="0" w:color="auto"/>
            </w:tcBorders>
            <w:shd w:val="clear" w:color="auto" w:fill="auto"/>
            <w:noWrap/>
            <w:vAlign w:val="bottom"/>
            <w:hideMark/>
          </w:tcPr>
          <w:p w14:paraId="4E8C624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-6524.00</w:t>
            </w:r>
          </w:p>
        </w:tc>
        <w:tc>
          <w:tcPr>
            <w:tcW w:w="1491" w:type="dxa"/>
            <w:tcBorders>
              <w:top w:val="nil"/>
              <w:left w:val="nil"/>
              <w:bottom w:val="single" w:sz="4" w:space="0" w:color="auto"/>
              <w:right w:val="single" w:sz="4" w:space="0" w:color="auto"/>
            </w:tcBorders>
            <w:shd w:val="clear" w:color="auto" w:fill="auto"/>
            <w:noWrap/>
            <w:vAlign w:val="bottom"/>
            <w:hideMark/>
          </w:tcPr>
          <w:p w14:paraId="7AA347E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0.7065</w:t>
            </w:r>
          </w:p>
        </w:tc>
        <w:tc>
          <w:tcPr>
            <w:tcW w:w="265" w:type="dxa"/>
            <w:tcBorders>
              <w:top w:val="nil"/>
              <w:left w:val="nil"/>
              <w:bottom w:val="nil"/>
              <w:right w:val="nil"/>
            </w:tcBorders>
            <w:shd w:val="clear" w:color="auto" w:fill="auto"/>
            <w:noWrap/>
            <w:vAlign w:val="bottom"/>
            <w:hideMark/>
          </w:tcPr>
          <w:p w14:paraId="6509A03C"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3D5516C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pm</w:t>
            </w:r>
          </w:p>
        </w:tc>
        <w:tc>
          <w:tcPr>
            <w:tcW w:w="1931" w:type="dxa"/>
            <w:tcBorders>
              <w:top w:val="nil"/>
              <w:left w:val="nil"/>
              <w:bottom w:val="single" w:sz="4" w:space="0" w:color="auto"/>
              <w:right w:val="single" w:sz="4" w:space="0" w:color="auto"/>
            </w:tcBorders>
            <w:shd w:val="clear" w:color="auto" w:fill="auto"/>
            <w:noWrap/>
            <w:vAlign w:val="bottom"/>
            <w:hideMark/>
          </w:tcPr>
          <w:p w14:paraId="0458C41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02114D0B"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5A8BE2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pro_hm</w:t>
            </w:r>
          </w:p>
        </w:tc>
        <w:tc>
          <w:tcPr>
            <w:tcW w:w="2630" w:type="dxa"/>
            <w:tcBorders>
              <w:top w:val="nil"/>
              <w:left w:val="nil"/>
              <w:bottom w:val="single" w:sz="4" w:space="0" w:color="auto"/>
              <w:right w:val="single" w:sz="4" w:space="0" w:color="auto"/>
            </w:tcBorders>
            <w:shd w:val="clear" w:color="auto" w:fill="auto"/>
            <w:noWrap/>
            <w:vAlign w:val="bottom"/>
            <w:hideMark/>
          </w:tcPr>
          <w:p w14:paraId="3593094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22580000.00</w:t>
            </w:r>
          </w:p>
        </w:tc>
        <w:tc>
          <w:tcPr>
            <w:tcW w:w="1491" w:type="dxa"/>
            <w:tcBorders>
              <w:top w:val="nil"/>
              <w:left w:val="nil"/>
              <w:bottom w:val="single" w:sz="4" w:space="0" w:color="auto"/>
              <w:right w:val="single" w:sz="4" w:space="0" w:color="auto"/>
            </w:tcBorders>
            <w:shd w:val="clear" w:color="auto" w:fill="auto"/>
            <w:noWrap/>
            <w:vAlign w:val="bottom"/>
            <w:hideMark/>
          </w:tcPr>
          <w:p w14:paraId="64D7A3F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FBAE76B"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04CCAC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ah2</w:t>
            </w:r>
          </w:p>
        </w:tc>
        <w:tc>
          <w:tcPr>
            <w:tcW w:w="1931" w:type="dxa"/>
            <w:tcBorders>
              <w:top w:val="nil"/>
              <w:left w:val="nil"/>
              <w:bottom w:val="single" w:sz="4" w:space="0" w:color="auto"/>
              <w:right w:val="single" w:sz="4" w:space="0" w:color="auto"/>
            </w:tcBorders>
            <w:shd w:val="clear" w:color="auto" w:fill="auto"/>
            <w:noWrap/>
            <w:vAlign w:val="bottom"/>
            <w:hideMark/>
          </w:tcPr>
          <w:p w14:paraId="1D0C75D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5ABEB4E"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6CC546A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pro_mh</w:t>
            </w:r>
          </w:p>
        </w:tc>
        <w:tc>
          <w:tcPr>
            <w:tcW w:w="2630" w:type="dxa"/>
            <w:tcBorders>
              <w:top w:val="nil"/>
              <w:left w:val="nil"/>
              <w:bottom w:val="single" w:sz="4" w:space="0" w:color="auto"/>
              <w:right w:val="single" w:sz="4" w:space="0" w:color="auto"/>
            </w:tcBorders>
            <w:shd w:val="clear" w:color="auto" w:fill="auto"/>
            <w:noWrap/>
            <w:vAlign w:val="bottom"/>
            <w:hideMark/>
          </w:tcPr>
          <w:p w14:paraId="6733921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31040000.00</w:t>
            </w:r>
          </w:p>
        </w:tc>
        <w:tc>
          <w:tcPr>
            <w:tcW w:w="1491" w:type="dxa"/>
            <w:tcBorders>
              <w:top w:val="nil"/>
              <w:left w:val="nil"/>
              <w:bottom w:val="single" w:sz="4" w:space="0" w:color="auto"/>
              <w:right w:val="single" w:sz="4" w:space="0" w:color="auto"/>
            </w:tcBorders>
            <w:shd w:val="clear" w:color="auto" w:fill="auto"/>
            <w:noWrap/>
            <w:vAlign w:val="bottom"/>
            <w:hideMark/>
          </w:tcPr>
          <w:p w14:paraId="40775F3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E8D3818"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AADCC8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rho2</w:t>
            </w:r>
          </w:p>
        </w:tc>
        <w:tc>
          <w:tcPr>
            <w:tcW w:w="1931" w:type="dxa"/>
            <w:tcBorders>
              <w:top w:val="nil"/>
              <w:left w:val="nil"/>
              <w:bottom w:val="single" w:sz="4" w:space="0" w:color="auto"/>
              <w:right w:val="single" w:sz="4" w:space="0" w:color="auto"/>
            </w:tcBorders>
            <w:shd w:val="clear" w:color="auto" w:fill="auto"/>
            <w:noWrap/>
            <w:vAlign w:val="bottom"/>
            <w:hideMark/>
          </w:tcPr>
          <w:p w14:paraId="088B5E4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5E3D52C0"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F6F0DA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w:t>
            </w:r>
          </w:p>
        </w:tc>
        <w:tc>
          <w:tcPr>
            <w:tcW w:w="2630" w:type="dxa"/>
            <w:tcBorders>
              <w:top w:val="nil"/>
              <w:left w:val="nil"/>
              <w:bottom w:val="single" w:sz="4" w:space="0" w:color="auto"/>
              <w:right w:val="single" w:sz="4" w:space="0" w:color="auto"/>
            </w:tcBorders>
            <w:shd w:val="clear" w:color="auto" w:fill="auto"/>
            <w:noWrap/>
            <w:vAlign w:val="bottom"/>
            <w:hideMark/>
          </w:tcPr>
          <w:p w14:paraId="326C160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-52910.00</w:t>
            </w:r>
          </w:p>
        </w:tc>
        <w:tc>
          <w:tcPr>
            <w:tcW w:w="1491" w:type="dxa"/>
            <w:tcBorders>
              <w:top w:val="nil"/>
              <w:left w:val="nil"/>
              <w:bottom w:val="single" w:sz="4" w:space="0" w:color="auto"/>
              <w:right w:val="single" w:sz="4" w:space="0" w:color="auto"/>
            </w:tcBorders>
            <w:shd w:val="clear" w:color="auto" w:fill="auto"/>
            <w:noWrap/>
            <w:vAlign w:val="bottom"/>
            <w:hideMark/>
          </w:tcPr>
          <w:p w14:paraId="77964AF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0.8394</w:t>
            </w:r>
          </w:p>
        </w:tc>
        <w:tc>
          <w:tcPr>
            <w:tcW w:w="265" w:type="dxa"/>
            <w:tcBorders>
              <w:top w:val="nil"/>
              <w:left w:val="nil"/>
              <w:bottom w:val="nil"/>
              <w:right w:val="nil"/>
            </w:tcBorders>
            <w:shd w:val="clear" w:color="auto" w:fill="auto"/>
            <w:noWrap/>
            <w:vAlign w:val="bottom"/>
            <w:hideMark/>
          </w:tcPr>
          <w:p w14:paraId="5BC6843A"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69CB7C3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v</w:t>
            </w:r>
          </w:p>
        </w:tc>
        <w:tc>
          <w:tcPr>
            <w:tcW w:w="1931" w:type="dxa"/>
            <w:tcBorders>
              <w:top w:val="nil"/>
              <w:left w:val="nil"/>
              <w:bottom w:val="single" w:sz="4" w:space="0" w:color="auto"/>
              <w:right w:val="single" w:sz="4" w:space="0" w:color="auto"/>
            </w:tcBorders>
            <w:shd w:val="clear" w:color="auto" w:fill="auto"/>
            <w:noWrap/>
            <w:vAlign w:val="bottom"/>
            <w:hideMark/>
          </w:tcPr>
          <w:p w14:paraId="3E6906F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05DD8EA2"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19C76D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ac1</w:t>
            </w:r>
          </w:p>
        </w:tc>
        <w:tc>
          <w:tcPr>
            <w:tcW w:w="2630" w:type="dxa"/>
            <w:tcBorders>
              <w:top w:val="nil"/>
              <w:left w:val="nil"/>
              <w:bottom w:val="single" w:sz="4" w:space="0" w:color="auto"/>
              <w:right w:val="single" w:sz="4" w:space="0" w:color="auto"/>
            </w:tcBorders>
            <w:shd w:val="clear" w:color="auto" w:fill="auto"/>
            <w:noWrap/>
            <w:vAlign w:val="bottom"/>
            <w:hideMark/>
          </w:tcPr>
          <w:p w14:paraId="1A8860A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26760.00</w:t>
            </w:r>
          </w:p>
        </w:tc>
        <w:tc>
          <w:tcPr>
            <w:tcW w:w="1491" w:type="dxa"/>
            <w:tcBorders>
              <w:top w:val="nil"/>
              <w:left w:val="nil"/>
              <w:bottom w:val="single" w:sz="4" w:space="0" w:color="auto"/>
              <w:right w:val="single" w:sz="4" w:space="0" w:color="auto"/>
            </w:tcBorders>
            <w:shd w:val="clear" w:color="auto" w:fill="auto"/>
            <w:noWrap/>
            <w:vAlign w:val="bottom"/>
            <w:hideMark/>
          </w:tcPr>
          <w:p w14:paraId="7CF0262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0.9412</w:t>
            </w:r>
          </w:p>
        </w:tc>
        <w:tc>
          <w:tcPr>
            <w:tcW w:w="265" w:type="dxa"/>
            <w:tcBorders>
              <w:top w:val="nil"/>
              <w:left w:val="nil"/>
              <w:bottom w:val="nil"/>
              <w:right w:val="nil"/>
            </w:tcBorders>
            <w:shd w:val="clear" w:color="auto" w:fill="auto"/>
            <w:noWrap/>
            <w:vAlign w:val="bottom"/>
            <w:hideMark/>
          </w:tcPr>
          <w:p w14:paraId="23F49750"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95D965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ah3</w:t>
            </w:r>
          </w:p>
        </w:tc>
        <w:tc>
          <w:tcPr>
            <w:tcW w:w="1931" w:type="dxa"/>
            <w:tcBorders>
              <w:top w:val="nil"/>
              <w:left w:val="nil"/>
              <w:bottom w:val="single" w:sz="4" w:space="0" w:color="auto"/>
              <w:right w:val="single" w:sz="4" w:space="0" w:color="auto"/>
            </w:tcBorders>
            <w:shd w:val="clear" w:color="auto" w:fill="auto"/>
            <w:noWrap/>
            <w:vAlign w:val="bottom"/>
            <w:hideMark/>
          </w:tcPr>
          <w:p w14:paraId="165CEC2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1DD5C55E"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FB5A23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ac2</w:t>
            </w:r>
          </w:p>
        </w:tc>
        <w:tc>
          <w:tcPr>
            <w:tcW w:w="2630" w:type="dxa"/>
            <w:tcBorders>
              <w:top w:val="nil"/>
              <w:left w:val="nil"/>
              <w:bottom w:val="single" w:sz="4" w:space="0" w:color="auto"/>
              <w:right w:val="single" w:sz="4" w:space="0" w:color="auto"/>
            </w:tcBorders>
            <w:shd w:val="clear" w:color="auto" w:fill="auto"/>
            <w:noWrap/>
            <w:vAlign w:val="bottom"/>
            <w:hideMark/>
          </w:tcPr>
          <w:p w14:paraId="161DB94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6876000.00</w:t>
            </w:r>
          </w:p>
        </w:tc>
        <w:tc>
          <w:tcPr>
            <w:tcW w:w="1491" w:type="dxa"/>
            <w:tcBorders>
              <w:top w:val="nil"/>
              <w:left w:val="nil"/>
              <w:bottom w:val="single" w:sz="4" w:space="0" w:color="auto"/>
              <w:right w:val="single" w:sz="4" w:space="0" w:color="auto"/>
            </w:tcBorders>
            <w:shd w:val="clear" w:color="auto" w:fill="auto"/>
            <w:noWrap/>
            <w:vAlign w:val="bottom"/>
            <w:hideMark/>
          </w:tcPr>
          <w:p w14:paraId="0D59BEB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46F58DB4"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554A007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t1</w:t>
            </w:r>
          </w:p>
        </w:tc>
        <w:tc>
          <w:tcPr>
            <w:tcW w:w="1931" w:type="dxa"/>
            <w:tcBorders>
              <w:top w:val="nil"/>
              <w:left w:val="nil"/>
              <w:bottom w:val="single" w:sz="4" w:space="0" w:color="auto"/>
              <w:right w:val="single" w:sz="4" w:space="0" w:color="auto"/>
            </w:tcBorders>
            <w:shd w:val="clear" w:color="auto" w:fill="auto"/>
            <w:noWrap/>
            <w:vAlign w:val="bottom"/>
            <w:hideMark/>
          </w:tcPr>
          <w:p w14:paraId="1300B96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2285EED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2D0160E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tfr1</w:t>
            </w:r>
          </w:p>
        </w:tc>
        <w:tc>
          <w:tcPr>
            <w:tcW w:w="2630" w:type="dxa"/>
            <w:tcBorders>
              <w:top w:val="nil"/>
              <w:left w:val="nil"/>
              <w:bottom w:val="single" w:sz="4" w:space="0" w:color="auto"/>
              <w:right w:val="single" w:sz="4" w:space="0" w:color="auto"/>
            </w:tcBorders>
            <w:shd w:val="clear" w:color="auto" w:fill="auto"/>
            <w:noWrap/>
            <w:vAlign w:val="bottom"/>
            <w:hideMark/>
          </w:tcPr>
          <w:p w14:paraId="28EFF2E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121500.00</w:t>
            </w:r>
          </w:p>
        </w:tc>
        <w:tc>
          <w:tcPr>
            <w:tcW w:w="1491" w:type="dxa"/>
            <w:tcBorders>
              <w:top w:val="nil"/>
              <w:left w:val="nil"/>
              <w:bottom w:val="single" w:sz="4" w:space="0" w:color="auto"/>
              <w:right w:val="single" w:sz="4" w:space="0" w:color="auto"/>
            </w:tcBorders>
            <w:shd w:val="clear" w:color="auto" w:fill="auto"/>
            <w:noWrap/>
            <w:vAlign w:val="bottom"/>
            <w:hideMark/>
          </w:tcPr>
          <w:p w14:paraId="1847935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0.6443</w:t>
            </w:r>
          </w:p>
        </w:tc>
        <w:tc>
          <w:tcPr>
            <w:tcW w:w="265" w:type="dxa"/>
            <w:tcBorders>
              <w:top w:val="nil"/>
              <w:left w:val="nil"/>
              <w:bottom w:val="nil"/>
              <w:right w:val="nil"/>
            </w:tcBorders>
            <w:shd w:val="clear" w:color="auto" w:fill="auto"/>
            <w:noWrap/>
            <w:vAlign w:val="bottom"/>
            <w:hideMark/>
          </w:tcPr>
          <w:p w14:paraId="0CEB51C3"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tcPr>
          <w:p w14:paraId="3AAC5652" w14:textId="77777777" w:rsidR="008E7FCE" w:rsidRPr="002F3FE2" w:rsidRDefault="008E7FCE" w:rsidP="009629A6">
            <w:pPr>
              <w:spacing w:after="0" w:line="240" w:lineRule="auto"/>
              <w:jc w:val="center"/>
              <w:rPr>
                <w:rFonts w:eastAsia="Times New Roman"/>
                <w:szCs w:val="24"/>
                <w:lang w:eastAsia="en-ZA"/>
              </w:rPr>
            </w:pPr>
          </w:p>
        </w:tc>
        <w:tc>
          <w:tcPr>
            <w:tcW w:w="1931" w:type="dxa"/>
            <w:tcBorders>
              <w:top w:val="nil"/>
              <w:left w:val="nil"/>
              <w:bottom w:val="single" w:sz="4" w:space="0" w:color="auto"/>
              <w:right w:val="single" w:sz="4" w:space="0" w:color="auto"/>
            </w:tcBorders>
            <w:shd w:val="clear" w:color="auto" w:fill="auto"/>
            <w:noWrap/>
            <w:vAlign w:val="bottom"/>
          </w:tcPr>
          <w:p w14:paraId="00784F46" w14:textId="77777777" w:rsidR="008E7FCE" w:rsidRPr="002F3FE2" w:rsidRDefault="008E7FCE" w:rsidP="009629A6">
            <w:pPr>
              <w:spacing w:after="0" w:line="240" w:lineRule="auto"/>
              <w:jc w:val="center"/>
              <w:rPr>
                <w:rFonts w:eastAsia="Times New Roman"/>
                <w:color w:val="000000"/>
                <w:szCs w:val="24"/>
                <w:lang w:eastAsia="en-ZA"/>
              </w:rPr>
            </w:pPr>
          </w:p>
        </w:tc>
      </w:tr>
    </w:tbl>
    <w:p w14:paraId="0728BA14" w14:textId="05D82B9F" w:rsidR="008E7FCE" w:rsidRDefault="008E7FCE" w:rsidP="008E7FCE">
      <w:pPr>
        <w:rPr>
          <w:rFonts w:eastAsia="Times New Roman"/>
          <w:b/>
          <w:szCs w:val="24"/>
        </w:rPr>
      </w:pPr>
      <w:r w:rsidRPr="004C2A45">
        <w:rPr>
          <w:rFonts w:eastAsia="Times New Roman"/>
          <w:b/>
          <w:szCs w:val="24"/>
        </w:rPr>
        <w:lastRenderedPageBreak/>
        <w:t xml:space="preserve">Table </w:t>
      </w:r>
      <w:r w:rsidR="00622896">
        <w:rPr>
          <w:rFonts w:eastAsia="Times New Roman"/>
          <w:b/>
          <w:szCs w:val="24"/>
        </w:rPr>
        <w:t>6</w:t>
      </w:r>
      <w:r w:rsidRPr="004C2A45">
        <w:rPr>
          <w:rFonts w:eastAsia="Times New Roman"/>
          <w:b/>
          <w:szCs w:val="24"/>
        </w:rPr>
        <w:t>: Sensitivity analysis for parameters of the transitional forest model</w:t>
      </w:r>
    </w:p>
    <w:tbl>
      <w:tblPr>
        <w:tblW w:w="10155" w:type="dxa"/>
        <w:tblLook w:val="04A0" w:firstRow="1" w:lastRow="0" w:firstColumn="1" w:lastColumn="0" w:noHBand="0" w:noVBand="1"/>
      </w:tblPr>
      <w:tblGrid>
        <w:gridCol w:w="1795"/>
        <w:gridCol w:w="2839"/>
        <w:gridCol w:w="1328"/>
        <w:gridCol w:w="276"/>
        <w:gridCol w:w="1908"/>
        <w:gridCol w:w="2009"/>
      </w:tblGrid>
      <w:tr w:rsidR="008E7FCE" w:rsidRPr="002F3FE2" w14:paraId="384EE8E2" w14:textId="77777777" w:rsidTr="009629A6">
        <w:trPr>
          <w:trHeight w:val="315"/>
        </w:trPr>
        <w:tc>
          <w:tcPr>
            <w:tcW w:w="10155" w:type="dxa"/>
            <w:gridSpan w:val="6"/>
            <w:tcBorders>
              <w:top w:val="single" w:sz="4" w:space="0" w:color="auto"/>
              <w:left w:val="nil"/>
              <w:bottom w:val="single" w:sz="4" w:space="0" w:color="auto"/>
              <w:right w:val="nil"/>
            </w:tcBorders>
            <w:shd w:val="clear" w:color="auto" w:fill="auto"/>
            <w:noWrap/>
            <w:vAlign w:val="bottom"/>
            <w:hideMark/>
          </w:tcPr>
          <w:p w14:paraId="40773592"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Transitional forest</w:t>
            </w:r>
          </w:p>
        </w:tc>
      </w:tr>
      <w:tr w:rsidR="008E7FCE" w:rsidRPr="002F3FE2" w14:paraId="12DC0C40" w14:textId="77777777" w:rsidTr="009629A6">
        <w:trPr>
          <w:trHeight w:val="315"/>
        </w:trPr>
        <w:tc>
          <w:tcPr>
            <w:tcW w:w="5962" w:type="dxa"/>
            <w:gridSpan w:val="3"/>
            <w:tcBorders>
              <w:top w:val="nil"/>
              <w:left w:val="single" w:sz="4" w:space="0" w:color="auto"/>
              <w:bottom w:val="single" w:sz="4" w:space="0" w:color="auto"/>
              <w:right w:val="single" w:sz="4" w:space="0" w:color="auto"/>
            </w:tcBorders>
            <w:shd w:val="clear" w:color="auto" w:fill="auto"/>
            <w:noWrap/>
            <w:vAlign w:val="bottom"/>
            <w:hideMark/>
          </w:tcPr>
          <w:p w14:paraId="46490928"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Multiple regression estimation</w:t>
            </w:r>
          </w:p>
        </w:tc>
        <w:tc>
          <w:tcPr>
            <w:tcW w:w="276" w:type="dxa"/>
            <w:tcBorders>
              <w:top w:val="nil"/>
              <w:left w:val="nil"/>
              <w:bottom w:val="nil"/>
              <w:right w:val="single" w:sz="4" w:space="0" w:color="auto"/>
            </w:tcBorders>
            <w:shd w:val="clear" w:color="auto" w:fill="auto"/>
            <w:noWrap/>
            <w:vAlign w:val="bottom"/>
            <w:hideMark/>
          </w:tcPr>
          <w:p w14:paraId="7AF12250"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 </w:t>
            </w:r>
          </w:p>
        </w:tc>
        <w:tc>
          <w:tcPr>
            <w:tcW w:w="391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0FBE4EA7"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Standardised and ordered coefficients</w:t>
            </w:r>
          </w:p>
        </w:tc>
      </w:tr>
      <w:tr w:rsidR="008E7FCE" w:rsidRPr="002F3FE2" w14:paraId="1154F3E8"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1ECEB3D7"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Parameter</w:t>
            </w:r>
          </w:p>
        </w:tc>
        <w:tc>
          <w:tcPr>
            <w:tcW w:w="2839" w:type="dxa"/>
            <w:tcBorders>
              <w:top w:val="nil"/>
              <w:left w:val="nil"/>
              <w:bottom w:val="single" w:sz="4" w:space="0" w:color="auto"/>
              <w:right w:val="single" w:sz="4" w:space="0" w:color="auto"/>
            </w:tcBorders>
            <w:shd w:val="clear" w:color="auto" w:fill="auto"/>
            <w:noWrap/>
            <w:vAlign w:val="bottom"/>
            <w:hideMark/>
          </w:tcPr>
          <w:p w14:paraId="7AD6089B"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Estimate</w:t>
            </w:r>
          </w:p>
        </w:tc>
        <w:tc>
          <w:tcPr>
            <w:tcW w:w="1328" w:type="dxa"/>
            <w:tcBorders>
              <w:top w:val="nil"/>
              <w:left w:val="nil"/>
              <w:bottom w:val="single" w:sz="4" w:space="0" w:color="auto"/>
              <w:right w:val="single" w:sz="4" w:space="0" w:color="auto"/>
            </w:tcBorders>
            <w:shd w:val="clear" w:color="auto" w:fill="auto"/>
            <w:noWrap/>
            <w:vAlign w:val="bottom"/>
            <w:hideMark/>
          </w:tcPr>
          <w:p w14:paraId="001529C8"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P-value</w:t>
            </w:r>
          </w:p>
        </w:tc>
        <w:tc>
          <w:tcPr>
            <w:tcW w:w="276" w:type="dxa"/>
            <w:tcBorders>
              <w:top w:val="nil"/>
              <w:left w:val="nil"/>
              <w:bottom w:val="nil"/>
              <w:right w:val="nil"/>
            </w:tcBorders>
            <w:shd w:val="clear" w:color="auto" w:fill="auto"/>
            <w:noWrap/>
            <w:vAlign w:val="bottom"/>
            <w:hideMark/>
          </w:tcPr>
          <w:p w14:paraId="46F0A0B8" w14:textId="77777777" w:rsidR="008E7FCE" w:rsidRPr="002F3FE2" w:rsidRDefault="008E7FCE" w:rsidP="009629A6">
            <w:pPr>
              <w:spacing w:after="0" w:line="240" w:lineRule="auto"/>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bottom"/>
            <w:hideMark/>
          </w:tcPr>
          <w:p w14:paraId="18527C21"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Parameter</w:t>
            </w:r>
          </w:p>
        </w:tc>
        <w:tc>
          <w:tcPr>
            <w:tcW w:w="2009" w:type="dxa"/>
            <w:tcBorders>
              <w:top w:val="nil"/>
              <w:left w:val="nil"/>
              <w:bottom w:val="single" w:sz="4" w:space="0" w:color="auto"/>
              <w:right w:val="single" w:sz="4" w:space="0" w:color="auto"/>
            </w:tcBorders>
            <w:shd w:val="clear" w:color="auto" w:fill="auto"/>
            <w:noWrap/>
            <w:vAlign w:val="bottom"/>
            <w:hideMark/>
          </w:tcPr>
          <w:p w14:paraId="2F70B177"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coefficient</w:t>
            </w:r>
          </w:p>
        </w:tc>
      </w:tr>
      <w:tr w:rsidR="008E7FCE" w:rsidRPr="002F3FE2" w14:paraId="6989F683"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31DBE5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(Intercept)</w:t>
            </w:r>
          </w:p>
        </w:tc>
        <w:tc>
          <w:tcPr>
            <w:tcW w:w="2839" w:type="dxa"/>
            <w:tcBorders>
              <w:top w:val="nil"/>
              <w:left w:val="nil"/>
              <w:bottom w:val="single" w:sz="4" w:space="0" w:color="auto"/>
              <w:right w:val="single" w:sz="4" w:space="0" w:color="auto"/>
            </w:tcBorders>
            <w:shd w:val="clear" w:color="auto" w:fill="auto"/>
            <w:noWrap/>
            <w:vAlign w:val="bottom"/>
            <w:hideMark/>
          </w:tcPr>
          <w:p w14:paraId="271AAAE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3149000000.00</w:t>
            </w:r>
          </w:p>
        </w:tc>
        <w:tc>
          <w:tcPr>
            <w:tcW w:w="1328" w:type="dxa"/>
            <w:tcBorders>
              <w:top w:val="nil"/>
              <w:left w:val="nil"/>
              <w:bottom w:val="single" w:sz="4" w:space="0" w:color="auto"/>
              <w:right w:val="single" w:sz="4" w:space="0" w:color="auto"/>
            </w:tcBorders>
            <w:shd w:val="clear" w:color="auto" w:fill="auto"/>
            <w:noWrap/>
            <w:vAlign w:val="bottom"/>
            <w:hideMark/>
          </w:tcPr>
          <w:p w14:paraId="451C11D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0.78</w:t>
            </w:r>
          </w:p>
        </w:tc>
        <w:tc>
          <w:tcPr>
            <w:tcW w:w="276" w:type="dxa"/>
            <w:tcBorders>
              <w:top w:val="nil"/>
              <w:left w:val="nil"/>
              <w:bottom w:val="nil"/>
              <w:right w:val="nil"/>
            </w:tcBorders>
            <w:shd w:val="clear" w:color="auto" w:fill="auto"/>
            <w:noWrap/>
            <w:vAlign w:val="bottom"/>
            <w:hideMark/>
          </w:tcPr>
          <w:p w14:paraId="60E5BB2D"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84A8529"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hlsp</w:t>
            </w:r>
          </w:p>
        </w:tc>
        <w:tc>
          <w:tcPr>
            <w:tcW w:w="2009" w:type="dxa"/>
            <w:tcBorders>
              <w:top w:val="nil"/>
              <w:left w:val="nil"/>
              <w:bottom w:val="single" w:sz="4" w:space="0" w:color="auto"/>
              <w:right w:val="single" w:sz="4" w:space="0" w:color="auto"/>
            </w:tcBorders>
            <w:shd w:val="clear" w:color="auto" w:fill="auto"/>
            <w:noWrap/>
            <w:vAlign w:val="bottom"/>
            <w:hideMark/>
          </w:tcPr>
          <w:p w14:paraId="0DE3719B"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10.41</w:t>
            </w:r>
          </w:p>
        </w:tc>
      </w:tr>
      <w:tr w:rsidR="008E7FCE" w:rsidRPr="002F3FE2" w14:paraId="75A84646"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CC2EA0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pc1</w:t>
            </w:r>
          </w:p>
        </w:tc>
        <w:tc>
          <w:tcPr>
            <w:tcW w:w="2839" w:type="dxa"/>
            <w:tcBorders>
              <w:top w:val="nil"/>
              <w:left w:val="nil"/>
              <w:bottom w:val="single" w:sz="4" w:space="0" w:color="auto"/>
              <w:right w:val="single" w:sz="4" w:space="0" w:color="auto"/>
            </w:tcBorders>
            <w:shd w:val="clear" w:color="auto" w:fill="auto"/>
            <w:noWrap/>
            <w:vAlign w:val="bottom"/>
            <w:hideMark/>
          </w:tcPr>
          <w:p w14:paraId="0C9A45E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3223000.00</w:t>
            </w:r>
          </w:p>
        </w:tc>
        <w:tc>
          <w:tcPr>
            <w:tcW w:w="1328" w:type="dxa"/>
            <w:tcBorders>
              <w:top w:val="nil"/>
              <w:left w:val="nil"/>
              <w:bottom w:val="single" w:sz="4" w:space="0" w:color="auto"/>
              <w:right w:val="single" w:sz="4" w:space="0" w:color="auto"/>
            </w:tcBorders>
            <w:shd w:val="clear" w:color="auto" w:fill="auto"/>
            <w:noWrap/>
            <w:vAlign w:val="bottom"/>
            <w:hideMark/>
          </w:tcPr>
          <w:p w14:paraId="15794DF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0.73</w:t>
            </w:r>
          </w:p>
        </w:tc>
        <w:tc>
          <w:tcPr>
            <w:tcW w:w="276" w:type="dxa"/>
            <w:tcBorders>
              <w:top w:val="nil"/>
              <w:left w:val="nil"/>
              <w:bottom w:val="nil"/>
              <w:right w:val="nil"/>
            </w:tcBorders>
            <w:shd w:val="clear" w:color="auto" w:fill="auto"/>
            <w:noWrap/>
            <w:vAlign w:val="bottom"/>
            <w:hideMark/>
          </w:tcPr>
          <w:p w14:paraId="69B0F7C3"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51DD76B"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h</w:t>
            </w:r>
          </w:p>
        </w:tc>
        <w:tc>
          <w:tcPr>
            <w:tcW w:w="2009" w:type="dxa"/>
            <w:tcBorders>
              <w:top w:val="nil"/>
              <w:left w:val="nil"/>
              <w:bottom w:val="single" w:sz="4" w:space="0" w:color="auto"/>
              <w:right w:val="single" w:sz="4" w:space="0" w:color="auto"/>
            </w:tcBorders>
            <w:shd w:val="clear" w:color="auto" w:fill="auto"/>
            <w:noWrap/>
            <w:vAlign w:val="bottom"/>
            <w:hideMark/>
          </w:tcPr>
          <w:p w14:paraId="24DE0D13"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7.49</w:t>
            </w:r>
          </w:p>
        </w:tc>
      </w:tr>
      <w:tr w:rsidR="008E7FCE" w:rsidRPr="002F3FE2" w14:paraId="2B75D825"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39CEA5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pa1</w:t>
            </w:r>
          </w:p>
        </w:tc>
        <w:tc>
          <w:tcPr>
            <w:tcW w:w="2839" w:type="dxa"/>
            <w:tcBorders>
              <w:top w:val="nil"/>
              <w:left w:val="nil"/>
              <w:bottom w:val="single" w:sz="4" w:space="0" w:color="auto"/>
              <w:right w:val="single" w:sz="4" w:space="0" w:color="auto"/>
            </w:tcBorders>
            <w:shd w:val="clear" w:color="auto" w:fill="auto"/>
            <w:noWrap/>
            <w:vAlign w:val="bottom"/>
            <w:hideMark/>
          </w:tcPr>
          <w:p w14:paraId="45D799D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50440000.00</w:t>
            </w:r>
          </w:p>
        </w:tc>
        <w:tc>
          <w:tcPr>
            <w:tcW w:w="1328" w:type="dxa"/>
            <w:tcBorders>
              <w:top w:val="nil"/>
              <w:left w:val="nil"/>
              <w:bottom w:val="single" w:sz="4" w:space="0" w:color="auto"/>
              <w:right w:val="single" w:sz="4" w:space="0" w:color="auto"/>
            </w:tcBorders>
            <w:shd w:val="clear" w:color="auto" w:fill="auto"/>
            <w:noWrap/>
            <w:vAlign w:val="bottom"/>
            <w:hideMark/>
          </w:tcPr>
          <w:p w14:paraId="7B36E0A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0.17</w:t>
            </w:r>
          </w:p>
        </w:tc>
        <w:tc>
          <w:tcPr>
            <w:tcW w:w="276" w:type="dxa"/>
            <w:tcBorders>
              <w:top w:val="nil"/>
              <w:left w:val="nil"/>
              <w:bottom w:val="nil"/>
              <w:right w:val="nil"/>
            </w:tcBorders>
            <w:shd w:val="clear" w:color="auto" w:fill="auto"/>
            <w:noWrap/>
            <w:vAlign w:val="bottom"/>
            <w:hideMark/>
          </w:tcPr>
          <w:p w14:paraId="0355E61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1692F2B"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v</w:t>
            </w:r>
          </w:p>
        </w:tc>
        <w:tc>
          <w:tcPr>
            <w:tcW w:w="2009" w:type="dxa"/>
            <w:tcBorders>
              <w:top w:val="nil"/>
              <w:left w:val="nil"/>
              <w:bottom w:val="single" w:sz="4" w:space="0" w:color="auto"/>
              <w:right w:val="single" w:sz="4" w:space="0" w:color="auto"/>
            </w:tcBorders>
            <w:shd w:val="clear" w:color="auto" w:fill="auto"/>
            <w:noWrap/>
            <w:vAlign w:val="bottom"/>
            <w:hideMark/>
          </w:tcPr>
          <w:p w14:paraId="0B432F2F"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3.36</w:t>
            </w:r>
          </w:p>
        </w:tc>
      </w:tr>
      <w:tr w:rsidR="008E7FCE" w:rsidRPr="002F3FE2" w14:paraId="6F2E11F2"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2F1D48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pc2</w:t>
            </w:r>
          </w:p>
        </w:tc>
        <w:tc>
          <w:tcPr>
            <w:tcW w:w="2839" w:type="dxa"/>
            <w:tcBorders>
              <w:top w:val="nil"/>
              <w:left w:val="nil"/>
              <w:bottom w:val="single" w:sz="4" w:space="0" w:color="auto"/>
              <w:right w:val="single" w:sz="4" w:space="0" w:color="auto"/>
            </w:tcBorders>
            <w:shd w:val="clear" w:color="auto" w:fill="auto"/>
            <w:noWrap/>
            <w:vAlign w:val="bottom"/>
            <w:hideMark/>
          </w:tcPr>
          <w:p w14:paraId="727293F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314600000.00</w:t>
            </w:r>
          </w:p>
        </w:tc>
        <w:tc>
          <w:tcPr>
            <w:tcW w:w="1328" w:type="dxa"/>
            <w:tcBorders>
              <w:top w:val="nil"/>
              <w:left w:val="nil"/>
              <w:bottom w:val="single" w:sz="4" w:space="0" w:color="auto"/>
              <w:right w:val="single" w:sz="4" w:space="0" w:color="auto"/>
            </w:tcBorders>
            <w:shd w:val="clear" w:color="auto" w:fill="auto"/>
            <w:noWrap/>
            <w:vAlign w:val="bottom"/>
            <w:hideMark/>
          </w:tcPr>
          <w:p w14:paraId="30A30D3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7A3E2648"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3D4F804F"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pro_hm</w:t>
            </w:r>
          </w:p>
        </w:tc>
        <w:tc>
          <w:tcPr>
            <w:tcW w:w="2009" w:type="dxa"/>
            <w:tcBorders>
              <w:top w:val="nil"/>
              <w:left w:val="nil"/>
              <w:bottom w:val="single" w:sz="4" w:space="0" w:color="auto"/>
              <w:right w:val="single" w:sz="4" w:space="0" w:color="auto"/>
            </w:tcBorders>
            <w:shd w:val="clear" w:color="auto" w:fill="auto"/>
            <w:noWrap/>
            <w:vAlign w:val="bottom"/>
            <w:hideMark/>
          </w:tcPr>
          <w:p w14:paraId="2DFA1CC2"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0.58</w:t>
            </w:r>
          </w:p>
        </w:tc>
      </w:tr>
      <w:tr w:rsidR="008E7FCE" w:rsidRPr="002F3FE2" w14:paraId="2FF0C33C"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573581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pa2</w:t>
            </w:r>
          </w:p>
        </w:tc>
        <w:tc>
          <w:tcPr>
            <w:tcW w:w="2839" w:type="dxa"/>
            <w:tcBorders>
              <w:top w:val="nil"/>
              <w:left w:val="nil"/>
              <w:bottom w:val="single" w:sz="4" w:space="0" w:color="auto"/>
              <w:right w:val="single" w:sz="4" w:space="0" w:color="auto"/>
            </w:tcBorders>
            <w:shd w:val="clear" w:color="auto" w:fill="auto"/>
            <w:noWrap/>
            <w:vAlign w:val="bottom"/>
            <w:hideMark/>
          </w:tcPr>
          <w:p w14:paraId="450748D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20240000.00</w:t>
            </w:r>
          </w:p>
        </w:tc>
        <w:tc>
          <w:tcPr>
            <w:tcW w:w="1328" w:type="dxa"/>
            <w:tcBorders>
              <w:top w:val="nil"/>
              <w:left w:val="nil"/>
              <w:bottom w:val="single" w:sz="4" w:space="0" w:color="auto"/>
              <w:right w:val="single" w:sz="4" w:space="0" w:color="auto"/>
            </w:tcBorders>
            <w:shd w:val="clear" w:color="auto" w:fill="auto"/>
            <w:noWrap/>
            <w:vAlign w:val="bottom"/>
            <w:hideMark/>
          </w:tcPr>
          <w:p w14:paraId="43823BD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0.03</w:t>
            </w:r>
          </w:p>
        </w:tc>
        <w:tc>
          <w:tcPr>
            <w:tcW w:w="276" w:type="dxa"/>
            <w:tcBorders>
              <w:top w:val="nil"/>
              <w:left w:val="nil"/>
              <w:bottom w:val="nil"/>
              <w:right w:val="nil"/>
            </w:tcBorders>
            <w:shd w:val="clear" w:color="auto" w:fill="auto"/>
            <w:noWrap/>
            <w:vAlign w:val="bottom"/>
            <w:hideMark/>
          </w:tcPr>
          <w:p w14:paraId="763DA75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364A0D26"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rho1</w:t>
            </w:r>
          </w:p>
        </w:tc>
        <w:tc>
          <w:tcPr>
            <w:tcW w:w="2009" w:type="dxa"/>
            <w:tcBorders>
              <w:top w:val="nil"/>
              <w:left w:val="nil"/>
              <w:bottom w:val="single" w:sz="4" w:space="0" w:color="auto"/>
              <w:right w:val="single" w:sz="4" w:space="0" w:color="auto"/>
            </w:tcBorders>
            <w:shd w:val="clear" w:color="auto" w:fill="auto"/>
            <w:noWrap/>
            <w:vAlign w:val="bottom"/>
            <w:hideMark/>
          </w:tcPr>
          <w:p w14:paraId="51E7428C"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0.37</w:t>
            </w:r>
          </w:p>
        </w:tc>
      </w:tr>
      <w:tr w:rsidR="008E7FCE" w:rsidRPr="002F3FE2" w14:paraId="409C05D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427EAE7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ppc</w:t>
            </w:r>
          </w:p>
        </w:tc>
        <w:tc>
          <w:tcPr>
            <w:tcW w:w="2839" w:type="dxa"/>
            <w:tcBorders>
              <w:top w:val="nil"/>
              <w:left w:val="nil"/>
              <w:bottom w:val="single" w:sz="4" w:space="0" w:color="auto"/>
              <w:right w:val="single" w:sz="4" w:space="0" w:color="auto"/>
            </w:tcBorders>
            <w:shd w:val="clear" w:color="auto" w:fill="auto"/>
            <w:noWrap/>
            <w:vAlign w:val="bottom"/>
            <w:hideMark/>
          </w:tcPr>
          <w:p w14:paraId="10F8B52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-11000000.00</w:t>
            </w:r>
          </w:p>
        </w:tc>
        <w:tc>
          <w:tcPr>
            <w:tcW w:w="1328" w:type="dxa"/>
            <w:tcBorders>
              <w:top w:val="nil"/>
              <w:left w:val="nil"/>
              <w:bottom w:val="single" w:sz="4" w:space="0" w:color="auto"/>
              <w:right w:val="single" w:sz="4" w:space="0" w:color="auto"/>
            </w:tcBorders>
            <w:shd w:val="clear" w:color="auto" w:fill="auto"/>
            <w:noWrap/>
            <w:vAlign w:val="bottom"/>
            <w:hideMark/>
          </w:tcPr>
          <w:p w14:paraId="304A2E1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0.55</w:t>
            </w:r>
          </w:p>
        </w:tc>
        <w:tc>
          <w:tcPr>
            <w:tcW w:w="276" w:type="dxa"/>
            <w:tcBorders>
              <w:top w:val="nil"/>
              <w:left w:val="nil"/>
              <w:bottom w:val="nil"/>
              <w:right w:val="nil"/>
            </w:tcBorders>
            <w:shd w:val="clear" w:color="auto" w:fill="auto"/>
            <w:noWrap/>
            <w:vAlign w:val="bottom"/>
            <w:hideMark/>
          </w:tcPr>
          <w:p w14:paraId="28D65C61"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2A2C80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pc2</w:t>
            </w:r>
          </w:p>
        </w:tc>
        <w:tc>
          <w:tcPr>
            <w:tcW w:w="2009" w:type="dxa"/>
            <w:tcBorders>
              <w:top w:val="nil"/>
              <w:left w:val="nil"/>
              <w:bottom w:val="single" w:sz="4" w:space="0" w:color="auto"/>
              <w:right w:val="single" w:sz="4" w:space="0" w:color="auto"/>
            </w:tcBorders>
            <w:shd w:val="clear" w:color="auto" w:fill="auto"/>
            <w:noWrap/>
            <w:vAlign w:val="bottom"/>
            <w:hideMark/>
          </w:tcPr>
          <w:p w14:paraId="79E0D01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0.33</w:t>
            </w:r>
          </w:p>
        </w:tc>
      </w:tr>
      <w:tr w:rsidR="008E7FCE" w:rsidRPr="002F3FE2" w14:paraId="5BCCFCE8"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3C99740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ppa</w:t>
            </w:r>
          </w:p>
        </w:tc>
        <w:tc>
          <w:tcPr>
            <w:tcW w:w="2839" w:type="dxa"/>
            <w:tcBorders>
              <w:top w:val="nil"/>
              <w:left w:val="nil"/>
              <w:bottom w:val="single" w:sz="4" w:space="0" w:color="auto"/>
              <w:right w:val="single" w:sz="4" w:space="0" w:color="auto"/>
            </w:tcBorders>
            <w:shd w:val="clear" w:color="auto" w:fill="auto"/>
            <w:noWrap/>
            <w:vAlign w:val="bottom"/>
            <w:hideMark/>
          </w:tcPr>
          <w:p w14:paraId="6604353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37490000.00</w:t>
            </w:r>
          </w:p>
        </w:tc>
        <w:tc>
          <w:tcPr>
            <w:tcW w:w="1328" w:type="dxa"/>
            <w:tcBorders>
              <w:top w:val="nil"/>
              <w:left w:val="nil"/>
              <w:bottom w:val="single" w:sz="4" w:space="0" w:color="auto"/>
              <w:right w:val="single" w:sz="4" w:space="0" w:color="auto"/>
            </w:tcBorders>
            <w:shd w:val="clear" w:color="auto" w:fill="auto"/>
            <w:noWrap/>
            <w:vAlign w:val="bottom"/>
            <w:hideMark/>
          </w:tcPr>
          <w:p w14:paraId="4A7A333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0.31</w:t>
            </w:r>
          </w:p>
        </w:tc>
        <w:tc>
          <w:tcPr>
            <w:tcW w:w="276" w:type="dxa"/>
            <w:tcBorders>
              <w:top w:val="nil"/>
              <w:left w:val="nil"/>
              <w:bottom w:val="nil"/>
              <w:right w:val="nil"/>
            </w:tcBorders>
            <w:shd w:val="clear" w:color="auto" w:fill="auto"/>
            <w:noWrap/>
            <w:vAlign w:val="bottom"/>
            <w:hideMark/>
          </w:tcPr>
          <w:p w14:paraId="4D0B42E2"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411AEA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m2</w:t>
            </w:r>
          </w:p>
        </w:tc>
        <w:tc>
          <w:tcPr>
            <w:tcW w:w="2009" w:type="dxa"/>
            <w:tcBorders>
              <w:top w:val="nil"/>
              <w:left w:val="nil"/>
              <w:bottom w:val="single" w:sz="4" w:space="0" w:color="auto"/>
              <w:right w:val="single" w:sz="4" w:space="0" w:color="auto"/>
            </w:tcBorders>
            <w:shd w:val="clear" w:color="auto" w:fill="auto"/>
            <w:noWrap/>
            <w:vAlign w:val="bottom"/>
            <w:hideMark/>
          </w:tcPr>
          <w:p w14:paraId="7565C1E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0.10</w:t>
            </w:r>
          </w:p>
        </w:tc>
      </w:tr>
      <w:tr w:rsidR="008E7FCE" w:rsidRPr="002F3FE2" w14:paraId="7264A4AE"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20F347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x</w:t>
            </w:r>
          </w:p>
        </w:tc>
        <w:tc>
          <w:tcPr>
            <w:tcW w:w="2839" w:type="dxa"/>
            <w:tcBorders>
              <w:top w:val="nil"/>
              <w:left w:val="nil"/>
              <w:bottom w:val="single" w:sz="4" w:space="0" w:color="auto"/>
              <w:right w:val="single" w:sz="4" w:space="0" w:color="auto"/>
            </w:tcBorders>
            <w:shd w:val="clear" w:color="auto" w:fill="auto"/>
            <w:noWrap/>
            <w:vAlign w:val="bottom"/>
            <w:hideMark/>
          </w:tcPr>
          <w:p w14:paraId="7C5C671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18790000000.00</w:t>
            </w:r>
          </w:p>
        </w:tc>
        <w:tc>
          <w:tcPr>
            <w:tcW w:w="1328" w:type="dxa"/>
            <w:tcBorders>
              <w:top w:val="nil"/>
              <w:left w:val="nil"/>
              <w:bottom w:val="single" w:sz="4" w:space="0" w:color="auto"/>
              <w:right w:val="single" w:sz="4" w:space="0" w:color="auto"/>
            </w:tcBorders>
            <w:shd w:val="clear" w:color="auto" w:fill="auto"/>
            <w:noWrap/>
            <w:vAlign w:val="bottom"/>
            <w:hideMark/>
          </w:tcPr>
          <w:p w14:paraId="7FEB971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c>
          <w:tcPr>
            <w:tcW w:w="276" w:type="dxa"/>
            <w:tcBorders>
              <w:top w:val="nil"/>
              <w:left w:val="nil"/>
              <w:bottom w:val="nil"/>
              <w:right w:val="nil"/>
            </w:tcBorders>
            <w:shd w:val="clear" w:color="auto" w:fill="auto"/>
            <w:noWrap/>
            <w:vAlign w:val="bottom"/>
            <w:hideMark/>
          </w:tcPr>
          <w:p w14:paraId="0C118244"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6BF23E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ac1</w:t>
            </w:r>
          </w:p>
        </w:tc>
        <w:tc>
          <w:tcPr>
            <w:tcW w:w="2009" w:type="dxa"/>
            <w:tcBorders>
              <w:top w:val="nil"/>
              <w:left w:val="nil"/>
              <w:bottom w:val="single" w:sz="4" w:space="0" w:color="auto"/>
              <w:right w:val="single" w:sz="4" w:space="0" w:color="auto"/>
            </w:tcBorders>
            <w:shd w:val="clear" w:color="auto" w:fill="auto"/>
            <w:noWrap/>
            <w:vAlign w:val="bottom"/>
            <w:hideMark/>
          </w:tcPr>
          <w:p w14:paraId="3DD0128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0.09</w:t>
            </w:r>
          </w:p>
        </w:tc>
      </w:tr>
      <w:tr w:rsidR="008E7FCE" w:rsidRPr="002F3FE2" w14:paraId="035C7F2A"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1A0E91E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Kv</w:t>
            </w:r>
          </w:p>
        </w:tc>
        <w:tc>
          <w:tcPr>
            <w:tcW w:w="2839" w:type="dxa"/>
            <w:tcBorders>
              <w:top w:val="nil"/>
              <w:left w:val="nil"/>
              <w:bottom w:val="single" w:sz="4" w:space="0" w:color="auto"/>
              <w:right w:val="single" w:sz="4" w:space="0" w:color="auto"/>
            </w:tcBorders>
            <w:shd w:val="clear" w:color="auto" w:fill="auto"/>
            <w:noWrap/>
            <w:vAlign w:val="bottom"/>
            <w:hideMark/>
          </w:tcPr>
          <w:p w14:paraId="3C00644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-73.97</w:t>
            </w:r>
          </w:p>
        </w:tc>
        <w:tc>
          <w:tcPr>
            <w:tcW w:w="1328" w:type="dxa"/>
            <w:tcBorders>
              <w:top w:val="nil"/>
              <w:left w:val="nil"/>
              <w:bottom w:val="single" w:sz="4" w:space="0" w:color="auto"/>
              <w:right w:val="single" w:sz="4" w:space="0" w:color="auto"/>
            </w:tcBorders>
            <w:shd w:val="clear" w:color="auto" w:fill="auto"/>
            <w:noWrap/>
            <w:vAlign w:val="bottom"/>
            <w:hideMark/>
          </w:tcPr>
          <w:p w14:paraId="76148A7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0.78</w:t>
            </w:r>
          </w:p>
        </w:tc>
        <w:tc>
          <w:tcPr>
            <w:tcW w:w="276" w:type="dxa"/>
            <w:tcBorders>
              <w:top w:val="nil"/>
              <w:left w:val="nil"/>
              <w:bottom w:val="nil"/>
              <w:right w:val="nil"/>
            </w:tcBorders>
            <w:shd w:val="clear" w:color="auto" w:fill="auto"/>
            <w:noWrap/>
            <w:vAlign w:val="bottom"/>
            <w:hideMark/>
          </w:tcPr>
          <w:p w14:paraId="0D11667B"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F952F6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pm</w:t>
            </w:r>
          </w:p>
        </w:tc>
        <w:tc>
          <w:tcPr>
            <w:tcW w:w="2009" w:type="dxa"/>
            <w:tcBorders>
              <w:top w:val="nil"/>
              <w:left w:val="nil"/>
              <w:bottom w:val="single" w:sz="4" w:space="0" w:color="auto"/>
              <w:right w:val="single" w:sz="4" w:space="0" w:color="auto"/>
            </w:tcBorders>
            <w:shd w:val="clear" w:color="auto" w:fill="auto"/>
            <w:noWrap/>
            <w:vAlign w:val="bottom"/>
            <w:hideMark/>
          </w:tcPr>
          <w:p w14:paraId="4948A7D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0.07</w:t>
            </w:r>
          </w:p>
        </w:tc>
      </w:tr>
      <w:tr w:rsidR="008E7FCE" w:rsidRPr="002F3FE2" w14:paraId="297C33F1"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E87126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m1</w:t>
            </w:r>
          </w:p>
        </w:tc>
        <w:tc>
          <w:tcPr>
            <w:tcW w:w="2839" w:type="dxa"/>
            <w:tcBorders>
              <w:top w:val="nil"/>
              <w:left w:val="nil"/>
              <w:bottom w:val="single" w:sz="4" w:space="0" w:color="auto"/>
              <w:right w:val="single" w:sz="4" w:space="0" w:color="auto"/>
            </w:tcBorders>
            <w:shd w:val="clear" w:color="auto" w:fill="auto"/>
            <w:noWrap/>
            <w:vAlign w:val="bottom"/>
            <w:hideMark/>
          </w:tcPr>
          <w:p w14:paraId="6ED8B57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112700000.00</w:t>
            </w:r>
          </w:p>
        </w:tc>
        <w:tc>
          <w:tcPr>
            <w:tcW w:w="1328" w:type="dxa"/>
            <w:tcBorders>
              <w:top w:val="nil"/>
              <w:left w:val="nil"/>
              <w:bottom w:val="single" w:sz="4" w:space="0" w:color="auto"/>
              <w:right w:val="single" w:sz="4" w:space="0" w:color="auto"/>
            </w:tcBorders>
            <w:shd w:val="clear" w:color="auto" w:fill="auto"/>
            <w:noWrap/>
            <w:vAlign w:val="bottom"/>
            <w:hideMark/>
          </w:tcPr>
          <w:p w14:paraId="0AB709E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2B038AB5"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1ED068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m1</w:t>
            </w:r>
          </w:p>
        </w:tc>
        <w:tc>
          <w:tcPr>
            <w:tcW w:w="2009" w:type="dxa"/>
            <w:tcBorders>
              <w:top w:val="nil"/>
              <w:left w:val="nil"/>
              <w:bottom w:val="single" w:sz="4" w:space="0" w:color="auto"/>
              <w:right w:val="single" w:sz="4" w:space="0" w:color="auto"/>
            </w:tcBorders>
            <w:shd w:val="clear" w:color="auto" w:fill="auto"/>
            <w:noWrap/>
            <w:vAlign w:val="bottom"/>
            <w:hideMark/>
          </w:tcPr>
          <w:p w14:paraId="3D20AC3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0.05</w:t>
            </w:r>
          </w:p>
        </w:tc>
      </w:tr>
      <w:tr w:rsidR="008E7FCE" w:rsidRPr="002F3FE2" w14:paraId="048B9C4F"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1CE17C9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m2</w:t>
            </w:r>
          </w:p>
        </w:tc>
        <w:tc>
          <w:tcPr>
            <w:tcW w:w="2839" w:type="dxa"/>
            <w:tcBorders>
              <w:top w:val="nil"/>
              <w:left w:val="nil"/>
              <w:bottom w:val="single" w:sz="4" w:space="0" w:color="auto"/>
              <w:right w:val="single" w:sz="4" w:space="0" w:color="auto"/>
            </w:tcBorders>
            <w:shd w:val="clear" w:color="auto" w:fill="auto"/>
            <w:noWrap/>
            <w:vAlign w:val="bottom"/>
            <w:hideMark/>
          </w:tcPr>
          <w:p w14:paraId="1175971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247600000.00</w:t>
            </w:r>
          </w:p>
        </w:tc>
        <w:tc>
          <w:tcPr>
            <w:tcW w:w="1328" w:type="dxa"/>
            <w:tcBorders>
              <w:top w:val="nil"/>
              <w:left w:val="nil"/>
              <w:bottom w:val="single" w:sz="4" w:space="0" w:color="auto"/>
              <w:right w:val="single" w:sz="4" w:space="0" w:color="auto"/>
            </w:tcBorders>
            <w:shd w:val="clear" w:color="auto" w:fill="auto"/>
            <w:noWrap/>
            <w:vAlign w:val="bottom"/>
            <w:hideMark/>
          </w:tcPr>
          <w:p w14:paraId="6732B00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1E974EB0"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2DB2897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ah1</w:t>
            </w:r>
          </w:p>
        </w:tc>
        <w:tc>
          <w:tcPr>
            <w:tcW w:w="2009" w:type="dxa"/>
            <w:tcBorders>
              <w:top w:val="nil"/>
              <w:left w:val="nil"/>
              <w:bottom w:val="single" w:sz="4" w:space="0" w:color="auto"/>
              <w:right w:val="single" w:sz="4" w:space="0" w:color="auto"/>
            </w:tcBorders>
            <w:shd w:val="clear" w:color="auto" w:fill="auto"/>
            <w:noWrap/>
            <w:vAlign w:val="bottom"/>
            <w:hideMark/>
          </w:tcPr>
          <w:p w14:paraId="355121D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r>
      <w:tr w:rsidR="008E7FCE" w:rsidRPr="002F3FE2" w14:paraId="17FB7048"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AF8317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w:t>
            </w:r>
          </w:p>
        </w:tc>
        <w:tc>
          <w:tcPr>
            <w:tcW w:w="2839" w:type="dxa"/>
            <w:tcBorders>
              <w:top w:val="nil"/>
              <w:left w:val="nil"/>
              <w:bottom w:val="single" w:sz="4" w:space="0" w:color="auto"/>
              <w:right w:val="single" w:sz="4" w:space="0" w:color="auto"/>
            </w:tcBorders>
            <w:shd w:val="clear" w:color="auto" w:fill="auto"/>
            <w:noWrap/>
            <w:vAlign w:val="bottom"/>
            <w:hideMark/>
          </w:tcPr>
          <w:p w14:paraId="1E8E162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-66120000.00</w:t>
            </w:r>
          </w:p>
        </w:tc>
        <w:tc>
          <w:tcPr>
            <w:tcW w:w="1328" w:type="dxa"/>
            <w:tcBorders>
              <w:top w:val="nil"/>
              <w:left w:val="nil"/>
              <w:bottom w:val="single" w:sz="4" w:space="0" w:color="auto"/>
              <w:right w:val="single" w:sz="4" w:space="0" w:color="auto"/>
            </w:tcBorders>
            <w:shd w:val="clear" w:color="auto" w:fill="auto"/>
            <w:noWrap/>
            <w:vAlign w:val="bottom"/>
            <w:hideMark/>
          </w:tcPr>
          <w:p w14:paraId="4BF5402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1AAB9594"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3960E1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tfr1</w:t>
            </w:r>
          </w:p>
        </w:tc>
        <w:tc>
          <w:tcPr>
            <w:tcW w:w="2009" w:type="dxa"/>
            <w:tcBorders>
              <w:top w:val="nil"/>
              <w:left w:val="nil"/>
              <w:bottom w:val="single" w:sz="4" w:space="0" w:color="auto"/>
              <w:right w:val="single" w:sz="4" w:space="0" w:color="auto"/>
            </w:tcBorders>
            <w:shd w:val="clear" w:color="auto" w:fill="auto"/>
            <w:noWrap/>
            <w:vAlign w:val="bottom"/>
            <w:hideMark/>
          </w:tcPr>
          <w:p w14:paraId="6EA701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632BEA4F"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40F36E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pst</w:t>
            </w:r>
          </w:p>
        </w:tc>
        <w:tc>
          <w:tcPr>
            <w:tcW w:w="2839" w:type="dxa"/>
            <w:tcBorders>
              <w:top w:val="nil"/>
              <w:left w:val="nil"/>
              <w:bottom w:val="single" w:sz="4" w:space="0" w:color="auto"/>
              <w:right w:val="single" w:sz="4" w:space="0" w:color="auto"/>
            </w:tcBorders>
            <w:shd w:val="clear" w:color="auto" w:fill="auto"/>
            <w:noWrap/>
            <w:vAlign w:val="bottom"/>
            <w:hideMark/>
          </w:tcPr>
          <w:p w14:paraId="76BAE17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-31200000.00</w:t>
            </w:r>
          </w:p>
        </w:tc>
        <w:tc>
          <w:tcPr>
            <w:tcW w:w="1328" w:type="dxa"/>
            <w:tcBorders>
              <w:top w:val="nil"/>
              <w:left w:val="nil"/>
              <w:bottom w:val="single" w:sz="4" w:space="0" w:color="auto"/>
              <w:right w:val="single" w:sz="4" w:space="0" w:color="auto"/>
            </w:tcBorders>
            <w:shd w:val="clear" w:color="auto" w:fill="auto"/>
            <w:noWrap/>
            <w:vAlign w:val="bottom"/>
            <w:hideMark/>
          </w:tcPr>
          <w:p w14:paraId="7A69458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339C88FC"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73FEFA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pa2</w:t>
            </w:r>
          </w:p>
        </w:tc>
        <w:tc>
          <w:tcPr>
            <w:tcW w:w="2009" w:type="dxa"/>
            <w:tcBorders>
              <w:top w:val="nil"/>
              <w:left w:val="nil"/>
              <w:bottom w:val="single" w:sz="4" w:space="0" w:color="auto"/>
              <w:right w:val="single" w:sz="4" w:space="0" w:color="auto"/>
            </w:tcBorders>
            <w:shd w:val="clear" w:color="auto" w:fill="auto"/>
            <w:noWrap/>
            <w:vAlign w:val="bottom"/>
            <w:hideMark/>
          </w:tcPr>
          <w:p w14:paraId="0AD9DE2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5C4E2A6D"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6C8D3B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pn</w:t>
            </w:r>
          </w:p>
        </w:tc>
        <w:tc>
          <w:tcPr>
            <w:tcW w:w="2839" w:type="dxa"/>
            <w:tcBorders>
              <w:top w:val="nil"/>
              <w:left w:val="nil"/>
              <w:bottom w:val="single" w:sz="4" w:space="0" w:color="auto"/>
              <w:right w:val="single" w:sz="4" w:space="0" w:color="auto"/>
            </w:tcBorders>
            <w:shd w:val="clear" w:color="auto" w:fill="auto"/>
            <w:noWrap/>
            <w:vAlign w:val="bottom"/>
            <w:hideMark/>
          </w:tcPr>
          <w:p w14:paraId="016F908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136100.00</w:t>
            </w:r>
          </w:p>
        </w:tc>
        <w:tc>
          <w:tcPr>
            <w:tcW w:w="1328" w:type="dxa"/>
            <w:tcBorders>
              <w:top w:val="nil"/>
              <w:left w:val="nil"/>
              <w:bottom w:val="single" w:sz="4" w:space="0" w:color="auto"/>
              <w:right w:val="single" w:sz="4" w:space="0" w:color="auto"/>
            </w:tcBorders>
            <w:shd w:val="clear" w:color="auto" w:fill="auto"/>
            <w:noWrap/>
            <w:vAlign w:val="bottom"/>
            <w:hideMark/>
          </w:tcPr>
          <w:p w14:paraId="3007DAC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0.94</w:t>
            </w:r>
          </w:p>
        </w:tc>
        <w:tc>
          <w:tcPr>
            <w:tcW w:w="276" w:type="dxa"/>
            <w:tcBorders>
              <w:top w:val="nil"/>
              <w:left w:val="nil"/>
              <w:bottom w:val="nil"/>
              <w:right w:val="nil"/>
            </w:tcBorders>
            <w:shd w:val="clear" w:color="auto" w:fill="auto"/>
            <w:noWrap/>
            <w:vAlign w:val="bottom"/>
            <w:hideMark/>
          </w:tcPr>
          <w:p w14:paraId="3861521F"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898535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x</w:t>
            </w:r>
          </w:p>
        </w:tc>
        <w:tc>
          <w:tcPr>
            <w:tcW w:w="2009" w:type="dxa"/>
            <w:tcBorders>
              <w:top w:val="nil"/>
              <w:left w:val="nil"/>
              <w:bottom w:val="single" w:sz="4" w:space="0" w:color="auto"/>
              <w:right w:val="single" w:sz="4" w:space="0" w:color="auto"/>
            </w:tcBorders>
            <w:shd w:val="clear" w:color="auto" w:fill="auto"/>
            <w:noWrap/>
            <w:vAlign w:val="bottom"/>
            <w:hideMark/>
          </w:tcPr>
          <w:p w14:paraId="56C19A6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60094A1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3DBE87D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pm</w:t>
            </w:r>
          </w:p>
        </w:tc>
        <w:tc>
          <w:tcPr>
            <w:tcW w:w="2839" w:type="dxa"/>
            <w:tcBorders>
              <w:top w:val="nil"/>
              <w:left w:val="nil"/>
              <w:bottom w:val="single" w:sz="4" w:space="0" w:color="auto"/>
              <w:right w:val="single" w:sz="4" w:space="0" w:color="auto"/>
            </w:tcBorders>
            <w:shd w:val="clear" w:color="auto" w:fill="auto"/>
            <w:noWrap/>
            <w:vAlign w:val="bottom"/>
            <w:hideMark/>
          </w:tcPr>
          <w:p w14:paraId="516E20B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-3759000.00</w:t>
            </w:r>
          </w:p>
        </w:tc>
        <w:tc>
          <w:tcPr>
            <w:tcW w:w="1328" w:type="dxa"/>
            <w:tcBorders>
              <w:top w:val="nil"/>
              <w:left w:val="nil"/>
              <w:bottom w:val="single" w:sz="4" w:space="0" w:color="auto"/>
              <w:right w:val="single" w:sz="4" w:space="0" w:color="auto"/>
            </w:tcBorders>
            <w:shd w:val="clear" w:color="auto" w:fill="auto"/>
            <w:noWrap/>
            <w:vAlign w:val="bottom"/>
            <w:hideMark/>
          </w:tcPr>
          <w:p w14:paraId="08E8FB2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c>
          <w:tcPr>
            <w:tcW w:w="276" w:type="dxa"/>
            <w:tcBorders>
              <w:top w:val="nil"/>
              <w:left w:val="nil"/>
              <w:bottom w:val="nil"/>
              <w:right w:val="nil"/>
            </w:tcBorders>
            <w:shd w:val="clear" w:color="auto" w:fill="auto"/>
            <w:noWrap/>
            <w:vAlign w:val="bottom"/>
            <w:hideMark/>
          </w:tcPr>
          <w:p w14:paraId="6CF69F6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C4E867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pn</w:t>
            </w:r>
          </w:p>
        </w:tc>
        <w:tc>
          <w:tcPr>
            <w:tcW w:w="2009" w:type="dxa"/>
            <w:tcBorders>
              <w:top w:val="nil"/>
              <w:left w:val="nil"/>
              <w:bottom w:val="single" w:sz="4" w:space="0" w:color="auto"/>
              <w:right w:val="single" w:sz="4" w:space="0" w:color="auto"/>
            </w:tcBorders>
            <w:shd w:val="clear" w:color="auto" w:fill="auto"/>
            <w:noWrap/>
            <w:vAlign w:val="bottom"/>
            <w:hideMark/>
          </w:tcPr>
          <w:p w14:paraId="7B895ED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5162D867"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tcPr>
          <w:p w14:paraId="5F6CD78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ss</w:t>
            </w:r>
          </w:p>
        </w:tc>
        <w:tc>
          <w:tcPr>
            <w:tcW w:w="2839" w:type="dxa"/>
            <w:tcBorders>
              <w:top w:val="nil"/>
              <w:left w:val="nil"/>
              <w:bottom w:val="single" w:sz="4" w:space="0" w:color="auto"/>
              <w:right w:val="single" w:sz="4" w:space="0" w:color="auto"/>
            </w:tcBorders>
            <w:shd w:val="clear" w:color="auto" w:fill="auto"/>
            <w:noWrap/>
            <w:vAlign w:val="bottom"/>
          </w:tcPr>
          <w:p w14:paraId="6D95618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-45790.00</w:t>
            </w:r>
          </w:p>
        </w:tc>
        <w:tc>
          <w:tcPr>
            <w:tcW w:w="1328" w:type="dxa"/>
            <w:tcBorders>
              <w:top w:val="nil"/>
              <w:left w:val="nil"/>
              <w:bottom w:val="single" w:sz="4" w:space="0" w:color="auto"/>
              <w:right w:val="single" w:sz="4" w:space="0" w:color="auto"/>
            </w:tcBorders>
            <w:shd w:val="clear" w:color="auto" w:fill="auto"/>
            <w:noWrap/>
            <w:vAlign w:val="bottom"/>
          </w:tcPr>
          <w:p w14:paraId="16CC8D0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0.51</w:t>
            </w:r>
          </w:p>
        </w:tc>
        <w:tc>
          <w:tcPr>
            <w:tcW w:w="276" w:type="dxa"/>
            <w:tcBorders>
              <w:top w:val="nil"/>
              <w:left w:val="nil"/>
              <w:bottom w:val="nil"/>
              <w:right w:val="nil"/>
            </w:tcBorders>
            <w:shd w:val="clear" w:color="auto" w:fill="auto"/>
            <w:noWrap/>
            <w:vAlign w:val="bottom"/>
            <w:hideMark/>
          </w:tcPr>
          <w:p w14:paraId="404B3CE7"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216C515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w:t>
            </w:r>
          </w:p>
        </w:tc>
        <w:tc>
          <w:tcPr>
            <w:tcW w:w="2009" w:type="dxa"/>
            <w:tcBorders>
              <w:top w:val="nil"/>
              <w:left w:val="nil"/>
              <w:bottom w:val="single" w:sz="4" w:space="0" w:color="auto"/>
              <w:right w:val="single" w:sz="4" w:space="0" w:color="auto"/>
            </w:tcBorders>
            <w:shd w:val="clear" w:color="auto" w:fill="auto"/>
            <w:noWrap/>
            <w:vAlign w:val="bottom"/>
            <w:hideMark/>
          </w:tcPr>
          <w:p w14:paraId="537883B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0F742C74"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814D31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w:t>
            </w:r>
          </w:p>
        </w:tc>
        <w:tc>
          <w:tcPr>
            <w:tcW w:w="2839" w:type="dxa"/>
            <w:tcBorders>
              <w:top w:val="nil"/>
              <w:left w:val="nil"/>
              <w:bottom w:val="single" w:sz="4" w:space="0" w:color="auto"/>
              <w:right w:val="single" w:sz="4" w:space="0" w:color="auto"/>
            </w:tcBorders>
            <w:shd w:val="clear" w:color="auto" w:fill="auto"/>
            <w:noWrap/>
            <w:vAlign w:val="bottom"/>
            <w:hideMark/>
          </w:tcPr>
          <w:p w14:paraId="31F2F3D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10550.00</w:t>
            </w:r>
          </w:p>
        </w:tc>
        <w:tc>
          <w:tcPr>
            <w:tcW w:w="1328" w:type="dxa"/>
            <w:tcBorders>
              <w:top w:val="nil"/>
              <w:left w:val="nil"/>
              <w:bottom w:val="single" w:sz="4" w:space="0" w:color="auto"/>
              <w:right w:val="single" w:sz="4" w:space="0" w:color="auto"/>
            </w:tcBorders>
            <w:shd w:val="clear" w:color="auto" w:fill="auto"/>
            <w:noWrap/>
            <w:vAlign w:val="bottom"/>
            <w:hideMark/>
          </w:tcPr>
          <w:p w14:paraId="508275A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0.94</w:t>
            </w:r>
          </w:p>
        </w:tc>
        <w:tc>
          <w:tcPr>
            <w:tcW w:w="276" w:type="dxa"/>
            <w:tcBorders>
              <w:top w:val="nil"/>
              <w:left w:val="nil"/>
              <w:bottom w:val="nil"/>
              <w:right w:val="nil"/>
            </w:tcBorders>
            <w:shd w:val="clear" w:color="auto" w:fill="auto"/>
            <w:noWrap/>
            <w:vAlign w:val="bottom"/>
            <w:hideMark/>
          </w:tcPr>
          <w:p w14:paraId="37E92226"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5CFDD6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pa1</w:t>
            </w:r>
          </w:p>
        </w:tc>
        <w:tc>
          <w:tcPr>
            <w:tcW w:w="2009" w:type="dxa"/>
            <w:tcBorders>
              <w:top w:val="nil"/>
              <w:left w:val="nil"/>
              <w:bottom w:val="single" w:sz="4" w:space="0" w:color="auto"/>
              <w:right w:val="single" w:sz="4" w:space="0" w:color="auto"/>
            </w:tcBorders>
            <w:shd w:val="clear" w:color="auto" w:fill="auto"/>
            <w:noWrap/>
            <w:vAlign w:val="bottom"/>
            <w:hideMark/>
          </w:tcPr>
          <w:p w14:paraId="126D8AD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6A016950"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6DA298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q</w:t>
            </w:r>
          </w:p>
        </w:tc>
        <w:tc>
          <w:tcPr>
            <w:tcW w:w="2839" w:type="dxa"/>
            <w:tcBorders>
              <w:top w:val="nil"/>
              <w:left w:val="nil"/>
              <w:bottom w:val="single" w:sz="4" w:space="0" w:color="auto"/>
              <w:right w:val="single" w:sz="4" w:space="0" w:color="auto"/>
            </w:tcBorders>
            <w:shd w:val="clear" w:color="auto" w:fill="auto"/>
            <w:noWrap/>
            <w:vAlign w:val="bottom"/>
            <w:hideMark/>
          </w:tcPr>
          <w:p w14:paraId="2A77A2D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-135800000.00</w:t>
            </w:r>
          </w:p>
        </w:tc>
        <w:tc>
          <w:tcPr>
            <w:tcW w:w="1328" w:type="dxa"/>
            <w:tcBorders>
              <w:top w:val="nil"/>
              <w:left w:val="nil"/>
              <w:bottom w:val="single" w:sz="4" w:space="0" w:color="auto"/>
              <w:right w:val="single" w:sz="4" w:space="0" w:color="auto"/>
            </w:tcBorders>
            <w:shd w:val="clear" w:color="auto" w:fill="auto"/>
            <w:noWrap/>
            <w:vAlign w:val="bottom"/>
            <w:hideMark/>
          </w:tcPr>
          <w:p w14:paraId="4AADFB2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c>
          <w:tcPr>
            <w:tcW w:w="276" w:type="dxa"/>
            <w:tcBorders>
              <w:top w:val="nil"/>
              <w:left w:val="nil"/>
              <w:bottom w:val="nil"/>
              <w:right w:val="nil"/>
            </w:tcBorders>
            <w:shd w:val="clear" w:color="auto" w:fill="auto"/>
            <w:noWrap/>
            <w:vAlign w:val="bottom"/>
            <w:hideMark/>
          </w:tcPr>
          <w:p w14:paraId="0F87D43E"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8E60B4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ppa</w:t>
            </w:r>
          </w:p>
        </w:tc>
        <w:tc>
          <w:tcPr>
            <w:tcW w:w="2009" w:type="dxa"/>
            <w:tcBorders>
              <w:top w:val="nil"/>
              <w:left w:val="nil"/>
              <w:bottom w:val="single" w:sz="4" w:space="0" w:color="auto"/>
              <w:right w:val="single" w:sz="4" w:space="0" w:color="auto"/>
            </w:tcBorders>
            <w:shd w:val="clear" w:color="auto" w:fill="auto"/>
            <w:noWrap/>
            <w:vAlign w:val="bottom"/>
            <w:hideMark/>
          </w:tcPr>
          <w:p w14:paraId="5C4BFBA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6C1459A0"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3321EB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gamma</w:t>
            </w:r>
          </w:p>
        </w:tc>
        <w:tc>
          <w:tcPr>
            <w:tcW w:w="2839" w:type="dxa"/>
            <w:tcBorders>
              <w:top w:val="nil"/>
              <w:left w:val="nil"/>
              <w:bottom w:val="single" w:sz="4" w:space="0" w:color="auto"/>
              <w:right w:val="single" w:sz="4" w:space="0" w:color="auto"/>
            </w:tcBorders>
            <w:shd w:val="clear" w:color="auto" w:fill="auto"/>
            <w:noWrap/>
            <w:vAlign w:val="bottom"/>
            <w:hideMark/>
          </w:tcPr>
          <w:p w14:paraId="44D2427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-513200.00</w:t>
            </w:r>
          </w:p>
        </w:tc>
        <w:tc>
          <w:tcPr>
            <w:tcW w:w="1328" w:type="dxa"/>
            <w:tcBorders>
              <w:top w:val="nil"/>
              <w:left w:val="nil"/>
              <w:bottom w:val="single" w:sz="4" w:space="0" w:color="auto"/>
              <w:right w:val="single" w:sz="4" w:space="0" w:color="auto"/>
            </w:tcBorders>
            <w:shd w:val="clear" w:color="auto" w:fill="auto"/>
            <w:noWrap/>
            <w:vAlign w:val="bottom"/>
            <w:hideMark/>
          </w:tcPr>
          <w:p w14:paraId="514C376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0.42</w:t>
            </w:r>
          </w:p>
        </w:tc>
        <w:tc>
          <w:tcPr>
            <w:tcW w:w="276" w:type="dxa"/>
            <w:tcBorders>
              <w:top w:val="nil"/>
              <w:left w:val="nil"/>
              <w:bottom w:val="nil"/>
              <w:right w:val="nil"/>
            </w:tcBorders>
            <w:shd w:val="clear" w:color="auto" w:fill="auto"/>
            <w:noWrap/>
            <w:vAlign w:val="bottom"/>
            <w:hideMark/>
          </w:tcPr>
          <w:p w14:paraId="73F64D65"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B0419D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rho2</w:t>
            </w:r>
          </w:p>
        </w:tc>
        <w:tc>
          <w:tcPr>
            <w:tcW w:w="2009" w:type="dxa"/>
            <w:tcBorders>
              <w:top w:val="nil"/>
              <w:left w:val="nil"/>
              <w:bottom w:val="single" w:sz="4" w:space="0" w:color="auto"/>
              <w:right w:val="single" w:sz="4" w:space="0" w:color="auto"/>
            </w:tcBorders>
            <w:shd w:val="clear" w:color="auto" w:fill="auto"/>
            <w:noWrap/>
            <w:vAlign w:val="bottom"/>
            <w:hideMark/>
          </w:tcPr>
          <w:p w14:paraId="7761555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51A81DDF"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3BF39B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t1</w:t>
            </w:r>
          </w:p>
        </w:tc>
        <w:tc>
          <w:tcPr>
            <w:tcW w:w="2839" w:type="dxa"/>
            <w:tcBorders>
              <w:top w:val="nil"/>
              <w:left w:val="nil"/>
              <w:bottom w:val="single" w:sz="4" w:space="0" w:color="auto"/>
              <w:right w:val="single" w:sz="4" w:space="0" w:color="auto"/>
            </w:tcBorders>
            <w:shd w:val="clear" w:color="auto" w:fill="auto"/>
            <w:noWrap/>
            <w:vAlign w:val="bottom"/>
            <w:hideMark/>
          </w:tcPr>
          <w:p w14:paraId="3A17408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-49060.00</w:t>
            </w:r>
          </w:p>
        </w:tc>
        <w:tc>
          <w:tcPr>
            <w:tcW w:w="1328" w:type="dxa"/>
            <w:tcBorders>
              <w:top w:val="nil"/>
              <w:left w:val="nil"/>
              <w:bottom w:val="single" w:sz="4" w:space="0" w:color="auto"/>
              <w:right w:val="single" w:sz="4" w:space="0" w:color="auto"/>
            </w:tcBorders>
            <w:shd w:val="clear" w:color="auto" w:fill="auto"/>
            <w:noWrap/>
            <w:vAlign w:val="bottom"/>
            <w:hideMark/>
          </w:tcPr>
          <w:p w14:paraId="2912993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c>
          <w:tcPr>
            <w:tcW w:w="276" w:type="dxa"/>
            <w:tcBorders>
              <w:top w:val="nil"/>
              <w:left w:val="nil"/>
              <w:bottom w:val="nil"/>
              <w:right w:val="nil"/>
            </w:tcBorders>
            <w:shd w:val="clear" w:color="auto" w:fill="auto"/>
            <w:noWrap/>
            <w:vAlign w:val="bottom"/>
            <w:hideMark/>
          </w:tcPr>
          <w:p w14:paraId="498B97BC"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B48E43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t1</w:t>
            </w:r>
          </w:p>
        </w:tc>
        <w:tc>
          <w:tcPr>
            <w:tcW w:w="2009" w:type="dxa"/>
            <w:tcBorders>
              <w:top w:val="nil"/>
              <w:left w:val="nil"/>
              <w:bottom w:val="single" w:sz="4" w:space="0" w:color="auto"/>
              <w:right w:val="single" w:sz="4" w:space="0" w:color="auto"/>
            </w:tcBorders>
            <w:shd w:val="clear" w:color="auto" w:fill="auto"/>
            <w:noWrap/>
            <w:vAlign w:val="bottom"/>
            <w:hideMark/>
          </w:tcPr>
          <w:p w14:paraId="0667A81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0655CA43"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398ED19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rho1</w:t>
            </w:r>
          </w:p>
        </w:tc>
        <w:tc>
          <w:tcPr>
            <w:tcW w:w="2839" w:type="dxa"/>
            <w:tcBorders>
              <w:top w:val="nil"/>
              <w:left w:val="nil"/>
              <w:bottom w:val="single" w:sz="4" w:space="0" w:color="auto"/>
              <w:right w:val="single" w:sz="4" w:space="0" w:color="auto"/>
            </w:tcBorders>
            <w:shd w:val="clear" w:color="auto" w:fill="auto"/>
            <w:noWrap/>
            <w:vAlign w:val="bottom"/>
            <w:hideMark/>
          </w:tcPr>
          <w:p w14:paraId="370BAF6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18970.00</w:t>
            </w:r>
          </w:p>
        </w:tc>
        <w:tc>
          <w:tcPr>
            <w:tcW w:w="1328" w:type="dxa"/>
            <w:tcBorders>
              <w:top w:val="nil"/>
              <w:left w:val="nil"/>
              <w:bottom w:val="single" w:sz="4" w:space="0" w:color="auto"/>
              <w:right w:val="single" w:sz="4" w:space="0" w:color="auto"/>
            </w:tcBorders>
            <w:shd w:val="clear" w:color="auto" w:fill="auto"/>
            <w:noWrap/>
            <w:vAlign w:val="bottom"/>
            <w:hideMark/>
          </w:tcPr>
          <w:p w14:paraId="5654CD9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0.41</w:t>
            </w:r>
          </w:p>
        </w:tc>
        <w:tc>
          <w:tcPr>
            <w:tcW w:w="276" w:type="dxa"/>
            <w:tcBorders>
              <w:top w:val="nil"/>
              <w:left w:val="nil"/>
              <w:bottom w:val="nil"/>
              <w:right w:val="nil"/>
            </w:tcBorders>
            <w:shd w:val="clear" w:color="auto" w:fill="auto"/>
            <w:noWrap/>
            <w:vAlign w:val="bottom"/>
            <w:hideMark/>
          </w:tcPr>
          <w:p w14:paraId="0E5F3B00"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7667241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w:t>
            </w:r>
          </w:p>
        </w:tc>
        <w:tc>
          <w:tcPr>
            <w:tcW w:w="2009" w:type="dxa"/>
            <w:tcBorders>
              <w:top w:val="nil"/>
              <w:left w:val="nil"/>
              <w:bottom w:val="single" w:sz="4" w:space="0" w:color="auto"/>
              <w:right w:val="single" w:sz="4" w:space="0" w:color="auto"/>
            </w:tcBorders>
            <w:shd w:val="clear" w:color="auto" w:fill="auto"/>
            <w:noWrap/>
            <w:vAlign w:val="bottom"/>
            <w:hideMark/>
          </w:tcPr>
          <w:p w14:paraId="6DE1B12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4BA8ECDC"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43D1C8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ptq2</w:t>
            </w:r>
          </w:p>
        </w:tc>
        <w:tc>
          <w:tcPr>
            <w:tcW w:w="2839" w:type="dxa"/>
            <w:tcBorders>
              <w:top w:val="nil"/>
              <w:left w:val="nil"/>
              <w:bottom w:val="single" w:sz="4" w:space="0" w:color="auto"/>
              <w:right w:val="single" w:sz="4" w:space="0" w:color="auto"/>
            </w:tcBorders>
            <w:shd w:val="clear" w:color="auto" w:fill="auto"/>
            <w:noWrap/>
            <w:vAlign w:val="bottom"/>
            <w:hideMark/>
          </w:tcPr>
          <w:p w14:paraId="577BEC4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-1107000.00</w:t>
            </w:r>
          </w:p>
        </w:tc>
        <w:tc>
          <w:tcPr>
            <w:tcW w:w="1328" w:type="dxa"/>
            <w:tcBorders>
              <w:top w:val="nil"/>
              <w:left w:val="nil"/>
              <w:bottom w:val="single" w:sz="4" w:space="0" w:color="auto"/>
              <w:right w:val="single" w:sz="4" w:space="0" w:color="auto"/>
            </w:tcBorders>
            <w:shd w:val="clear" w:color="auto" w:fill="auto"/>
            <w:noWrap/>
            <w:vAlign w:val="bottom"/>
            <w:hideMark/>
          </w:tcPr>
          <w:p w14:paraId="4824A1C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0.55</w:t>
            </w:r>
          </w:p>
        </w:tc>
        <w:tc>
          <w:tcPr>
            <w:tcW w:w="276" w:type="dxa"/>
            <w:tcBorders>
              <w:top w:val="nil"/>
              <w:left w:val="nil"/>
              <w:bottom w:val="nil"/>
              <w:right w:val="nil"/>
            </w:tcBorders>
            <w:shd w:val="clear" w:color="auto" w:fill="auto"/>
            <w:noWrap/>
            <w:vAlign w:val="bottom"/>
            <w:hideMark/>
          </w:tcPr>
          <w:p w14:paraId="405F59C3"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25035B1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ppc</w:t>
            </w:r>
          </w:p>
        </w:tc>
        <w:tc>
          <w:tcPr>
            <w:tcW w:w="2009" w:type="dxa"/>
            <w:tcBorders>
              <w:top w:val="nil"/>
              <w:left w:val="nil"/>
              <w:bottom w:val="single" w:sz="4" w:space="0" w:color="auto"/>
              <w:right w:val="single" w:sz="4" w:space="0" w:color="auto"/>
            </w:tcBorders>
            <w:shd w:val="clear" w:color="auto" w:fill="auto"/>
            <w:noWrap/>
            <w:vAlign w:val="bottom"/>
            <w:hideMark/>
          </w:tcPr>
          <w:p w14:paraId="0CCA659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39ABB52D"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A938FE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rho2</w:t>
            </w:r>
          </w:p>
        </w:tc>
        <w:tc>
          <w:tcPr>
            <w:tcW w:w="2839" w:type="dxa"/>
            <w:tcBorders>
              <w:top w:val="nil"/>
              <w:left w:val="nil"/>
              <w:bottom w:val="single" w:sz="4" w:space="0" w:color="auto"/>
              <w:right w:val="single" w:sz="4" w:space="0" w:color="auto"/>
            </w:tcBorders>
            <w:shd w:val="clear" w:color="auto" w:fill="auto"/>
            <w:noWrap/>
            <w:vAlign w:val="bottom"/>
            <w:hideMark/>
          </w:tcPr>
          <w:p w14:paraId="7A059F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15350.00</w:t>
            </w:r>
          </w:p>
        </w:tc>
        <w:tc>
          <w:tcPr>
            <w:tcW w:w="1328" w:type="dxa"/>
            <w:tcBorders>
              <w:top w:val="nil"/>
              <w:left w:val="nil"/>
              <w:bottom w:val="single" w:sz="4" w:space="0" w:color="auto"/>
              <w:right w:val="single" w:sz="4" w:space="0" w:color="auto"/>
            </w:tcBorders>
            <w:shd w:val="clear" w:color="auto" w:fill="auto"/>
            <w:noWrap/>
            <w:vAlign w:val="bottom"/>
            <w:hideMark/>
          </w:tcPr>
          <w:p w14:paraId="44CED0C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0.88</w:t>
            </w:r>
          </w:p>
        </w:tc>
        <w:tc>
          <w:tcPr>
            <w:tcW w:w="276" w:type="dxa"/>
            <w:tcBorders>
              <w:top w:val="nil"/>
              <w:left w:val="nil"/>
              <w:bottom w:val="nil"/>
              <w:right w:val="nil"/>
            </w:tcBorders>
            <w:shd w:val="clear" w:color="auto" w:fill="auto"/>
            <w:noWrap/>
            <w:vAlign w:val="bottom"/>
            <w:hideMark/>
          </w:tcPr>
          <w:p w14:paraId="4D2D6E70"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2F2A55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pro_mh</w:t>
            </w:r>
          </w:p>
        </w:tc>
        <w:tc>
          <w:tcPr>
            <w:tcW w:w="2009" w:type="dxa"/>
            <w:tcBorders>
              <w:top w:val="nil"/>
              <w:left w:val="nil"/>
              <w:bottom w:val="single" w:sz="4" w:space="0" w:color="auto"/>
              <w:right w:val="single" w:sz="4" w:space="0" w:color="auto"/>
            </w:tcBorders>
            <w:shd w:val="clear" w:color="auto" w:fill="auto"/>
            <w:noWrap/>
            <w:vAlign w:val="bottom"/>
            <w:hideMark/>
          </w:tcPr>
          <w:p w14:paraId="11BDCE9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709725DA"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B5240E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v</w:t>
            </w:r>
          </w:p>
        </w:tc>
        <w:tc>
          <w:tcPr>
            <w:tcW w:w="2839" w:type="dxa"/>
            <w:tcBorders>
              <w:top w:val="nil"/>
              <w:left w:val="nil"/>
              <w:bottom w:val="single" w:sz="4" w:space="0" w:color="auto"/>
              <w:right w:val="single" w:sz="4" w:space="0" w:color="auto"/>
            </w:tcBorders>
            <w:shd w:val="clear" w:color="auto" w:fill="auto"/>
            <w:noWrap/>
            <w:vAlign w:val="bottom"/>
            <w:hideMark/>
          </w:tcPr>
          <w:p w14:paraId="6D91020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-90640.00</w:t>
            </w:r>
          </w:p>
        </w:tc>
        <w:tc>
          <w:tcPr>
            <w:tcW w:w="1328" w:type="dxa"/>
            <w:tcBorders>
              <w:top w:val="nil"/>
              <w:left w:val="nil"/>
              <w:bottom w:val="single" w:sz="4" w:space="0" w:color="auto"/>
              <w:right w:val="single" w:sz="4" w:space="0" w:color="auto"/>
            </w:tcBorders>
            <w:shd w:val="clear" w:color="auto" w:fill="auto"/>
            <w:noWrap/>
            <w:vAlign w:val="bottom"/>
            <w:hideMark/>
          </w:tcPr>
          <w:p w14:paraId="6F06FEF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0.30</w:t>
            </w:r>
          </w:p>
        </w:tc>
        <w:tc>
          <w:tcPr>
            <w:tcW w:w="276" w:type="dxa"/>
            <w:tcBorders>
              <w:top w:val="nil"/>
              <w:left w:val="nil"/>
              <w:bottom w:val="nil"/>
              <w:right w:val="nil"/>
            </w:tcBorders>
            <w:shd w:val="clear" w:color="auto" w:fill="auto"/>
            <w:noWrap/>
            <w:vAlign w:val="bottom"/>
            <w:hideMark/>
          </w:tcPr>
          <w:p w14:paraId="7A70F7E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5AE3BB4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ah2</w:t>
            </w:r>
          </w:p>
        </w:tc>
        <w:tc>
          <w:tcPr>
            <w:tcW w:w="2009" w:type="dxa"/>
            <w:tcBorders>
              <w:top w:val="nil"/>
              <w:left w:val="nil"/>
              <w:bottom w:val="single" w:sz="4" w:space="0" w:color="auto"/>
              <w:right w:val="single" w:sz="4" w:space="0" w:color="auto"/>
            </w:tcBorders>
            <w:shd w:val="clear" w:color="auto" w:fill="auto"/>
            <w:noWrap/>
            <w:vAlign w:val="bottom"/>
            <w:hideMark/>
          </w:tcPr>
          <w:p w14:paraId="6D94629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1516B74"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19404B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nr</w:t>
            </w:r>
          </w:p>
        </w:tc>
        <w:tc>
          <w:tcPr>
            <w:tcW w:w="2839" w:type="dxa"/>
            <w:tcBorders>
              <w:top w:val="nil"/>
              <w:left w:val="nil"/>
              <w:bottom w:val="single" w:sz="4" w:space="0" w:color="auto"/>
              <w:right w:val="single" w:sz="4" w:space="0" w:color="auto"/>
            </w:tcBorders>
            <w:shd w:val="clear" w:color="auto" w:fill="auto"/>
            <w:noWrap/>
            <w:vAlign w:val="bottom"/>
            <w:hideMark/>
          </w:tcPr>
          <w:p w14:paraId="5685EFA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-38130000.00</w:t>
            </w:r>
          </w:p>
        </w:tc>
        <w:tc>
          <w:tcPr>
            <w:tcW w:w="1328" w:type="dxa"/>
            <w:tcBorders>
              <w:top w:val="nil"/>
              <w:left w:val="nil"/>
              <w:bottom w:val="single" w:sz="4" w:space="0" w:color="auto"/>
              <w:right w:val="single" w:sz="4" w:space="0" w:color="auto"/>
            </w:tcBorders>
            <w:shd w:val="clear" w:color="auto" w:fill="auto"/>
            <w:noWrap/>
            <w:vAlign w:val="bottom"/>
            <w:hideMark/>
          </w:tcPr>
          <w:p w14:paraId="6B48517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0.12</w:t>
            </w:r>
          </w:p>
        </w:tc>
        <w:tc>
          <w:tcPr>
            <w:tcW w:w="276" w:type="dxa"/>
            <w:tcBorders>
              <w:top w:val="nil"/>
              <w:left w:val="nil"/>
              <w:bottom w:val="nil"/>
              <w:right w:val="nil"/>
            </w:tcBorders>
            <w:shd w:val="clear" w:color="auto" w:fill="auto"/>
            <w:noWrap/>
            <w:vAlign w:val="bottom"/>
            <w:hideMark/>
          </w:tcPr>
          <w:p w14:paraId="5069C347"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475699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pc1</w:t>
            </w:r>
          </w:p>
        </w:tc>
        <w:tc>
          <w:tcPr>
            <w:tcW w:w="2009" w:type="dxa"/>
            <w:tcBorders>
              <w:top w:val="nil"/>
              <w:left w:val="nil"/>
              <w:bottom w:val="single" w:sz="4" w:space="0" w:color="auto"/>
              <w:right w:val="single" w:sz="4" w:space="0" w:color="auto"/>
            </w:tcBorders>
            <w:shd w:val="clear" w:color="auto" w:fill="auto"/>
            <w:noWrap/>
            <w:vAlign w:val="bottom"/>
            <w:hideMark/>
          </w:tcPr>
          <w:p w14:paraId="2761785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E91A55A"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B942B8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ah1</w:t>
            </w:r>
          </w:p>
        </w:tc>
        <w:tc>
          <w:tcPr>
            <w:tcW w:w="2839" w:type="dxa"/>
            <w:tcBorders>
              <w:top w:val="nil"/>
              <w:left w:val="nil"/>
              <w:bottom w:val="single" w:sz="4" w:space="0" w:color="auto"/>
              <w:right w:val="single" w:sz="4" w:space="0" w:color="auto"/>
            </w:tcBorders>
            <w:shd w:val="clear" w:color="auto" w:fill="auto"/>
            <w:noWrap/>
            <w:vAlign w:val="bottom"/>
            <w:hideMark/>
          </w:tcPr>
          <w:p w14:paraId="4E57244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7913000.00</w:t>
            </w:r>
          </w:p>
        </w:tc>
        <w:tc>
          <w:tcPr>
            <w:tcW w:w="1328" w:type="dxa"/>
            <w:tcBorders>
              <w:top w:val="nil"/>
              <w:left w:val="nil"/>
              <w:bottom w:val="single" w:sz="4" w:space="0" w:color="auto"/>
              <w:right w:val="single" w:sz="4" w:space="0" w:color="auto"/>
            </w:tcBorders>
            <w:shd w:val="clear" w:color="auto" w:fill="auto"/>
            <w:noWrap/>
            <w:vAlign w:val="bottom"/>
            <w:hideMark/>
          </w:tcPr>
          <w:p w14:paraId="001774C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1EE81751"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8D33F2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nr</w:t>
            </w:r>
          </w:p>
        </w:tc>
        <w:tc>
          <w:tcPr>
            <w:tcW w:w="2009" w:type="dxa"/>
            <w:tcBorders>
              <w:top w:val="nil"/>
              <w:left w:val="nil"/>
              <w:bottom w:val="single" w:sz="4" w:space="0" w:color="auto"/>
              <w:right w:val="single" w:sz="4" w:space="0" w:color="auto"/>
            </w:tcBorders>
            <w:shd w:val="clear" w:color="auto" w:fill="auto"/>
            <w:noWrap/>
            <w:vAlign w:val="bottom"/>
            <w:hideMark/>
          </w:tcPr>
          <w:p w14:paraId="6B2B135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0975DCB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481691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ah2</w:t>
            </w:r>
          </w:p>
        </w:tc>
        <w:tc>
          <w:tcPr>
            <w:tcW w:w="2839" w:type="dxa"/>
            <w:tcBorders>
              <w:top w:val="nil"/>
              <w:left w:val="nil"/>
              <w:bottom w:val="single" w:sz="4" w:space="0" w:color="auto"/>
              <w:right w:val="single" w:sz="4" w:space="0" w:color="auto"/>
            </w:tcBorders>
            <w:shd w:val="clear" w:color="auto" w:fill="auto"/>
            <w:noWrap/>
            <w:vAlign w:val="bottom"/>
            <w:hideMark/>
          </w:tcPr>
          <w:p w14:paraId="53A9EA9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-9475000.00</w:t>
            </w:r>
          </w:p>
        </w:tc>
        <w:tc>
          <w:tcPr>
            <w:tcW w:w="1328" w:type="dxa"/>
            <w:tcBorders>
              <w:top w:val="nil"/>
              <w:left w:val="nil"/>
              <w:bottom w:val="single" w:sz="4" w:space="0" w:color="auto"/>
              <w:right w:val="single" w:sz="4" w:space="0" w:color="auto"/>
            </w:tcBorders>
            <w:shd w:val="clear" w:color="auto" w:fill="auto"/>
            <w:noWrap/>
            <w:vAlign w:val="bottom"/>
            <w:hideMark/>
          </w:tcPr>
          <w:p w14:paraId="38990B5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0.80</w:t>
            </w:r>
          </w:p>
        </w:tc>
        <w:tc>
          <w:tcPr>
            <w:tcW w:w="276" w:type="dxa"/>
            <w:tcBorders>
              <w:top w:val="nil"/>
              <w:left w:val="nil"/>
              <w:bottom w:val="nil"/>
              <w:right w:val="nil"/>
            </w:tcBorders>
            <w:shd w:val="clear" w:color="auto" w:fill="auto"/>
            <w:noWrap/>
            <w:vAlign w:val="bottom"/>
            <w:hideMark/>
          </w:tcPr>
          <w:p w14:paraId="62546E01"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5C0D0A0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Kv</w:t>
            </w:r>
          </w:p>
        </w:tc>
        <w:tc>
          <w:tcPr>
            <w:tcW w:w="2009" w:type="dxa"/>
            <w:tcBorders>
              <w:top w:val="nil"/>
              <w:left w:val="nil"/>
              <w:bottom w:val="single" w:sz="4" w:space="0" w:color="auto"/>
              <w:right w:val="single" w:sz="4" w:space="0" w:color="auto"/>
            </w:tcBorders>
            <w:shd w:val="clear" w:color="auto" w:fill="auto"/>
            <w:noWrap/>
            <w:vAlign w:val="bottom"/>
            <w:hideMark/>
          </w:tcPr>
          <w:p w14:paraId="7B47B84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3690763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9A1B08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px</w:t>
            </w:r>
          </w:p>
        </w:tc>
        <w:tc>
          <w:tcPr>
            <w:tcW w:w="2839" w:type="dxa"/>
            <w:tcBorders>
              <w:top w:val="nil"/>
              <w:left w:val="nil"/>
              <w:bottom w:val="single" w:sz="4" w:space="0" w:color="auto"/>
              <w:right w:val="single" w:sz="4" w:space="0" w:color="auto"/>
            </w:tcBorders>
            <w:shd w:val="clear" w:color="auto" w:fill="auto"/>
            <w:noWrap/>
            <w:vAlign w:val="bottom"/>
            <w:hideMark/>
          </w:tcPr>
          <w:p w14:paraId="1AFCEBA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-14610000.00</w:t>
            </w:r>
          </w:p>
        </w:tc>
        <w:tc>
          <w:tcPr>
            <w:tcW w:w="1328" w:type="dxa"/>
            <w:tcBorders>
              <w:top w:val="nil"/>
              <w:left w:val="nil"/>
              <w:bottom w:val="single" w:sz="4" w:space="0" w:color="auto"/>
              <w:right w:val="single" w:sz="4" w:space="0" w:color="auto"/>
            </w:tcBorders>
            <w:shd w:val="clear" w:color="auto" w:fill="auto"/>
            <w:noWrap/>
            <w:vAlign w:val="bottom"/>
            <w:hideMark/>
          </w:tcPr>
          <w:p w14:paraId="73EA292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0.70</w:t>
            </w:r>
          </w:p>
        </w:tc>
        <w:tc>
          <w:tcPr>
            <w:tcW w:w="276" w:type="dxa"/>
            <w:tcBorders>
              <w:top w:val="nil"/>
              <w:left w:val="nil"/>
              <w:bottom w:val="nil"/>
              <w:right w:val="nil"/>
            </w:tcBorders>
            <w:shd w:val="clear" w:color="auto" w:fill="auto"/>
            <w:noWrap/>
            <w:vAlign w:val="bottom"/>
            <w:hideMark/>
          </w:tcPr>
          <w:p w14:paraId="7938DCA8"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5761B0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ss</w:t>
            </w:r>
          </w:p>
        </w:tc>
        <w:tc>
          <w:tcPr>
            <w:tcW w:w="2009" w:type="dxa"/>
            <w:tcBorders>
              <w:top w:val="nil"/>
              <w:left w:val="nil"/>
              <w:bottom w:val="single" w:sz="4" w:space="0" w:color="auto"/>
              <w:right w:val="single" w:sz="4" w:space="0" w:color="auto"/>
            </w:tcBorders>
            <w:shd w:val="clear" w:color="auto" w:fill="auto"/>
            <w:noWrap/>
            <w:vAlign w:val="bottom"/>
            <w:hideMark/>
          </w:tcPr>
          <w:p w14:paraId="6EF7E17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117CB85D"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F1488A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pt3</w:t>
            </w:r>
          </w:p>
        </w:tc>
        <w:tc>
          <w:tcPr>
            <w:tcW w:w="2839" w:type="dxa"/>
            <w:tcBorders>
              <w:top w:val="nil"/>
              <w:left w:val="nil"/>
              <w:bottom w:val="single" w:sz="4" w:space="0" w:color="auto"/>
              <w:right w:val="single" w:sz="4" w:space="0" w:color="auto"/>
            </w:tcBorders>
            <w:shd w:val="clear" w:color="auto" w:fill="auto"/>
            <w:noWrap/>
            <w:vAlign w:val="bottom"/>
            <w:hideMark/>
          </w:tcPr>
          <w:p w14:paraId="31CC4D7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-3624000.00</w:t>
            </w:r>
          </w:p>
        </w:tc>
        <w:tc>
          <w:tcPr>
            <w:tcW w:w="1328" w:type="dxa"/>
            <w:tcBorders>
              <w:top w:val="nil"/>
              <w:left w:val="nil"/>
              <w:bottom w:val="single" w:sz="4" w:space="0" w:color="auto"/>
              <w:right w:val="single" w:sz="4" w:space="0" w:color="auto"/>
            </w:tcBorders>
            <w:shd w:val="clear" w:color="auto" w:fill="auto"/>
            <w:noWrap/>
            <w:vAlign w:val="bottom"/>
            <w:hideMark/>
          </w:tcPr>
          <w:p w14:paraId="05C5527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0.05</w:t>
            </w:r>
          </w:p>
        </w:tc>
        <w:tc>
          <w:tcPr>
            <w:tcW w:w="276" w:type="dxa"/>
            <w:tcBorders>
              <w:top w:val="nil"/>
              <w:left w:val="nil"/>
              <w:bottom w:val="nil"/>
              <w:right w:val="nil"/>
            </w:tcBorders>
            <w:shd w:val="clear" w:color="auto" w:fill="auto"/>
            <w:noWrap/>
            <w:vAlign w:val="bottom"/>
            <w:hideMark/>
          </w:tcPr>
          <w:p w14:paraId="7DF9261F"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5A38686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pt3</w:t>
            </w:r>
          </w:p>
        </w:tc>
        <w:tc>
          <w:tcPr>
            <w:tcW w:w="2009" w:type="dxa"/>
            <w:tcBorders>
              <w:top w:val="nil"/>
              <w:left w:val="nil"/>
              <w:bottom w:val="single" w:sz="4" w:space="0" w:color="auto"/>
              <w:right w:val="single" w:sz="4" w:space="0" w:color="auto"/>
            </w:tcBorders>
            <w:shd w:val="clear" w:color="auto" w:fill="auto"/>
            <w:noWrap/>
            <w:vAlign w:val="bottom"/>
            <w:hideMark/>
          </w:tcPr>
          <w:p w14:paraId="4109011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2F315D6C"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8B980C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ah3</w:t>
            </w:r>
          </w:p>
        </w:tc>
        <w:tc>
          <w:tcPr>
            <w:tcW w:w="2839" w:type="dxa"/>
            <w:tcBorders>
              <w:top w:val="nil"/>
              <w:left w:val="nil"/>
              <w:bottom w:val="single" w:sz="4" w:space="0" w:color="auto"/>
              <w:right w:val="single" w:sz="4" w:space="0" w:color="auto"/>
            </w:tcBorders>
            <w:shd w:val="clear" w:color="auto" w:fill="auto"/>
            <w:noWrap/>
            <w:vAlign w:val="bottom"/>
            <w:hideMark/>
          </w:tcPr>
          <w:p w14:paraId="7F8F417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227900.00</w:t>
            </w:r>
          </w:p>
        </w:tc>
        <w:tc>
          <w:tcPr>
            <w:tcW w:w="1328" w:type="dxa"/>
            <w:tcBorders>
              <w:top w:val="nil"/>
              <w:left w:val="nil"/>
              <w:bottom w:val="single" w:sz="4" w:space="0" w:color="auto"/>
              <w:right w:val="single" w:sz="4" w:space="0" w:color="auto"/>
            </w:tcBorders>
            <w:shd w:val="clear" w:color="auto" w:fill="auto"/>
            <w:noWrap/>
            <w:vAlign w:val="bottom"/>
            <w:hideMark/>
          </w:tcPr>
          <w:p w14:paraId="35CE676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0.90</w:t>
            </w:r>
          </w:p>
        </w:tc>
        <w:tc>
          <w:tcPr>
            <w:tcW w:w="276" w:type="dxa"/>
            <w:tcBorders>
              <w:top w:val="nil"/>
              <w:left w:val="nil"/>
              <w:bottom w:val="nil"/>
              <w:right w:val="nil"/>
            </w:tcBorders>
            <w:shd w:val="clear" w:color="auto" w:fill="auto"/>
            <w:noWrap/>
            <w:vAlign w:val="bottom"/>
            <w:hideMark/>
          </w:tcPr>
          <w:p w14:paraId="4A612AFD"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CBB069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px</w:t>
            </w:r>
          </w:p>
        </w:tc>
        <w:tc>
          <w:tcPr>
            <w:tcW w:w="2009" w:type="dxa"/>
            <w:tcBorders>
              <w:top w:val="nil"/>
              <w:left w:val="nil"/>
              <w:bottom w:val="single" w:sz="4" w:space="0" w:color="auto"/>
              <w:right w:val="single" w:sz="4" w:space="0" w:color="auto"/>
            </w:tcBorders>
            <w:shd w:val="clear" w:color="auto" w:fill="auto"/>
            <w:noWrap/>
            <w:vAlign w:val="bottom"/>
            <w:hideMark/>
          </w:tcPr>
          <w:p w14:paraId="7DF806F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4A8BECCE"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13D9CA9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hlsp</w:t>
            </w:r>
          </w:p>
        </w:tc>
        <w:tc>
          <w:tcPr>
            <w:tcW w:w="2839" w:type="dxa"/>
            <w:tcBorders>
              <w:top w:val="nil"/>
              <w:left w:val="nil"/>
              <w:bottom w:val="single" w:sz="4" w:space="0" w:color="auto"/>
              <w:right w:val="single" w:sz="4" w:space="0" w:color="auto"/>
            </w:tcBorders>
            <w:shd w:val="clear" w:color="auto" w:fill="auto"/>
            <w:noWrap/>
            <w:vAlign w:val="bottom"/>
            <w:hideMark/>
          </w:tcPr>
          <w:p w14:paraId="253D818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11480.00</w:t>
            </w:r>
          </w:p>
        </w:tc>
        <w:tc>
          <w:tcPr>
            <w:tcW w:w="1328" w:type="dxa"/>
            <w:tcBorders>
              <w:top w:val="nil"/>
              <w:left w:val="nil"/>
              <w:bottom w:val="single" w:sz="4" w:space="0" w:color="auto"/>
              <w:right w:val="single" w:sz="4" w:space="0" w:color="auto"/>
            </w:tcBorders>
            <w:shd w:val="clear" w:color="auto" w:fill="auto"/>
            <w:noWrap/>
            <w:vAlign w:val="bottom"/>
            <w:hideMark/>
          </w:tcPr>
          <w:p w14:paraId="439E27B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0.89</w:t>
            </w:r>
          </w:p>
        </w:tc>
        <w:tc>
          <w:tcPr>
            <w:tcW w:w="276" w:type="dxa"/>
            <w:tcBorders>
              <w:top w:val="nil"/>
              <w:left w:val="nil"/>
              <w:bottom w:val="nil"/>
              <w:right w:val="nil"/>
            </w:tcBorders>
            <w:shd w:val="clear" w:color="auto" w:fill="auto"/>
            <w:noWrap/>
            <w:vAlign w:val="bottom"/>
            <w:hideMark/>
          </w:tcPr>
          <w:p w14:paraId="2566D9B2"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75BA544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gamma</w:t>
            </w:r>
          </w:p>
        </w:tc>
        <w:tc>
          <w:tcPr>
            <w:tcW w:w="2009" w:type="dxa"/>
            <w:tcBorders>
              <w:top w:val="nil"/>
              <w:left w:val="nil"/>
              <w:bottom w:val="single" w:sz="4" w:space="0" w:color="auto"/>
              <w:right w:val="single" w:sz="4" w:space="0" w:color="auto"/>
            </w:tcBorders>
            <w:shd w:val="clear" w:color="auto" w:fill="auto"/>
            <w:noWrap/>
            <w:vAlign w:val="bottom"/>
            <w:hideMark/>
          </w:tcPr>
          <w:p w14:paraId="084141F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43101E3D"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508796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pro_hm</w:t>
            </w:r>
          </w:p>
        </w:tc>
        <w:tc>
          <w:tcPr>
            <w:tcW w:w="2839" w:type="dxa"/>
            <w:tcBorders>
              <w:top w:val="nil"/>
              <w:left w:val="nil"/>
              <w:bottom w:val="single" w:sz="4" w:space="0" w:color="auto"/>
              <w:right w:val="single" w:sz="4" w:space="0" w:color="auto"/>
            </w:tcBorders>
            <w:shd w:val="clear" w:color="auto" w:fill="auto"/>
            <w:noWrap/>
            <w:vAlign w:val="bottom"/>
            <w:hideMark/>
          </w:tcPr>
          <w:p w14:paraId="6125FA5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117100000.00</w:t>
            </w:r>
          </w:p>
        </w:tc>
        <w:tc>
          <w:tcPr>
            <w:tcW w:w="1328" w:type="dxa"/>
            <w:tcBorders>
              <w:top w:val="nil"/>
              <w:left w:val="nil"/>
              <w:bottom w:val="single" w:sz="4" w:space="0" w:color="auto"/>
              <w:right w:val="single" w:sz="4" w:space="0" w:color="auto"/>
            </w:tcBorders>
            <w:shd w:val="clear" w:color="auto" w:fill="auto"/>
            <w:noWrap/>
            <w:vAlign w:val="bottom"/>
            <w:hideMark/>
          </w:tcPr>
          <w:p w14:paraId="0902F0E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50E047A0"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728951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pst</w:t>
            </w:r>
          </w:p>
        </w:tc>
        <w:tc>
          <w:tcPr>
            <w:tcW w:w="2009" w:type="dxa"/>
            <w:tcBorders>
              <w:top w:val="nil"/>
              <w:left w:val="nil"/>
              <w:bottom w:val="single" w:sz="4" w:space="0" w:color="auto"/>
              <w:right w:val="single" w:sz="4" w:space="0" w:color="auto"/>
            </w:tcBorders>
            <w:shd w:val="clear" w:color="auto" w:fill="auto"/>
            <w:noWrap/>
            <w:vAlign w:val="bottom"/>
            <w:hideMark/>
          </w:tcPr>
          <w:p w14:paraId="7AEBCC7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727FC076"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C64F3B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pro_mh</w:t>
            </w:r>
          </w:p>
        </w:tc>
        <w:tc>
          <w:tcPr>
            <w:tcW w:w="2839" w:type="dxa"/>
            <w:tcBorders>
              <w:top w:val="nil"/>
              <w:left w:val="nil"/>
              <w:bottom w:val="single" w:sz="4" w:space="0" w:color="auto"/>
              <w:right w:val="single" w:sz="4" w:space="0" w:color="auto"/>
            </w:tcBorders>
            <w:shd w:val="clear" w:color="auto" w:fill="auto"/>
            <w:noWrap/>
            <w:vAlign w:val="bottom"/>
            <w:hideMark/>
          </w:tcPr>
          <w:p w14:paraId="27E74A8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139600000.00</w:t>
            </w:r>
          </w:p>
        </w:tc>
        <w:tc>
          <w:tcPr>
            <w:tcW w:w="1328" w:type="dxa"/>
            <w:tcBorders>
              <w:top w:val="nil"/>
              <w:left w:val="nil"/>
              <w:bottom w:val="single" w:sz="4" w:space="0" w:color="auto"/>
              <w:right w:val="single" w:sz="4" w:space="0" w:color="auto"/>
            </w:tcBorders>
            <w:shd w:val="clear" w:color="auto" w:fill="auto"/>
            <w:noWrap/>
            <w:vAlign w:val="bottom"/>
            <w:hideMark/>
          </w:tcPr>
          <w:p w14:paraId="6F226DE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16DF7A2F"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65F1E5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ac2</w:t>
            </w:r>
          </w:p>
        </w:tc>
        <w:tc>
          <w:tcPr>
            <w:tcW w:w="2009" w:type="dxa"/>
            <w:tcBorders>
              <w:top w:val="nil"/>
              <w:left w:val="nil"/>
              <w:bottom w:val="single" w:sz="4" w:space="0" w:color="auto"/>
              <w:right w:val="single" w:sz="4" w:space="0" w:color="auto"/>
            </w:tcBorders>
            <w:shd w:val="clear" w:color="auto" w:fill="auto"/>
            <w:noWrap/>
            <w:vAlign w:val="bottom"/>
            <w:hideMark/>
          </w:tcPr>
          <w:p w14:paraId="5A1BAB1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4C06234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A075BA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w:t>
            </w:r>
          </w:p>
        </w:tc>
        <w:tc>
          <w:tcPr>
            <w:tcW w:w="2839" w:type="dxa"/>
            <w:tcBorders>
              <w:top w:val="nil"/>
              <w:left w:val="nil"/>
              <w:bottom w:val="single" w:sz="4" w:space="0" w:color="auto"/>
              <w:right w:val="single" w:sz="4" w:space="0" w:color="auto"/>
            </w:tcBorders>
            <w:shd w:val="clear" w:color="auto" w:fill="auto"/>
            <w:noWrap/>
            <w:vAlign w:val="bottom"/>
            <w:hideMark/>
          </w:tcPr>
          <w:p w14:paraId="775458B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796500.00</w:t>
            </w:r>
          </w:p>
        </w:tc>
        <w:tc>
          <w:tcPr>
            <w:tcW w:w="1328" w:type="dxa"/>
            <w:tcBorders>
              <w:top w:val="nil"/>
              <w:left w:val="nil"/>
              <w:bottom w:val="single" w:sz="4" w:space="0" w:color="auto"/>
              <w:right w:val="single" w:sz="4" w:space="0" w:color="auto"/>
            </w:tcBorders>
            <w:shd w:val="clear" w:color="auto" w:fill="auto"/>
            <w:noWrap/>
            <w:vAlign w:val="bottom"/>
            <w:hideMark/>
          </w:tcPr>
          <w:p w14:paraId="79DBEA5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0.56</w:t>
            </w:r>
          </w:p>
        </w:tc>
        <w:tc>
          <w:tcPr>
            <w:tcW w:w="276" w:type="dxa"/>
            <w:tcBorders>
              <w:top w:val="nil"/>
              <w:left w:val="nil"/>
              <w:bottom w:val="nil"/>
              <w:right w:val="nil"/>
            </w:tcBorders>
            <w:shd w:val="clear" w:color="auto" w:fill="auto"/>
            <w:noWrap/>
            <w:vAlign w:val="bottom"/>
            <w:hideMark/>
          </w:tcPr>
          <w:p w14:paraId="04B95297"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54A215A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q</w:t>
            </w:r>
          </w:p>
        </w:tc>
        <w:tc>
          <w:tcPr>
            <w:tcW w:w="2009" w:type="dxa"/>
            <w:tcBorders>
              <w:top w:val="nil"/>
              <w:left w:val="nil"/>
              <w:bottom w:val="single" w:sz="4" w:space="0" w:color="auto"/>
              <w:right w:val="single" w:sz="4" w:space="0" w:color="auto"/>
            </w:tcBorders>
            <w:shd w:val="clear" w:color="auto" w:fill="auto"/>
            <w:noWrap/>
            <w:vAlign w:val="bottom"/>
            <w:hideMark/>
          </w:tcPr>
          <w:p w14:paraId="6925038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7E17F507"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284E3B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ac1</w:t>
            </w:r>
          </w:p>
        </w:tc>
        <w:tc>
          <w:tcPr>
            <w:tcW w:w="2839" w:type="dxa"/>
            <w:tcBorders>
              <w:top w:val="nil"/>
              <w:left w:val="nil"/>
              <w:bottom w:val="single" w:sz="4" w:space="0" w:color="auto"/>
              <w:right w:val="single" w:sz="4" w:space="0" w:color="auto"/>
            </w:tcBorders>
            <w:shd w:val="clear" w:color="auto" w:fill="auto"/>
            <w:noWrap/>
            <w:vAlign w:val="bottom"/>
            <w:hideMark/>
          </w:tcPr>
          <w:p w14:paraId="5F21AE4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-1063000.00</w:t>
            </w:r>
          </w:p>
        </w:tc>
        <w:tc>
          <w:tcPr>
            <w:tcW w:w="1328" w:type="dxa"/>
            <w:tcBorders>
              <w:top w:val="nil"/>
              <w:left w:val="nil"/>
              <w:bottom w:val="single" w:sz="4" w:space="0" w:color="auto"/>
              <w:right w:val="single" w:sz="4" w:space="0" w:color="auto"/>
            </w:tcBorders>
            <w:shd w:val="clear" w:color="auto" w:fill="auto"/>
            <w:noWrap/>
            <w:vAlign w:val="bottom"/>
            <w:hideMark/>
          </w:tcPr>
          <w:p w14:paraId="2A28248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0.56</w:t>
            </w:r>
          </w:p>
        </w:tc>
        <w:tc>
          <w:tcPr>
            <w:tcW w:w="276" w:type="dxa"/>
            <w:tcBorders>
              <w:top w:val="nil"/>
              <w:left w:val="nil"/>
              <w:bottom w:val="nil"/>
              <w:right w:val="nil"/>
            </w:tcBorders>
            <w:shd w:val="clear" w:color="auto" w:fill="auto"/>
            <w:noWrap/>
            <w:vAlign w:val="bottom"/>
            <w:hideMark/>
          </w:tcPr>
          <w:p w14:paraId="610EFCA1"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6FE8A4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ptq2</w:t>
            </w:r>
          </w:p>
        </w:tc>
        <w:tc>
          <w:tcPr>
            <w:tcW w:w="2009" w:type="dxa"/>
            <w:tcBorders>
              <w:top w:val="nil"/>
              <w:left w:val="nil"/>
              <w:bottom w:val="single" w:sz="4" w:space="0" w:color="auto"/>
              <w:right w:val="single" w:sz="4" w:space="0" w:color="auto"/>
            </w:tcBorders>
            <w:shd w:val="clear" w:color="auto" w:fill="auto"/>
            <w:noWrap/>
            <w:vAlign w:val="bottom"/>
            <w:hideMark/>
          </w:tcPr>
          <w:p w14:paraId="3E0C6F5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3ABD3799"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82015F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ac2</w:t>
            </w:r>
          </w:p>
        </w:tc>
        <w:tc>
          <w:tcPr>
            <w:tcW w:w="2839" w:type="dxa"/>
            <w:tcBorders>
              <w:top w:val="nil"/>
              <w:left w:val="nil"/>
              <w:bottom w:val="single" w:sz="4" w:space="0" w:color="auto"/>
              <w:right w:val="single" w:sz="4" w:space="0" w:color="auto"/>
            </w:tcBorders>
            <w:shd w:val="clear" w:color="auto" w:fill="auto"/>
            <w:noWrap/>
            <w:vAlign w:val="bottom"/>
            <w:hideMark/>
          </w:tcPr>
          <w:p w14:paraId="01F85BE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22370000.00</w:t>
            </w:r>
          </w:p>
        </w:tc>
        <w:tc>
          <w:tcPr>
            <w:tcW w:w="1328" w:type="dxa"/>
            <w:tcBorders>
              <w:top w:val="nil"/>
              <w:left w:val="nil"/>
              <w:bottom w:val="single" w:sz="4" w:space="0" w:color="auto"/>
              <w:right w:val="single" w:sz="4" w:space="0" w:color="auto"/>
            </w:tcBorders>
            <w:shd w:val="clear" w:color="auto" w:fill="auto"/>
            <w:noWrap/>
            <w:vAlign w:val="bottom"/>
            <w:hideMark/>
          </w:tcPr>
          <w:p w14:paraId="2FEABA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0.23</w:t>
            </w:r>
          </w:p>
        </w:tc>
        <w:tc>
          <w:tcPr>
            <w:tcW w:w="276" w:type="dxa"/>
            <w:tcBorders>
              <w:top w:val="nil"/>
              <w:left w:val="nil"/>
              <w:bottom w:val="nil"/>
              <w:right w:val="nil"/>
            </w:tcBorders>
            <w:shd w:val="clear" w:color="auto" w:fill="auto"/>
            <w:noWrap/>
            <w:vAlign w:val="bottom"/>
            <w:hideMark/>
          </w:tcPr>
          <w:p w14:paraId="5B0B7866"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216BC5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ah3</w:t>
            </w:r>
          </w:p>
        </w:tc>
        <w:tc>
          <w:tcPr>
            <w:tcW w:w="2009" w:type="dxa"/>
            <w:tcBorders>
              <w:top w:val="nil"/>
              <w:left w:val="nil"/>
              <w:bottom w:val="single" w:sz="4" w:space="0" w:color="auto"/>
              <w:right w:val="single" w:sz="4" w:space="0" w:color="auto"/>
            </w:tcBorders>
            <w:shd w:val="clear" w:color="auto" w:fill="auto"/>
            <w:noWrap/>
            <w:vAlign w:val="bottom"/>
            <w:hideMark/>
          </w:tcPr>
          <w:p w14:paraId="1D43526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C199B65"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80ABDE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tfr1</w:t>
            </w:r>
          </w:p>
        </w:tc>
        <w:tc>
          <w:tcPr>
            <w:tcW w:w="2839" w:type="dxa"/>
            <w:tcBorders>
              <w:top w:val="nil"/>
              <w:left w:val="nil"/>
              <w:bottom w:val="single" w:sz="4" w:space="0" w:color="auto"/>
              <w:right w:val="single" w:sz="4" w:space="0" w:color="auto"/>
            </w:tcBorders>
            <w:shd w:val="clear" w:color="auto" w:fill="auto"/>
            <w:noWrap/>
            <w:vAlign w:val="bottom"/>
            <w:hideMark/>
          </w:tcPr>
          <w:p w14:paraId="1F2502A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-1309000.00</w:t>
            </w:r>
          </w:p>
        </w:tc>
        <w:tc>
          <w:tcPr>
            <w:tcW w:w="1328" w:type="dxa"/>
            <w:tcBorders>
              <w:top w:val="nil"/>
              <w:left w:val="nil"/>
              <w:bottom w:val="single" w:sz="4" w:space="0" w:color="auto"/>
              <w:right w:val="single" w:sz="4" w:space="0" w:color="auto"/>
            </w:tcBorders>
            <w:shd w:val="clear" w:color="auto" w:fill="auto"/>
            <w:noWrap/>
            <w:vAlign w:val="bottom"/>
            <w:hideMark/>
          </w:tcPr>
          <w:p w14:paraId="69E41E3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0.34</w:t>
            </w:r>
          </w:p>
        </w:tc>
        <w:tc>
          <w:tcPr>
            <w:tcW w:w="276" w:type="dxa"/>
            <w:tcBorders>
              <w:top w:val="nil"/>
              <w:left w:val="nil"/>
              <w:bottom w:val="nil"/>
              <w:right w:val="nil"/>
            </w:tcBorders>
            <w:shd w:val="clear" w:color="auto" w:fill="auto"/>
            <w:noWrap/>
            <w:vAlign w:val="bottom"/>
            <w:hideMark/>
          </w:tcPr>
          <w:p w14:paraId="6F689B8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tcPr>
          <w:p w14:paraId="1B2402BC" w14:textId="77777777" w:rsidR="008E7FCE" w:rsidRPr="002F3FE2" w:rsidRDefault="008E7FCE" w:rsidP="009629A6">
            <w:pPr>
              <w:spacing w:after="0" w:line="240" w:lineRule="auto"/>
              <w:jc w:val="center"/>
              <w:rPr>
                <w:rFonts w:eastAsia="Times New Roman"/>
                <w:szCs w:val="24"/>
                <w:lang w:eastAsia="en-ZA"/>
              </w:rPr>
            </w:pPr>
          </w:p>
        </w:tc>
        <w:tc>
          <w:tcPr>
            <w:tcW w:w="2009" w:type="dxa"/>
            <w:tcBorders>
              <w:top w:val="nil"/>
              <w:left w:val="nil"/>
              <w:bottom w:val="single" w:sz="4" w:space="0" w:color="auto"/>
              <w:right w:val="single" w:sz="4" w:space="0" w:color="auto"/>
            </w:tcBorders>
            <w:shd w:val="clear" w:color="auto" w:fill="auto"/>
            <w:noWrap/>
            <w:vAlign w:val="bottom"/>
          </w:tcPr>
          <w:p w14:paraId="4F8994AD" w14:textId="77777777" w:rsidR="008E7FCE" w:rsidRPr="002F3FE2" w:rsidRDefault="008E7FCE" w:rsidP="009629A6">
            <w:pPr>
              <w:spacing w:after="0" w:line="240" w:lineRule="auto"/>
              <w:jc w:val="center"/>
              <w:rPr>
                <w:rFonts w:eastAsia="Times New Roman"/>
                <w:color w:val="000000"/>
                <w:szCs w:val="24"/>
                <w:lang w:eastAsia="en-ZA"/>
              </w:rPr>
            </w:pPr>
          </w:p>
        </w:tc>
      </w:tr>
    </w:tbl>
    <w:p w14:paraId="2D6B56C5" w14:textId="510E38BE" w:rsidR="008E7FCE" w:rsidRDefault="008E7FCE" w:rsidP="008E7FCE">
      <w:pPr>
        <w:rPr>
          <w:rFonts w:eastAsia="Times New Roman"/>
          <w:b/>
          <w:szCs w:val="24"/>
        </w:rPr>
      </w:pPr>
      <w:r w:rsidRPr="004C2A45">
        <w:rPr>
          <w:rFonts w:eastAsia="Times New Roman"/>
          <w:b/>
          <w:szCs w:val="24"/>
        </w:rPr>
        <w:lastRenderedPageBreak/>
        <w:t xml:space="preserve">Table </w:t>
      </w:r>
      <w:r w:rsidR="00622896">
        <w:rPr>
          <w:rFonts w:eastAsia="Times New Roman"/>
          <w:b/>
          <w:szCs w:val="24"/>
        </w:rPr>
        <w:t>7</w:t>
      </w:r>
      <w:r w:rsidRPr="004C2A45">
        <w:rPr>
          <w:rFonts w:eastAsia="Times New Roman"/>
          <w:b/>
          <w:szCs w:val="24"/>
        </w:rPr>
        <w:t>: Sensitivity analysis for parameters of the Coastal savannah model</w:t>
      </w:r>
    </w:p>
    <w:tbl>
      <w:tblPr>
        <w:tblW w:w="9796" w:type="dxa"/>
        <w:tblLook w:val="04A0" w:firstRow="1" w:lastRow="0" w:firstColumn="1" w:lastColumn="0" w:noHBand="0" w:noVBand="1"/>
      </w:tblPr>
      <w:tblGrid>
        <w:gridCol w:w="1765"/>
        <w:gridCol w:w="2480"/>
        <w:gridCol w:w="1358"/>
        <w:gridCol w:w="276"/>
        <w:gridCol w:w="1895"/>
        <w:gridCol w:w="2022"/>
      </w:tblGrid>
      <w:tr w:rsidR="008E7FCE" w:rsidRPr="00812A9A" w14:paraId="55932E20" w14:textId="77777777" w:rsidTr="009629A6">
        <w:trPr>
          <w:trHeight w:val="315"/>
        </w:trPr>
        <w:tc>
          <w:tcPr>
            <w:tcW w:w="9796" w:type="dxa"/>
            <w:gridSpan w:val="6"/>
            <w:tcBorders>
              <w:top w:val="single" w:sz="4" w:space="0" w:color="auto"/>
              <w:left w:val="nil"/>
              <w:bottom w:val="single" w:sz="4" w:space="0" w:color="auto"/>
              <w:right w:val="nil"/>
            </w:tcBorders>
            <w:shd w:val="clear" w:color="auto" w:fill="auto"/>
            <w:noWrap/>
            <w:vAlign w:val="bottom"/>
            <w:hideMark/>
          </w:tcPr>
          <w:p w14:paraId="09EC9EC2" w14:textId="77777777" w:rsidR="008E7FCE" w:rsidRPr="00812A9A" w:rsidRDefault="008E7FCE" w:rsidP="009629A6">
            <w:pPr>
              <w:spacing w:after="0" w:line="240" w:lineRule="auto"/>
              <w:jc w:val="center"/>
              <w:rPr>
                <w:rFonts w:eastAsia="Times New Roman"/>
                <w:b/>
                <w:bCs/>
                <w:color w:val="000000"/>
                <w:szCs w:val="24"/>
                <w:lang w:eastAsia="en-ZA"/>
              </w:rPr>
            </w:pPr>
            <w:r w:rsidRPr="00812A9A">
              <w:rPr>
                <w:rFonts w:eastAsia="Times New Roman"/>
                <w:b/>
                <w:bCs/>
                <w:color w:val="000000"/>
                <w:szCs w:val="24"/>
                <w:lang w:eastAsia="en-ZA"/>
              </w:rPr>
              <w:t>Coastal savannah</w:t>
            </w:r>
          </w:p>
        </w:tc>
      </w:tr>
      <w:tr w:rsidR="008E7FCE" w:rsidRPr="00812A9A" w14:paraId="4CE2C29A" w14:textId="77777777" w:rsidTr="009629A6">
        <w:trPr>
          <w:trHeight w:val="315"/>
        </w:trPr>
        <w:tc>
          <w:tcPr>
            <w:tcW w:w="5603" w:type="dxa"/>
            <w:gridSpan w:val="3"/>
            <w:tcBorders>
              <w:top w:val="nil"/>
              <w:left w:val="single" w:sz="4" w:space="0" w:color="auto"/>
              <w:bottom w:val="single" w:sz="4" w:space="0" w:color="auto"/>
              <w:right w:val="single" w:sz="4" w:space="0" w:color="auto"/>
            </w:tcBorders>
            <w:shd w:val="clear" w:color="auto" w:fill="auto"/>
            <w:noWrap/>
            <w:vAlign w:val="bottom"/>
            <w:hideMark/>
          </w:tcPr>
          <w:p w14:paraId="0A5D5D91" w14:textId="77777777" w:rsidR="008E7FCE" w:rsidRPr="00812A9A" w:rsidRDefault="008E7FCE" w:rsidP="009629A6">
            <w:pPr>
              <w:spacing w:after="0" w:line="240" w:lineRule="auto"/>
              <w:jc w:val="center"/>
              <w:rPr>
                <w:rFonts w:eastAsia="Times New Roman"/>
                <w:b/>
                <w:bCs/>
                <w:color w:val="000000"/>
                <w:szCs w:val="24"/>
                <w:lang w:eastAsia="en-ZA"/>
              </w:rPr>
            </w:pPr>
            <w:r w:rsidRPr="00812A9A">
              <w:rPr>
                <w:rFonts w:eastAsia="Times New Roman"/>
                <w:b/>
                <w:bCs/>
                <w:color w:val="000000"/>
                <w:szCs w:val="24"/>
                <w:lang w:eastAsia="en-ZA"/>
              </w:rPr>
              <w:t>Multiple regression estimation</w:t>
            </w:r>
          </w:p>
        </w:tc>
        <w:tc>
          <w:tcPr>
            <w:tcW w:w="276" w:type="dxa"/>
            <w:tcBorders>
              <w:top w:val="nil"/>
              <w:left w:val="nil"/>
              <w:bottom w:val="nil"/>
              <w:right w:val="single" w:sz="4" w:space="0" w:color="auto"/>
            </w:tcBorders>
            <w:shd w:val="clear" w:color="auto" w:fill="auto"/>
            <w:noWrap/>
            <w:vAlign w:val="bottom"/>
            <w:hideMark/>
          </w:tcPr>
          <w:p w14:paraId="3ADB3248" w14:textId="77777777" w:rsidR="008E7FCE" w:rsidRPr="00812A9A" w:rsidRDefault="008E7FCE" w:rsidP="009629A6">
            <w:pPr>
              <w:spacing w:after="0" w:line="240" w:lineRule="auto"/>
              <w:rPr>
                <w:rFonts w:eastAsia="Times New Roman"/>
                <w:color w:val="000000"/>
                <w:szCs w:val="24"/>
                <w:lang w:eastAsia="en-ZA"/>
              </w:rPr>
            </w:pPr>
            <w:r w:rsidRPr="00812A9A">
              <w:rPr>
                <w:rFonts w:eastAsia="Times New Roman"/>
                <w:color w:val="000000"/>
                <w:szCs w:val="24"/>
                <w:lang w:eastAsia="en-ZA"/>
              </w:rPr>
              <w:t> </w:t>
            </w:r>
          </w:p>
        </w:tc>
        <w:tc>
          <w:tcPr>
            <w:tcW w:w="3917" w:type="dxa"/>
            <w:gridSpan w:val="2"/>
            <w:tcBorders>
              <w:top w:val="nil"/>
              <w:left w:val="nil"/>
              <w:bottom w:val="single" w:sz="4" w:space="0" w:color="auto"/>
              <w:right w:val="single" w:sz="4" w:space="0" w:color="000000"/>
            </w:tcBorders>
            <w:shd w:val="clear" w:color="auto" w:fill="auto"/>
            <w:noWrap/>
            <w:vAlign w:val="bottom"/>
            <w:hideMark/>
          </w:tcPr>
          <w:p w14:paraId="0624CD40" w14:textId="77777777" w:rsidR="008E7FCE" w:rsidRPr="00812A9A" w:rsidRDefault="008E7FCE" w:rsidP="009629A6">
            <w:pPr>
              <w:spacing w:after="0" w:line="240" w:lineRule="auto"/>
              <w:jc w:val="center"/>
              <w:rPr>
                <w:rFonts w:eastAsia="Times New Roman"/>
                <w:b/>
                <w:bCs/>
                <w:color w:val="000000"/>
                <w:szCs w:val="24"/>
                <w:lang w:eastAsia="en-ZA"/>
              </w:rPr>
            </w:pPr>
            <w:r w:rsidRPr="00812A9A">
              <w:rPr>
                <w:rFonts w:eastAsia="Times New Roman"/>
                <w:b/>
                <w:bCs/>
                <w:color w:val="000000"/>
                <w:szCs w:val="24"/>
                <w:lang w:eastAsia="en-ZA"/>
              </w:rPr>
              <w:t>Standardised and ordered coefficients</w:t>
            </w:r>
          </w:p>
        </w:tc>
      </w:tr>
      <w:tr w:rsidR="008E7FCE" w:rsidRPr="00812A9A" w14:paraId="640596D1"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2506A2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Parameter</w:t>
            </w:r>
          </w:p>
        </w:tc>
        <w:tc>
          <w:tcPr>
            <w:tcW w:w="2480" w:type="dxa"/>
            <w:tcBorders>
              <w:top w:val="nil"/>
              <w:left w:val="nil"/>
              <w:bottom w:val="single" w:sz="4" w:space="0" w:color="auto"/>
              <w:right w:val="single" w:sz="4" w:space="0" w:color="auto"/>
            </w:tcBorders>
            <w:shd w:val="clear" w:color="auto" w:fill="auto"/>
            <w:noWrap/>
            <w:vAlign w:val="bottom"/>
            <w:hideMark/>
          </w:tcPr>
          <w:p w14:paraId="5206578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Estimate</w:t>
            </w:r>
          </w:p>
        </w:tc>
        <w:tc>
          <w:tcPr>
            <w:tcW w:w="1358" w:type="dxa"/>
            <w:tcBorders>
              <w:top w:val="nil"/>
              <w:left w:val="nil"/>
              <w:bottom w:val="single" w:sz="4" w:space="0" w:color="auto"/>
              <w:right w:val="single" w:sz="4" w:space="0" w:color="auto"/>
            </w:tcBorders>
            <w:shd w:val="clear" w:color="auto" w:fill="auto"/>
            <w:noWrap/>
            <w:vAlign w:val="bottom"/>
            <w:hideMark/>
          </w:tcPr>
          <w:p w14:paraId="5859AB3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P-value</w:t>
            </w:r>
          </w:p>
        </w:tc>
        <w:tc>
          <w:tcPr>
            <w:tcW w:w="276" w:type="dxa"/>
            <w:tcBorders>
              <w:top w:val="nil"/>
              <w:left w:val="nil"/>
              <w:bottom w:val="nil"/>
              <w:right w:val="nil"/>
            </w:tcBorders>
            <w:shd w:val="clear" w:color="auto" w:fill="auto"/>
            <w:noWrap/>
            <w:vAlign w:val="bottom"/>
            <w:hideMark/>
          </w:tcPr>
          <w:p w14:paraId="03095105"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bottom"/>
            <w:hideMark/>
          </w:tcPr>
          <w:p w14:paraId="1775D49B" w14:textId="77777777" w:rsidR="008E7FCE" w:rsidRPr="00812A9A" w:rsidRDefault="008E7FCE" w:rsidP="009629A6">
            <w:pPr>
              <w:spacing w:after="0" w:line="240" w:lineRule="auto"/>
              <w:rPr>
                <w:rFonts w:eastAsia="Times New Roman"/>
                <w:color w:val="000000"/>
                <w:szCs w:val="24"/>
                <w:lang w:eastAsia="en-ZA"/>
              </w:rPr>
            </w:pPr>
            <w:r w:rsidRPr="00812A9A">
              <w:rPr>
                <w:rFonts w:eastAsia="Times New Roman"/>
                <w:color w:val="000000"/>
                <w:szCs w:val="24"/>
                <w:lang w:eastAsia="en-ZA"/>
              </w:rPr>
              <w:t>parameter</w:t>
            </w:r>
          </w:p>
        </w:tc>
        <w:tc>
          <w:tcPr>
            <w:tcW w:w="2022" w:type="dxa"/>
            <w:tcBorders>
              <w:top w:val="nil"/>
              <w:left w:val="nil"/>
              <w:bottom w:val="single" w:sz="4" w:space="0" w:color="auto"/>
              <w:right w:val="single" w:sz="4" w:space="0" w:color="auto"/>
            </w:tcBorders>
            <w:shd w:val="clear" w:color="auto" w:fill="auto"/>
            <w:noWrap/>
            <w:vAlign w:val="bottom"/>
            <w:hideMark/>
          </w:tcPr>
          <w:p w14:paraId="1E6A0319" w14:textId="77777777" w:rsidR="008E7FCE" w:rsidRPr="00812A9A" w:rsidRDefault="008E7FCE" w:rsidP="009629A6">
            <w:pPr>
              <w:spacing w:after="0" w:line="240" w:lineRule="auto"/>
              <w:rPr>
                <w:rFonts w:eastAsia="Times New Roman"/>
                <w:color w:val="000000"/>
                <w:szCs w:val="24"/>
                <w:lang w:eastAsia="en-ZA"/>
              </w:rPr>
            </w:pPr>
            <w:r w:rsidRPr="00812A9A">
              <w:rPr>
                <w:rFonts w:eastAsia="Times New Roman"/>
                <w:color w:val="000000"/>
                <w:szCs w:val="24"/>
                <w:lang w:eastAsia="en-ZA"/>
              </w:rPr>
              <w:t>coefficient</w:t>
            </w:r>
          </w:p>
        </w:tc>
      </w:tr>
      <w:tr w:rsidR="008E7FCE" w:rsidRPr="00812A9A" w14:paraId="5831066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4577CDB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Intercept</w:t>
            </w:r>
          </w:p>
        </w:tc>
        <w:tc>
          <w:tcPr>
            <w:tcW w:w="2480" w:type="dxa"/>
            <w:tcBorders>
              <w:top w:val="nil"/>
              <w:left w:val="nil"/>
              <w:bottom w:val="single" w:sz="4" w:space="0" w:color="auto"/>
              <w:right w:val="single" w:sz="4" w:space="0" w:color="auto"/>
            </w:tcBorders>
            <w:shd w:val="clear" w:color="auto" w:fill="auto"/>
            <w:noWrap/>
            <w:vAlign w:val="bottom"/>
            <w:hideMark/>
          </w:tcPr>
          <w:p w14:paraId="201C57C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292000000.00</w:t>
            </w:r>
          </w:p>
        </w:tc>
        <w:tc>
          <w:tcPr>
            <w:tcW w:w="1358" w:type="dxa"/>
            <w:tcBorders>
              <w:top w:val="nil"/>
              <w:left w:val="nil"/>
              <w:bottom w:val="single" w:sz="4" w:space="0" w:color="auto"/>
              <w:right w:val="single" w:sz="4" w:space="0" w:color="auto"/>
            </w:tcBorders>
            <w:shd w:val="clear" w:color="auto" w:fill="auto"/>
            <w:noWrap/>
            <w:vAlign w:val="bottom"/>
            <w:hideMark/>
          </w:tcPr>
          <w:p w14:paraId="7A61174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0.91</w:t>
            </w:r>
          </w:p>
        </w:tc>
        <w:tc>
          <w:tcPr>
            <w:tcW w:w="276" w:type="dxa"/>
            <w:tcBorders>
              <w:top w:val="nil"/>
              <w:left w:val="nil"/>
              <w:bottom w:val="nil"/>
              <w:right w:val="nil"/>
            </w:tcBorders>
            <w:shd w:val="clear" w:color="auto" w:fill="auto"/>
            <w:noWrap/>
            <w:vAlign w:val="bottom"/>
            <w:hideMark/>
          </w:tcPr>
          <w:p w14:paraId="79C70DC1"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646794D4"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hlsp</w:t>
            </w:r>
          </w:p>
        </w:tc>
        <w:tc>
          <w:tcPr>
            <w:tcW w:w="2022" w:type="dxa"/>
            <w:tcBorders>
              <w:top w:val="nil"/>
              <w:left w:val="nil"/>
              <w:bottom w:val="single" w:sz="4" w:space="0" w:color="auto"/>
              <w:right w:val="single" w:sz="4" w:space="0" w:color="auto"/>
            </w:tcBorders>
            <w:shd w:val="clear" w:color="auto" w:fill="auto"/>
            <w:noWrap/>
            <w:vAlign w:val="bottom"/>
            <w:hideMark/>
          </w:tcPr>
          <w:p w14:paraId="74C5829F"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10.47</w:t>
            </w:r>
          </w:p>
        </w:tc>
      </w:tr>
      <w:tr w:rsidR="008E7FCE" w:rsidRPr="00812A9A" w14:paraId="2A01817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BCF3B9D"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pc1</w:t>
            </w:r>
          </w:p>
        </w:tc>
        <w:tc>
          <w:tcPr>
            <w:tcW w:w="2480" w:type="dxa"/>
            <w:tcBorders>
              <w:top w:val="nil"/>
              <w:left w:val="nil"/>
              <w:bottom w:val="single" w:sz="4" w:space="0" w:color="auto"/>
              <w:right w:val="single" w:sz="4" w:space="0" w:color="auto"/>
            </w:tcBorders>
            <w:shd w:val="clear" w:color="auto" w:fill="auto"/>
            <w:noWrap/>
            <w:vAlign w:val="bottom"/>
            <w:hideMark/>
          </w:tcPr>
          <w:p w14:paraId="082ED79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4432000.00</w:t>
            </w:r>
          </w:p>
        </w:tc>
        <w:tc>
          <w:tcPr>
            <w:tcW w:w="1358" w:type="dxa"/>
            <w:tcBorders>
              <w:top w:val="nil"/>
              <w:left w:val="nil"/>
              <w:bottom w:val="single" w:sz="4" w:space="0" w:color="auto"/>
              <w:right w:val="single" w:sz="4" w:space="0" w:color="auto"/>
            </w:tcBorders>
            <w:shd w:val="clear" w:color="auto" w:fill="auto"/>
            <w:noWrap/>
            <w:vAlign w:val="bottom"/>
            <w:hideMark/>
          </w:tcPr>
          <w:p w14:paraId="0811A8E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0.02</w:t>
            </w:r>
          </w:p>
        </w:tc>
        <w:tc>
          <w:tcPr>
            <w:tcW w:w="276" w:type="dxa"/>
            <w:tcBorders>
              <w:top w:val="nil"/>
              <w:left w:val="nil"/>
              <w:bottom w:val="nil"/>
              <w:right w:val="nil"/>
            </w:tcBorders>
            <w:shd w:val="clear" w:color="auto" w:fill="auto"/>
            <w:noWrap/>
            <w:vAlign w:val="bottom"/>
            <w:hideMark/>
          </w:tcPr>
          <w:p w14:paraId="28887E3B"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75F63A5"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h</w:t>
            </w:r>
          </w:p>
        </w:tc>
        <w:tc>
          <w:tcPr>
            <w:tcW w:w="2022" w:type="dxa"/>
            <w:tcBorders>
              <w:top w:val="nil"/>
              <w:left w:val="nil"/>
              <w:bottom w:val="single" w:sz="4" w:space="0" w:color="auto"/>
              <w:right w:val="single" w:sz="4" w:space="0" w:color="auto"/>
            </w:tcBorders>
            <w:shd w:val="clear" w:color="auto" w:fill="auto"/>
            <w:noWrap/>
            <w:vAlign w:val="bottom"/>
            <w:hideMark/>
          </w:tcPr>
          <w:p w14:paraId="417E6BFC"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2.16</w:t>
            </w:r>
          </w:p>
        </w:tc>
      </w:tr>
      <w:tr w:rsidR="008E7FCE" w:rsidRPr="00812A9A" w14:paraId="3E1BDD4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6D12AD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pa1</w:t>
            </w:r>
          </w:p>
        </w:tc>
        <w:tc>
          <w:tcPr>
            <w:tcW w:w="2480" w:type="dxa"/>
            <w:tcBorders>
              <w:top w:val="nil"/>
              <w:left w:val="nil"/>
              <w:bottom w:val="single" w:sz="4" w:space="0" w:color="auto"/>
              <w:right w:val="single" w:sz="4" w:space="0" w:color="auto"/>
            </w:tcBorders>
            <w:shd w:val="clear" w:color="auto" w:fill="auto"/>
            <w:noWrap/>
            <w:vAlign w:val="bottom"/>
            <w:hideMark/>
          </w:tcPr>
          <w:p w14:paraId="71656E2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856600.00</w:t>
            </w:r>
          </w:p>
        </w:tc>
        <w:tc>
          <w:tcPr>
            <w:tcW w:w="1358" w:type="dxa"/>
            <w:tcBorders>
              <w:top w:val="nil"/>
              <w:left w:val="nil"/>
              <w:bottom w:val="single" w:sz="4" w:space="0" w:color="auto"/>
              <w:right w:val="single" w:sz="4" w:space="0" w:color="auto"/>
            </w:tcBorders>
            <w:shd w:val="clear" w:color="auto" w:fill="auto"/>
            <w:noWrap/>
            <w:vAlign w:val="bottom"/>
            <w:hideMark/>
          </w:tcPr>
          <w:p w14:paraId="5B404F5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0.32</w:t>
            </w:r>
          </w:p>
        </w:tc>
        <w:tc>
          <w:tcPr>
            <w:tcW w:w="276" w:type="dxa"/>
            <w:tcBorders>
              <w:top w:val="nil"/>
              <w:left w:val="nil"/>
              <w:bottom w:val="nil"/>
              <w:right w:val="nil"/>
            </w:tcBorders>
            <w:shd w:val="clear" w:color="auto" w:fill="auto"/>
            <w:noWrap/>
            <w:vAlign w:val="bottom"/>
            <w:hideMark/>
          </w:tcPr>
          <w:p w14:paraId="4D2FE59D"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188964C"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v</w:t>
            </w:r>
          </w:p>
        </w:tc>
        <w:tc>
          <w:tcPr>
            <w:tcW w:w="2022" w:type="dxa"/>
            <w:tcBorders>
              <w:top w:val="nil"/>
              <w:left w:val="nil"/>
              <w:bottom w:val="single" w:sz="4" w:space="0" w:color="auto"/>
              <w:right w:val="single" w:sz="4" w:space="0" w:color="auto"/>
            </w:tcBorders>
            <w:shd w:val="clear" w:color="auto" w:fill="auto"/>
            <w:noWrap/>
            <w:vAlign w:val="bottom"/>
            <w:hideMark/>
          </w:tcPr>
          <w:p w14:paraId="2FFAA86B"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1.82</w:t>
            </w:r>
          </w:p>
        </w:tc>
      </w:tr>
      <w:tr w:rsidR="008E7FCE" w:rsidRPr="00812A9A" w14:paraId="14B2AF41"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4E0590F0"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pc2</w:t>
            </w:r>
          </w:p>
        </w:tc>
        <w:tc>
          <w:tcPr>
            <w:tcW w:w="2480" w:type="dxa"/>
            <w:tcBorders>
              <w:top w:val="nil"/>
              <w:left w:val="nil"/>
              <w:bottom w:val="single" w:sz="4" w:space="0" w:color="auto"/>
              <w:right w:val="single" w:sz="4" w:space="0" w:color="auto"/>
            </w:tcBorders>
            <w:shd w:val="clear" w:color="auto" w:fill="auto"/>
            <w:noWrap/>
            <w:vAlign w:val="bottom"/>
            <w:hideMark/>
          </w:tcPr>
          <w:p w14:paraId="4696295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132900000.00</w:t>
            </w:r>
          </w:p>
        </w:tc>
        <w:tc>
          <w:tcPr>
            <w:tcW w:w="1358" w:type="dxa"/>
            <w:tcBorders>
              <w:top w:val="nil"/>
              <w:left w:val="nil"/>
              <w:bottom w:val="single" w:sz="4" w:space="0" w:color="auto"/>
              <w:right w:val="single" w:sz="4" w:space="0" w:color="auto"/>
            </w:tcBorders>
            <w:shd w:val="clear" w:color="auto" w:fill="auto"/>
            <w:noWrap/>
            <w:vAlign w:val="bottom"/>
            <w:hideMark/>
          </w:tcPr>
          <w:p w14:paraId="09BCECD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2FD7903C"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7BC51F3E"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pro_hm</w:t>
            </w:r>
          </w:p>
        </w:tc>
        <w:tc>
          <w:tcPr>
            <w:tcW w:w="2022" w:type="dxa"/>
            <w:tcBorders>
              <w:top w:val="nil"/>
              <w:left w:val="nil"/>
              <w:bottom w:val="single" w:sz="4" w:space="0" w:color="auto"/>
              <w:right w:val="single" w:sz="4" w:space="0" w:color="auto"/>
            </w:tcBorders>
            <w:shd w:val="clear" w:color="auto" w:fill="auto"/>
            <w:noWrap/>
            <w:vAlign w:val="bottom"/>
            <w:hideMark/>
          </w:tcPr>
          <w:p w14:paraId="544C785F"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0.58</w:t>
            </w:r>
          </w:p>
        </w:tc>
      </w:tr>
      <w:tr w:rsidR="008E7FCE" w:rsidRPr="00812A9A" w14:paraId="0A93584E"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25FA02D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pa2</w:t>
            </w:r>
          </w:p>
        </w:tc>
        <w:tc>
          <w:tcPr>
            <w:tcW w:w="2480" w:type="dxa"/>
            <w:tcBorders>
              <w:top w:val="nil"/>
              <w:left w:val="nil"/>
              <w:bottom w:val="single" w:sz="4" w:space="0" w:color="auto"/>
              <w:right w:val="single" w:sz="4" w:space="0" w:color="auto"/>
            </w:tcBorders>
            <w:shd w:val="clear" w:color="auto" w:fill="auto"/>
            <w:noWrap/>
            <w:vAlign w:val="bottom"/>
            <w:hideMark/>
          </w:tcPr>
          <w:p w14:paraId="034ADA3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8551000.00</w:t>
            </w:r>
          </w:p>
        </w:tc>
        <w:tc>
          <w:tcPr>
            <w:tcW w:w="1358" w:type="dxa"/>
            <w:tcBorders>
              <w:top w:val="nil"/>
              <w:left w:val="nil"/>
              <w:bottom w:val="single" w:sz="4" w:space="0" w:color="auto"/>
              <w:right w:val="single" w:sz="4" w:space="0" w:color="auto"/>
            </w:tcBorders>
            <w:shd w:val="clear" w:color="auto" w:fill="auto"/>
            <w:noWrap/>
            <w:vAlign w:val="bottom"/>
            <w:hideMark/>
          </w:tcPr>
          <w:p w14:paraId="69A2B5C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0.24</w:t>
            </w:r>
          </w:p>
        </w:tc>
        <w:tc>
          <w:tcPr>
            <w:tcW w:w="276" w:type="dxa"/>
            <w:tcBorders>
              <w:top w:val="nil"/>
              <w:left w:val="nil"/>
              <w:bottom w:val="nil"/>
              <w:right w:val="nil"/>
            </w:tcBorders>
            <w:shd w:val="clear" w:color="auto" w:fill="auto"/>
            <w:noWrap/>
            <w:vAlign w:val="bottom"/>
            <w:hideMark/>
          </w:tcPr>
          <w:p w14:paraId="2224F49B"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7EC8B034"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pc2</w:t>
            </w:r>
          </w:p>
        </w:tc>
        <w:tc>
          <w:tcPr>
            <w:tcW w:w="2022" w:type="dxa"/>
            <w:tcBorders>
              <w:top w:val="nil"/>
              <w:left w:val="nil"/>
              <w:bottom w:val="single" w:sz="4" w:space="0" w:color="auto"/>
              <w:right w:val="single" w:sz="4" w:space="0" w:color="auto"/>
            </w:tcBorders>
            <w:shd w:val="clear" w:color="auto" w:fill="auto"/>
            <w:noWrap/>
            <w:vAlign w:val="bottom"/>
            <w:hideMark/>
          </w:tcPr>
          <w:p w14:paraId="741CA92F"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0.28</w:t>
            </w:r>
          </w:p>
        </w:tc>
      </w:tr>
      <w:tr w:rsidR="008E7FCE" w:rsidRPr="00812A9A" w14:paraId="61AAE4FD"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1AF4EEC"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ppc</w:t>
            </w:r>
          </w:p>
        </w:tc>
        <w:tc>
          <w:tcPr>
            <w:tcW w:w="2480" w:type="dxa"/>
            <w:tcBorders>
              <w:top w:val="nil"/>
              <w:left w:val="nil"/>
              <w:bottom w:val="single" w:sz="4" w:space="0" w:color="auto"/>
              <w:right w:val="single" w:sz="4" w:space="0" w:color="auto"/>
            </w:tcBorders>
            <w:shd w:val="clear" w:color="auto" w:fill="auto"/>
            <w:noWrap/>
            <w:vAlign w:val="bottom"/>
            <w:hideMark/>
          </w:tcPr>
          <w:p w14:paraId="4D73A27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-9640000.00</w:t>
            </w:r>
          </w:p>
        </w:tc>
        <w:tc>
          <w:tcPr>
            <w:tcW w:w="1358" w:type="dxa"/>
            <w:tcBorders>
              <w:top w:val="nil"/>
              <w:left w:val="nil"/>
              <w:bottom w:val="single" w:sz="4" w:space="0" w:color="auto"/>
              <w:right w:val="single" w:sz="4" w:space="0" w:color="auto"/>
            </w:tcBorders>
            <w:shd w:val="clear" w:color="auto" w:fill="auto"/>
            <w:noWrap/>
            <w:vAlign w:val="bottom"/>
            <w:hideMark/>
          </w:tcPr>
          <w:p w14:paraId="682D0DF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0.18</w:t>
            </w:r>
          </w:p>
        </w:tc>
        <w:tc>
          <w:tcPr>
            <w:tcW w:w="276" w:type="dxa"/>
            <w:tcBorders>
              <w:top w:val="nil"/>
              <w:left w:val="nil"/>
              <w:bottom w:val="nil"/>
              <w:right w:val="nil"/>
            </w:tcBorders>
            <w:shd w:val="clear" w:color="auto" w:fill="auto"/>
            <w:noWrap/>
            <w:vAlign w:val="bottom"/>
            <w:hideMark/>
          </w:tcPr>
          <w:p w14:paraId="237EA3CA"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C5E400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ac1</w:t>
            </w:r>
          </w:p>
        </w:tc>
        <w:tc>
          <w:tcPr>
            <w:tcW w:w="2022" w:type="dxa"/>
            <w:tcBorders>
              <w:top w:val="nil"/>
              <w:left w:val="nil"/>
              <w:bottom w:val="single" w:sz="4" w:space="0" w:color="auto"/>
              <w:right w:val="single" w:sz="4" w:space="0" w:color="auto"/>
            </w:tcBorders>
            <w:shd w:val="clear" w:color="auto" w:fill="auto"/>
            <w:noWrap/>
            <w:vAlign w:val="bottom"/>
            <w:hideMark/>
          </w:tcPr>
          <w:p w14:paraId="56CBC0A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0.16</w:t>
            </w:r>
          </w:p>
        </w:tc>
      </w:tr>
      <w:tr w:rsidR="008E7FCE" w:rsidRPr="00812A9A" w14:paraId="1F5C015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741FB6B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ppa</w:t>
            </w:r>
          </w:p>
        </w:tc>
        <w:tc>
          <w:tcPr>
            <w:tcW w:w="2480" w:type="dxa"/>
            <w:tcBorders>
              <w:top w:val="nil"/>
              <w:left w:val="nil"/>
              <w:bottom w:val="single" w:sz="4" w:space="0" w:color="auto"/>
              <w:right w:val="single" w:sz="4" w:space="0" w:color="auto"/>
            </w:tcBorders>
            <w:shd w:val="clear" w:color="auto" w:fill="auto"/>
            <w:noWrap/>
            <w:vAlign w:val="bottom"/>
            <w:hideMark/>
          </w:tcPr>
          <w:p w14:paraId="7FB09D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1138000.00</w:t>
            </w:r>
          </w:p>
        </w:tc>
        <w:tc>
          <w:tcPr>
            <w:tcW w:w="1358" w:type="dxa"/>
            <w:tcBorders>
              <w:top w:val="nil"/>
              <w:left w:val="nil"/>
              <w:bottom w:val="single" w:sz="4" w:space="0" w:color="auto"/>
              <w:right w:val="single" w:sz="4" w:space="0" w:color="auto"/>
            </w:tcBorders>
            <w:shd w:val="clear" w:color="auto" w:fill="auto"/>
            <w:noWrap/>
            <w:vAlign w:val="bottom"/>
            <w:hideMark/>
          </w:tcPr>
          <w:p w14:paraId="3584478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0.16</w:t>
            </w:r>
          </w:p>
        </w:tc>
        <w:tc>
          <w:tcPr>
            <w:tcW w:w="276" w:type="dxa"/>
            <w:tcBorders>
              <w:top w:val="nil"/>
              <w:left w:val="nil"/>
              <w:bottom w:val="nil"/>
              <w:right w:val="nil"/>
            </w:tcBorders>
            <w:shd w:val="clear" w:color="auto" w:fill="auto"/>
            <w:noWrap/>
            <w:vAlign w:val="bottom"/>
            <w:hideMark/>
          </w:tcPr>
          <w:p w14:paraId="2EB9760A"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BF22F9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rho1</w:t>
            </w:r>
          </w:p>
        </w:tc>
        <w:tc>
          <w:tcPr>
            <w:tcW w:w="2022" w:type="dxa"/>
            <w:tcBorders>
              <w:top w:val="nil"/>
              <w:left w:val="nil"/>
              <w:bottom w:val="single" w:sz="4" w:space="0" w:color="auto"/>
              <w:right w:val="single" w:sz="4" w:space="0" w:color="auto"/>
            </w:tcBorders>
            <w:shd w:val="clear" w:color="auto" w:fill="auto"/>
            <w:noWrap/>
            <w:vAlign w:val="bottom"/>
            <w:hideMark/>
          </w:tcPr>
          <w:p w14:paraId="35191C3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0.13</w:t>
            </w:r>
          </w:p>
        </w:tc>
      </w:tr>
      <w:tr w:rsidR="008E7FCE" w:rsidRPr="00812A9A" w14:paraId="5D2244B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27ACF3AD"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x</w:t>
            </w:r>
          </w:p>
        </w:tc>
        <w:tc>
          <w:tcPr>
            <w:tcW w:w="2480" w:type="dxa"/>
            <w:tcBorders>
              <w:top w:val="nil"/>
              <w:left w:val="nil"/>
              <w:bottom w:val="single" w:sz="4" w:space="0" w:color="auto"/>
              <w:right w:val="single" w:sz="4" w:space="0" w:color="auto"/>
            </w:tcBorders>
            <w:shd w:val="clear" w:color="auto" w:fill="auto"/>
            <w:noWrap/>
            <w:vAlign w:val="bottom"/>
            <w:hideMark/>
          </w:tcPr>
          <w:p w14:paraId="310CF1B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-72560000.00</w:t>
            </w:r>
          </w:p>
        </w:tc>
        <w:tc>
          <w:tcPr>
            <w:tcW w:w="1358" w:type="dxa"/>
            <w:tcBorders>
              <w:top w:val="nil"/>
              <w:left w:val="nil"/>
              <w:bottom w:val="single" w:sz="4" w:space="0" w:color="auto"/>
              <w:right w:val="single" w:sz="4" w:space="0" w:color="auto"/>
            </w:tcBorders>
            <w:shd w:val="clear" w:color="auto" w:fill="auto"/>
            <w:noWrap/>
            <w:vAlign w:val="bottom"/>
            <w:hideMark/>
          </w:tcPr>
          <w:p w14:paraId="58A2BAD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0.98</w:t>
            </w:r>
          </w:p>
        </w:tc>
        <w:tc>
          <w:tcPr>
            <w:tcW w:w="276" w:type="dxa"/>
            <w:tcBorders>
              <w:top w:val="nil"/>
              <w:left w:val="nil"/>
              <w:bottom w:val="nil"/>
              <w:right w:val="nil"/>
            </w:tcBorders>
            <w:shd w:val="clear" w:color="auto" w:fill="auto"/>
            <w:noWrap/>
            <w:vAlign w:val="bottom"/>
            <w:hideMark/>
          </w:tcPr>
          <w:p w14:paraId="75E6F2D7"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37FF246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m2</w:t>
            </w:r>
          </w:p>
        </w:tc>
        <w:tc>
          <w:tcPr>
            <w:tcW w:w="2022" w:type="dxa"/>
            <w:tcBorders>
              <w:top w:val="nil"/>
              <w:left w:val="nil"/>
              <w:bottom w:val="single" w:sz="4" w:space="0" w:color="auto"/>
              <w:right w:val="single" w:sz="4" w:space="0" w:color="auto"/>
            </w:tcBorders>
            <w:shd w:val="clear" w:color="auto" w:fill="auto"/>
            <w:noWrap/>
            <w:vAlign w:val="bottom"/>
            <w:hideMark/>
          </w:tcPr>
          <w:p w14:paraId="52247ED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0.11</w:t>
            </w:r>
          </w:p>
        </w:tc>
      </w:tr>
      <w:tr w:rsidR="008E7FCE" w:rsidRPr="00812A9A" w14:paraId="5220203B"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6B2CEB7"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Kv</w:t>
            </w:r>
          </w:p>
        </w:tc>
        <w:tc>
          <w:tcPr>
            <w:tcW w:w="2480" w:type="dxa"/>
            <w:tcBorders>
              <w:top w:val="nil"/>
              <w:left w:val="nil"/>
              <w:bottom w:val="single" w:sz="4" w:space="0" w:color="auto"/>
              <w:right w:val="single" w:sz="4" w:space="0" w:color="auto"/>
            </w:tcBorders>
            <w:shd w:val="clear" w:color="auto" w:fill="auto"/>
            <w:noWrap/>
            <w:vAlign w:val="bottom"/>
            <w:hideMark/>
          </w:tcPr>
          <w:p w14:paraId="14B0F8B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-13.94</w:t>
            </w:r>
          </w:p>
        </w:tc>
        <w:tc>
          <w:tcPr>
            <w:tcW w:w="1358" w:type="dxa"/>
            <w:tcBorders>
              <w:top w:val="nil"/>
              <w:left w:val="nil"/>
              <w:bottom w:val="single" w:sz="4" w:space="0" w:color="auto"/>
              <w:right w:val="single" w:sz="4" w:space="0" w:color="auto"/>
            </w:tcBorders>
            <w:shd w:val="clear" w:color="auto" w:fill="auto"/>
            <w:noWrap/>
            <w:vAlign w:val="bottom"/>
            <w:hideMark/>
          </w:tcPr>
          <w:p w14:paraId="6442E4E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0.89</w:t>
            </w:r>
          </w:p>
        </w:tc>
        <w:tc>
          <w:tcPr>
            <w:tcW w:w="276" w:type="dxa"/>
            <w:tcBorders>
              <w:top w:val="nil"/>
              <w:left w:val="nil"/>
              <w:bottom w:val="nil"/>
              <w:right w:val="nil"/>
            </w:tcBorders>
            <w:shd w:val="clear" w:color="auto" w:fill="auto"/>
            <w:noWrap/>
            <w:vAlign w:val="bottom"/>
            <w:hideMark/>
          </w:tcPr>
          <w:p w14:paraId="7553D930"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CC008E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ah1</w:t>
            </w:r>
          </w:p>
        </w:tc>
        <w:tc>
          <w:tcPr>
            <w:tcW w:w="2022" w:type="dxa"/>
            <w:tcBorders>
              <w:top w:val="nil"/>
              <w:left w:val="nil"/>
              <w:bottom w:val="single" w:sz="4" w:space="0" w:color="auto"/>
              <w:right w:val="single" w:sz="4" w:space="0" w:color="auto"/>
            </w:tcBorders>
            <w:shd w:val="clear" w:color="auto" w:fill="auto"/>
            <w:noWrap/>
            <w:vAlign w:val="bottom"/>
            <w:hideMark/>
          </w:tcPr>
          <w:p w14:paraId="5E21CF7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0.11</w:t>
            </w:r>
          </w:p>
        </w:tc>
      </w:tr>
      <w:tr w:rsidR="008E7FCE" w:rsidRPr="00812A9A" w14:paraId="1FFDCED1"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5814CC7"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m1</w:t>
            </w:r>
          </w:p>
        </w:tc>
        <w:tc>
          <w:tcPr>
            <w:tcW w:w="2480" w:type="dxa"/>
            <w:tcBorders>
              <w:top w:val="nil"/>
              <w:left w:val="nil"/>
              <w:bottom w:val="single" w:sz="4" w:space="0" w:color="auto"/>
              <w:right w:val="single" w:sz="4" w:space="0" w:color="auto"/>
            </w:tcBorders>
            <w:shd w:val="clear" w:color="auto" w:fill="auto"/>
            <w:noWrap/>
            <w:vAlign w:val="bottom"/>
            <w:hideMark/>
          </w:tcPr>
          <w:p w14:paraId="3C6B43D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33370000.00</w:t>
            </w:r>
          </w:p>
        </w:tc>
        <w:tc>
          <w:tcPr>
            <w:tcW w:w="1358" w:type="dxa"/>
            <w:tcBorders>
              <w:top w:val="nil"/>
              <w:left w:val="nil"/>
              <w:bottom w:val="single" w:sz="4" w:space="0" w:color="auto"/>
              <w:right w:val="single" w:sz="4" w:space="0" w:color="auto"/>
            </w:tcBorders>
            <w:shd w:val="clear" w:color="auto" w:fill="auto"/>
            <w:noWrap/>
            <w:vAlign w:val="bottom"/>
            <w:hideMark/>
          </w:tcPr>
          <w:p w14:paraId="7A17396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6801B5CD"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4A858B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pm</w:t>
            </w:r>
          </w:p>
        </w:tc>
        <w:tc>
          <w:tcPr>
            <w:tcW w:w="2022" w:type="dxa"/>
            <w:tcBorders>
              <w:top w:val="nil"/>
              <w:left w:val="nil"/>
              <w:bottom w:val="single" w:sz="4" w:space="0" w:color="auto"/>
              <w:right w:val="single" w:sz="4" w:space="0" w:color="auto"/>
            </w:tcBorders>
            <w:shd w:val="clear" w:color="auto" w:fill="auto"/>
            <w:noWrap/>
            <w:vAlign w:val="bottom"/>
            <w:hideMark/>
          </w:tcPr>
          <w:p w14:paraId="695FEC6C"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0.09</w:t>
            </w:r>
          </w:p>
        </w:tc>
      </w:tr>
      <w:tr w:rsidR="008E7FCE" w:rsidRPr="00812A9A" w14:paraId="7C0804F7"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6F3EAC3"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m2</w:t>
            </w:r>
          </w:p>
        </w:tc>
        <w:tc>
          <w:tcPr>
            <w:tcW w:w="2480" w:type="dxa"/>
            <w:tcBorders>
              <w:top w:val="nil"/>
              <w:left w:val="nil"/>
              <w:bottom w:val="single" w:sz="4" w:space="0" w:color="auto"/>
              <w:right w:val="single" w:sz="4" w:space="0" w:color="auto"/>
            </w:tcBorders>
            <w:shd w:val="clear" w:color="auto" w:fill="auto"/>
            <w:noWrap/>
            <w:vAlign w:val="bottom"/>
            <w:hideMark/>
          </w:tcPr>
          <w:p w14:paraId="3682159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101300000.00</w:t>
            </w:r>
          </w:p>
        </w:tc>
        <w:tc>
          <w:tcPr>
            <w:tcW w:w="1358" w:type="dxa"/>
            <w:tcBorders>
              <w:top w:val="nil"/>
              <w:left w:val="nil"/>
              <w:bottom w:val="single" w:sz="4" w:space="0" w:color="auto"/>
              <w:right w:val="single" w:sz="4" w:space="0" w:color="auto"/>
            </w:tcBorders>
            <w:shd w:val="clear" w:color="auto" w:fill="auto"/>
            <w:noWrap/>
            <w:vAlign w:val="bottom"/>
            <w:hideMark/>
          </w:tcPr>
          <w:p w14:paraId="3782A755"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2A5A362E"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61DD556E"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tfr1</w:t>
            </w:r>
          </w:p>
        </w:tc>
        <w:tc>
          <w:tcPr>
            <w:tcW w:w="2022" w:type="dxa"/>
            <w:tcBorders>
              <w:top w:val="nil"/>
              <w:left w:val="nil"/>
              <w:bottom w:val="single" w:sz="4" w:space="0" w:color="auto"/>
              <w:right w:val="single" w:sz="4" w:space="0" w:color="auto"/>
            </w:tcBorders>
            <w:shd w:val="clear" w:color="auto" w:fill="auto"/>
            <w:noWrap/>
            <w:vAlign w:val="bottom"/>
            <w:hideMark/>
          </w:tcPr>
          <w:p w14:paraId="03234B2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0.07</w:t>
            </w:r>
          </w:p>
        </w:tc>
      </w:tr>
      <w:tr w:rsidR="008E7FCE" w:rsidRPr="00812A9A" w14:paraId="330898A3"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AB36F1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ps</w:t>
            </w:r>
          </w:p>
        </w:tc>
        <w:tc>
          <w:tcPr>
            <w:tcW w:w="2480" w:type="dxa"/>
            <w:tcBorders>
              <w:top w:val="nil"/>
              <w:left w:val="nil"/>
              <w:bottom w:val="single" w:sz="4" w:space="0" w:color="auto"/>
              <w:right w:val="single" w:sz="4" w:space="0" w:color="auto"/>
            </w:tcBorders>
            <w:shd w:val="clear" w:color="auto" w:fill="auto"/>
            <w:noWrap/>
            <w:vAlign w:val="bottom"/>
            <w:hideMark/>
          </w:tcPr>
          <w:p w14:paraId="30B9C3C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-15970000.00</w:t>
            </w:r>
          </w:p>
        </w:tc>
        <w:tc>
          <w:tcPr>
            <w:tcW w:w="1358" w:type="dxa"/>
            <w:tcBorders>
              <w:top w:val="nil"/>
              <w:left w:val="nil"/>
              <w:bottom w:val="single" w:sz="4" w:space="0" w:color="auto"/>
              <w:right w:val="single" w:sz="4" w:space="0" w:color="auto"/>
            </w:tcBorders>
            <w:shd w:val="clear" w:color="auto" w:fill="auto"/>
            <w:noWrap/>
            <w:vAlign w:val="bottom"/>
            <w:hideMark/>
          </w:tcPr>
          <w:p w14:paraId="6197D3B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0.03</w:t>
            </w:r>
          </w:p>
        </w:tc>
        <w:tc>
          <w:tcPr>
            <w:tcW w:w="276" w:type="dxa"/>
            <w:tcBorders>
              <w:top w:val="nil"/>
              <w:left w:val="nil"/>
              <w:bottom w:val="nil"/>
              <w:right w:val="nil"/>
            </w:tcBorders>
            <w:shd w:val="clear" w:color="auto" w:fill="auto"/>
            <w:noWrap/>
            <w:vAlign w:val="bottom"/>
            <w:hideMark/>
          </w:tcPr>
          <w:p w14:paraId="18A24FC7"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5DB4A87"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m1</w:t>
            </w:r>
          </w:p>
        </w:tc>
        <w:tc>
          <w:tcPr>
            <w:tcW w:w="2022" w:type="dxa"/>
            <w:tcBorders>
              <w:top w:val="nil"/>
              <w:left w:val="nil"/>
              <w:bottom w:val="single" w:sz="4" w:space="0" w:color="auto"/>
              <w:right w:val="single" w:sz="4" w:space="0" w:color="auto"/>
            </w:tcBorders>
            <w:shd w:val="clear" w:color="auto" w:fill="auto"/>
            <w:noWrap/>
            <w:vAlign w:val="bottom"/>
            <w:hideMark/>
          </w:tcPr>
          <w:p w14:paraId="68C6F09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0.04</w:t>
            </w:r>
          </w:p>
        </w:tc>
      </w:tr>
      <w:tr w:rsidR="008E7FCE" w:rsidRPr="00812A9A" w14:paraId="6791518A"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BD47F80"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pst</w:t>
            </w:r>
          </w:p>
        </w:tc>
        <w:tc>
          <w:tcPr>
            <w:tcW w:w="2480" w:type="dxa"/>
            <w:tcBorders>
              <w:top w:val="nil"/>
              <w:left w:val="nil"/>
              <w:bottom w:val="single" w:sz="4" w:space="0" w:color="auto"/>
              <w:right w:val="single" w:sz="4" w:space="0" w:color="auto"/>
            </w:tcBorders>
            <w:shd w:val="clear" w:color="auto" w:fill="auto"/>
            <w:noWrap/>
            <w:vAlign w:val="bottom"/>
            <w:hideMark/>
          </w:tcPr>
          <w:p w14:paraId="522C4CF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-11570000.00</w:t>
            </w:r>
          </w:p>
        </w:tc>
        <w:tc>
          <w:tcPr>
            <w:tcW w:w="1358" w:type="dxa"/>
            <w:tcBorders>
              <w:top w:val="nil"/>
              <w:left w:val="nil"/>
              <w:bottom w:val="single" w:sz="4" w:space="0" w:color="auto"/>
              <w:right w:val="single" w:sz="4" w:space="0" w:color="auto"/>
            </w:tcBorders>
            <w:shd w:val="clear" w:color="auto" w:fill="auto"/>
            <w:noWrap/>
            <w:vAlign w:val="bottom"/>
            <w:hideMark/>
          </w:tcPr>
          <w:p w14:paraId="0892203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68EA8817"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0873B75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pn</w:t>
            </w:r>
          </w:p>
        </w:tc>
        <w:tc>
          <w:tcPr>
            <w:tcW w:w="2022" w:type="dxa"/>
            <w:tcBorders>
              <w:top w:val="nil"/>
              <w:left w:val="nil"/>
              <w:bottom w:val="single" w:sz="4" w:space="0" w:color="auto"/>
              <w:right w:val="single" w:sz="4" w:space="0" w:color="auto"/>
            </w:tcBorders>
            <w:shd w:val="clear" w:color="auto" w:fill="auto"/>
            <w:noWrap/>
            <w:vAlign w:val="bottom"/>
            <w:hideMark/>
          </w:tcPr>
          <w:p w14:paraId="5A4D6E6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0.02</w:t>
            </w:r>
          </w:p>
        </w:tc>
      </w:tr>
      <w:tr w:rsidR="008E7FCE" w:rsidRPr="00812A9A" w14:paraId="69508D0E"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4CF1F91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pn</w:t>
            </w:r>
          </w:p>
        </w:tc>
        <w:tc>
          <w:tcPr>
            <w:tcW w:w="2480" w:type="dxa"/>
            <w:tcBorders>
              <w:top w:val="nil"/>
              <w:left w:val="nil"/>
              <w:bottom w:val="single" w:sz="4" w:space="0" w:color="auto"/>
              <w:right w:val="single" w:sz="4" w:space="0" w:color="auto"/>
            </w:tcBorders>
            <w:shd w:val="clear" w:color="auto" w:fill="auto"/>
            <w:noWrap/>
            <w:vAlign w:val="bottom"/>
            <w:hideMark/>
          </w:tcPr>
          <w:p w14:paraId="79EDDF0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538000.00</w:t>
            </w:r>
          </w:p>
        </w:tc>
        <w:tc>
          <w:tcPr>
            <w:tcW w:w="1358" w:type="dxa"/>
            <w:tcBorders>
              <w:top w:val="nil"/>
              <w:left w:val="nil"/>
              <w:bottom w:val="single" w:sz="4" w:space="0" w:color="auto"/>
              <w:right w:val="single" w:sz="4" w:space="0" w:color="auto"/>
            </w:tcBorders>
            <w:shd w:val="clear" w:color="auto" w:fill="auto"/>
            <w:noWrap/>
            <w:vAlign w:val="bottom"/>
            <w:hideMark/>
          </w:tcPr>
          <w:p w14:paraId="3591795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0.46</w:t>
            </w:r>
          </w:p>
        </w:tc>
        <w:tc>
          <w:tcPr>
            <w:tcW w:w="276" w:type="dxa"/>
            <w:tcBorders>
              <w:top w:val="nil"/>
              <w:left w:val="nil"/>
              <w:bottom w:val="nil"/>
              <w:right w:val="nil"/>
            </w:tcBorders>
            <w:shd w:val="clear" w:color="auto" w:fill="auto"/>
            <w:noWrap/>
            <w:vAlign w:val="bottom"/>
            <w:hideMark/>
          </w:tcPr>
          <w:p w14:paraId="28E9C79E"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B9BC24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pc1</w:t>
            </w:r>
          </w:p>
        </w:tc>
        <w:tc>
          <w:tcPr>
            <w:tcW w:w="2022" w:type="dxa"/>
            <w:tcBorders>
              <w:top w:val="nil"/>
              <w:left w:val="nil"/>
              <w:bottom w:val="single" w:sz="4" w:space="0" w:color="auto"/>
              <w:right w:val="single" w:sz="4" w:space="0" w:color="auto"/>
            </w:tcBorders>
            <w:shd w:val="clear" w:color="auto" w:fill="auto"/>
            <w:noWrap/>
            <w:vAlign w:val="bottom"/>
            <w:hideMark/>
          </w:tcPr>
          <w:p w14:paraId="1178FB6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0.02</w:t>
            </w:r>
          </w:p>
        </w:tc>
      </w:tr>
      <w:tr w:rsidR="008E7FCE" w:rsidRPr="00812A9A" w14:paraId="7388F324"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240439A"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pm</w:t>
            </w:r>
          </w:p>
        </w:tc>
        <w:tc>
          <w:tcPr>
            <w:tcW w:w="2480" w:type="dxa"/>
            <w:tcBorders>
              <w:top w:val="nil"/>
              <w:left w:val="nil"/>
              <w:bottom w:val="single" w:sz="4" w:space="0" w:color="auto"/>
              <w:right w:val="single" w:sz="4" w:space="0" w:color="auto"/>
            </w:tcBorders>
            <w:shd w:val="clear" w:color="auto" w:fill="auto"/>
            <w:noWrap/>
            <w:vAlign w:val="bottom"/>
            <w:hideMark/>
          </w:tcPr>
          <w:p w14:paraId="066E4BE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-1864000.00</w:t>
            </w:r>
          </w:p>
        </w:tc>
        <w:tc>
          <w:tcPr>
            <w:tcW w:w="1358" w:type="dxa"/>
            <w:tcBorders>
              <w:top w:val="nil"/>
              <w:left w:val="nil"/>
              <w:bottom w:val="single" w:sz="4" w:space="0" w:color="auto"/>
              <w:right w:val="single" w:sz="4" w:space="0" w:color="auto"/>
            </w:tcBorders>
            <w:shd w:val="clear" w:color="auto" w:fill="auto"/>
            <w:noWrap/>
            <w:vAlign w:val="bottom"/>
            <w:hideMark/>
          </w:tcPr>
          <w:p w14:paraId="5062B86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c>
          <w:tcPr>
            <w:tcW w:w="276" w:type="dxa"/>
            <w:tcBorders>
              <w:top w:val="nil"/>
              <w:left w:val="nil"/>
              <w:bottom w:val="nil"/>
              <w:right w:val="nil"/>
            </w:tcBorders>
            <w:shd w:val="clear" w:color="auto" w:fill="auto"/>
            <w:noWrap/>
            <w:vAlign w:val="bottom"/>
            <w:hideMark/>
          </w:tcPr>
          <w:p w14:paraId="76493F4D"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730E5EC9"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rho2</w:t>
            </w:r>
          </w:p>
        </w:tc>
        <w:tc>
          <w:tcPr>
            <w:tcW w:w="2022" w:type="dxa"/>
            <w:tcBorders>
              <w:top w:val="nil"/>
              <w:left w:val="nil"/>
              <w:bottom w:val="single" w:sz="4" w:space="0" w:color="auto"/>
              <w:right w:val="single" w:sz="4" w:space="0" w:color="auto"/>
            </w:tcBorders>
            <w:shd w:val="clear" w:color="auto" w:fill="auto"/>
            <w:noWrap/>
            <w:vAlign w:val="bottom"/>
            <w:hideMark/>
          </w:tcPr>
          <w:p w14:paraId="095741EE"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140B18E8"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tcPr>
          <w:p w14:paraId="67E4A84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ss</w:t>
            </w:r>
          </w:p>
        </w:tc>
        <w:tc>
          <w:tcPr>
            <w:tcW w:w="2480" w:type="dxa"/>
            <w:tcBorders>
              <w:top w:val="nil"/>
              <w:left w:val="nil"/>
              <w:bottom w:val="single" w:sz="4" w:space="0" w:color="auto"/>
              <w:right w:val="single" w:sz="4" w:space="0" w:color="auto"/>
            </w:tcBorders>
            <w:shd w:val="clear" w:color="auto" w:fill="auto"/>
            <w:noWrap/>
            <w:vAlign w:val="bottom"/>
          </w:tcPr>
          <w:p w14:paraId="4A19BED5"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-3908.00</w:t>
            </w:r>
          </w:p>
        </w:tc>
        <w:tc>
          <w:tcPr>
            <w:tcW w:w="1358" w:type="dxa"/>
            <w:tcBorders>
              <w:top w:val="nil"/>
              <w:left w:val="nil"/>
              <w:bottom w:val="single" w:sz="4" w:space="0" w:color="auto"/>
              <w:right w:val="single" w:sz="4" w:space="0" w:color="auto"/>
            </w:tcBorders>
            <w:shd w:val="clear" w:color="auto" w:fill="auto"/>
            <w:noWrap/>
            <w:vAlign w:val="bottom"/>
          </w:tcPr>
          <w:p w14:paraId="58BACCF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0.89</w:t>
            </w:r>
          </w:p>
        </w:tc>
        <w:tc>
          <w:tcPr>
            <w:tcW w:w="276" w:type="dxa"/>
            <w:tcBorders>
              <w:top w:val="nil"/>
              <w:left w:val="nil"/>
              <w:bottom w:val="nil"/>
              <w:right w:val="nil"/>
            </w:tcBorders>
            <w:shd w:val="clear" w:color="auto" w:fill="auto"/>
            <w:noWrap/>
            <w:vAlign w:val="bottom"/>
            <w:hideMark/>
          </w:tcPr>
          <w:p w14:paraId="1155120B"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07A1F75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t1</w:t>
            </w:r>
          </w:p>
        </w:tc>
        <w:tc>
          <w:tcPr>
            <w:tcW w:w="2022" w:type="dxa"/>
            <w:tcBorders>
              <w:top w:val="nil"/>
              <w:left w:val="nil"/>
              <w:bottom w:val="single" w:sz="4" w:space="0" w:color="auto"/>
              <w:right w:val="single" w:sz="4" w:space="0" w:color="auto"/>
            </w:tcBorders>
            <w:shd w:val="clear" w:color="auto" w:fill="auto"/>
            <w:noWrap/>
            <w:vAlign w:val="bottom"/>
            <w:hideMark/>
          </w:tcPr>
          <w:p w14:paraId="6B9A285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6DE048EB"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8C73ADA"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h</w:t>
            </w:r>
          </w:p>
        </w:tc>
        <w:tc>
          <w:tcPr>
            <w:tcW w:w="2480" w:type="dxa"/>
            <w:tcBorders>
              <w:top w:val="nil"/>
              <w:left w:val="nil"/>
              <w:bottom w:val="single" w:sz="4" w:space="0" w:color="auto"/>
              <w:right w:val="single" w:sz="4" w:space="0" w:color="auto"/>
            </w:tcBorders>
            <w:shd w:val="clear" w:color="auto" w:fill="auto"/>
            <w:noWrap/>
            <w:vAlign w:val="bottom"/>
            <w:hideMark/>
          </w:tcPr>
          <w:p w14:paraId="5E2964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-31590.00</w:t>
            </w:r>
          </w:p>
        </w:tc>
        <w:tc>
          <w:tcPr>
            <w:tcW w:w="1358" w:type="dxa"/>
            <w:tcBorders>
              <w:top w:val="nil"/>
              <w:left w:val="nil"/>
              <w:bottom w:val="single" w:sz="4" w:space="0" w:color="auto"/>
              <w:right w:val="single" w:sz="4" w:space="0" w:color="auto"/>
            </w:tcBorders>
            <w:shd w:val="clear" w:color="auto" w:fill="auto"/>
            <w:noWrap/>
            <w:vAlign w:val="bottom"/>
            <w:hideMark/>
          </w:tcPr>
          <w:p w14:paraId="74EE7E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0.57</w:t>
            </w:r>
          </w:p>
        </w:tc>
        <w:tc>
          <w:tcPr>
            <w:tcW w:w="276" w:type="dxa"/>
            <w:tcBorders>
              <w:top w:val="nil"/>
              <w:left w:val="nil"/>
              <w:bottom w:val="nil"/>
              <w:right w:val="nil"/>
            </w:tcBorders>
            <w:shd w:val="clear" w:color="auto" w:fill="auto"/>
            <w:noWrap/>
            <w:vAlign w:val="bottom"/>
            <w:hideMark/>
          </w:tcPr>
          <w:p w14:paraId="7C651865"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D65DCB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ps</w:t>
            </w:r>
          </w:p>
        </w:tc>
        <w:tc>
          <w:tcPr>
            <w:tcW w:w="2022" w:type="dxa"/>
            <w:tcBorders>
              <w:top w:val="nil"/>
              <w:left w:val="nil"/>
              <w:bottom w:val="single" w:sz="4" w:space="0" w:color="auto"/>
              <w:right w:val="single" w:sz="4" w:space="0" w:color="auto"/>
            </w:tcBorders>
            <w:shd w:val="clear" w:color="auto" w:fill="auto"/>
            <w:noWrap/>
            <w:vAlign w:val="bottom"/>
            <w:hideMark/>
          </w:tcPr>
          <w:p w14:paraId="57D051D5"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40CD4259"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05A58D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q</w:t>
            </w:r>
          </w:p>
        </w:tc>
        <w:tc>
          <w:tcPr>
            <w:tcW w:w="2480" w:type="dxa"/>
            <w:tcBorders>
              <w:top w:val="nil"/>
              <w:left w:val="nil"/>
              <w:bottom w:val="single" w:sz="4" w:space="0" w:color="auto"/>
              <w:right w:val="single" w:sz="4" w:space="0" w:color="auto"/>
            </w:tcBorders>
            <w:shd w:val="clear" w:color="auto" w:fill="auto"/>
            <w:noWrap/>
            <w:vAlign w:val="bottom"/>
            <w:hideMark/>
          </w:tcPr>
          <w:p w14:paraId="350EA7C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-15140000.00</w:t>
            </w:r>
          </w:p>
        </w:tc>
        <w:tc>
          <w:tcPr>
            <w:tcW w:w="1358" w:type="dxa"/>
            <w:tcBorders>
              <w:top w:val="nil"/>
              <w:left w:val="nil"/>
              <w:bottom w:val="single" w:sz="4" w:space="0" w:color="auto"/>
              <w:right w:val="single" w:sz="4" w:space="0" w:color="auto"/>
            </w:tcBorders>
            <w:shd w:val="clear" w:color="auto" w:fill="auto"/>
            <w:noWrap/>
            <w:vAlign w:val="bottom"/>
            <w:hideMark/>
          </w:tcPr>
          <w:p w14:paraId="0E47C4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0.48</w:t>
            </w:r>
          </w:p>
        </w:tc>
        <w:tc>
          <w:tcPr>
            <w:tcW w:w="276" w:type="dxa"/>
            <w:tcBorders>
              <w:top w:val="nil"/>
              <w:left w:val="nil"/>
              <w:bottom w:val="nil"/>
              <w:right w:val="nil"/>
            </w:tcBorders>
            <w:shd w:val="clear" w:color="auto" w:fill="auto"/>
            <w:noWrap/>
            <w:vAlign w:val="bottom"/>
            <w:hideMark/>
          </w:tcPr>
          <w:p w14:paraId="7237291C"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93113B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ppa</w:t>
            </w:r>
          </w:p>
        </w:tc>
        <w:tc>
          <w:tcPr>
            <w:tcW w:w="2022" w:type="dxa"/>
            <w:tcBorders>
              <w:top w:val="nil"/>
              <w:left w:val="nil"/>
              <w:bottom w:val="single" w:sz="4" w:space="0" w:color="auto"/>
              <w:right w:val="single" w:sz="4" w:space="0" w:color="auto"/>
            </w:tcBorders>
            <w:shd w:val="clear" w:color="auto" w:fill="auto"/>
            <w:noWrap/>
            <w:vAlign w:val="bottom"/>
            <w:hideMark/>
          </w:tcPr>
          <w:p w14:paraId="7ACDB60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357BA141"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D772A79"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gamma</w:t>
            </w:r>
          </w:p>
        </w:tc>
        <w:tc>
          <w:tcPr>
            <w:tcW w:w="2480" w:type="dxa"/>
            <w:tcBorders>
              <w:top w:val="nil"/>
              <w:left w:val="nil"/>
              <w:bottom w:val="single" w:sz="4" w:space="0" w:color="auto"/>
              <w:right w:val="single" w:sz="4" w:space="0" w:color="auto"/>
            </w:tcBorders>
            <w:shd w:val="clear" w:color="auto" w:fill="auto"/>
            <w:noWrap/>
            <w:vAlign w:val="bottom"/>
            <w:hideMark/>
          </w:tcPr>
          <w:p w14:paraId="7FA52B2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62860.00</w:t>
            </w:r>
          </w:p>
        </w:tc>
        <w:tc>
          <w:tcPr>
            <w:tcW w:w="1358" w:type="dxa"/>
            <w:tcBorders>
              <w:top w:val="nil"/>
              <w:left w:val="nil"/>
              <w:bottom w:val="single" w:sz="4" w:space="0" w:color="auto"/>
              <w:right w:val="single" w:sz="4" w:space="0" w:color="auto"/>
            </w:tcBorders>
            <w:shd w:val="clear" w:color="auto" w:fill="auto"/>
            <w:noWrap/>
            <w:vAlign w:val="bottom"/>
            <w:hideMark/>
          </w:tcPr>
          <w:p w14:paraId="7E74CCF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0.80</w:t>
            </w:r>
          </w:p>
        </w:tc>
        <w:tc>
          <w:tcPr>
            <w:tcW w:w="276" w:type="dxa"/>
            <w:tcBorders>
              <w:top w:val="nil"/>
              <w:left w:val="nil"/>
              <w:bottom w:val="nil"/>
              <w:right w:val="nil"/>
            </w:tcBorders>
            <w:shd w:val="clear" w:color="auto" w:fill="auto"/>
            <w:noWrap/>
            <w:vAlign w:val="bottom"/>
            <w:hideMark/>
          </w:tcPr>
          <w:p w14:paraId="61E8AF58"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369BAE0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ppc</w:t>
            </w:r>
          </w:p>
        </w:tc>
        <w:tc>
          <w:tcPr>
            <w:tcW w:w="2022" w:type="dxa"/>
            <w:tcBorders>
              <w:top w:val="nil"/>
              <w:left w:val="nil"/>
              <w:bottom w:val="single" w:sz="4" w:space="0" w:color="auto"/>
              <w:right w:val="single" w:sz="4" w:space="0" w:color="auto"/>
            </w:tcBorders>
            <w:shd w:val="clear" w:color="auto" w:fill="auto"/>
            <w:noWrap/>
            <w:vAlign w:val="bottom"/>
            <w:hideMark/>
          </w:tcPr>
          <w:p w14:paraId="0D70A52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63D942D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2E61247"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t1</w:t>
            </w:r>
          </w:p>
        </w:tc>
        <w:tc>
          <w:tcPr>
            <w:tcW w:w="2480" w:type="dxa"/>
            <w:tcBorders>
              <w:top w:val="nil"/>
              <w:left w:val="nil"/>
              <w:bottom w:val="single" w:sz="4" w:space="0" w:color="auto"/>
              <w:right w:val="single" w:sz="4" w:space="0" w:color="auto"/>
            </w:tcBorders>
            <w:shd w:val="clear" w:color="auto" w:fill="auto"/>
            <w:noWrap/>
            <w:vAlign w:val="bottom"/>
            <w:hideMark/>
          </w:tcPr>
          <w:p w14:paraId="2F581B90"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-16880.00</w:t>
            </w:r>
          </w:p>
        </w:tc>
        <w:tc>
          <w:tcPr>
            <w:tcW w:w="1358" w:type="dxa"/>
            <w:tcBorders>
              <w:top w:val="nil"/>
              <w:left w:val="nil"/>
              <w:bottom w:val="single" w:sz="4" w:space="0" w:color="auto"/>
              <w:right w:val="single" w:sz="4" w:space="0" w:color="auto"/>
            </w:tcBorders>
            <w:shd w:val="clear" w:color="auto" w:fill="auto"/>
            <w:noWrap/>
            <w:vAlign w:val="bottom"/>
            <w:hideMark/>
          </w:tcPr>
          <w:p w14:paraId="6226411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0.06</w:t>
            </w:r>
          </w:p>
        </w:tc>
        <w:tc>
          <w:tcPr>
            <w:tcW w:w="276" w:type="dxa"/>
            <w:tcBorders>
              <w:top w:val="nil"/>
              <w:left w:val="nil"/>
              <w:bottom w:val="nil"/>
              <w:right w:val="nil"/>
            </w:tcBorders>
            <w:shd w:val="clear" w:color="auto" w:fill="auto"/>
            <w:noWrap/>
            <w:vAlign w:val="bottom"/>
            <w:hideMark/>
          </w:tcPr>
          <w:p w14:paraId="709D2BFC"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58AD47B3"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pa2</w:t>
            </w:r>
          </w:p>
        </w:tc>
        <w:tc>
          <w:tcPr>
            <w:tcW w:w="2022" w:type="dxa"/>
            <w:tcBorders>
              <w:top w:val="nil"/>
              <w:left w:val="nil"/>
              <w:bottom w:val="single" w:sz="4" w:space="0" w:color="auto"/>
              <w:right w:val="single" w:sz="4" w:space="0" w:color="auto"/>
            </w:tcBorders>
            <w:shd w:val="clear" w:color="auto" w:fill="auto"/>
            <w:noWrap/>
            <w:vAlign w:val="bottom"/>
            <w:hideMark/>
          </w:tcPr>
          <w:p w14:paraId="0AA4804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1B701767"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20E5E3E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rho1</w:t>
            </w:r>
          </w:p>
        </w:tc>
        <w:tc>
          <w:tcPr>
            <w:tcW w:w="2480" w:type="dxa"/>
            <w:tcBorders>
              <w:top w:val="nil"/>
              <w:left w:val="nil"/>
              <w:bottom w:val="single" w:sz="4" w:space="0" w:color="auto"/>
              <w:right w:val="single" w:sz="4" w:space="0" w:color="auto"/>
            </w:tcBorders>
            <w:shd w:val="clear" w:color="auto" w:fill="auto"/>
            <w:noWrap/>
            <w:vAlign w:val="bottom"/>
            <w:hideMark/>
          </w:tcPr>
          <w:p w14:paraId="2E6619A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-14350.00</w:t>
            </w:r>
          </w:p>
        </w:tc>
        <w:tc>
          <w:tcPr>
            <w:tcW w:w="1358" w:type="dxa"/>
            <w:tcBorders>
              <w:top w:val="nil"/>
              <w:left w:val="nil"/>
              <w:bottom w:val="single" w:sz="4" w:space="0" w:color="auto"/>
              <w:right w:val="single" w:sz="4" w:space="0" w:color="auto"/>
            </w:tcBorders>
            <w:shd w:val="clear" w:color="auto" w:fill="auto"/>
            <w:noWrap/>
            <w:vAlign w:val="bottom"/>
            <w:hideMark/>
          </w:tcPr>
          <w:p w14:paraId="1DF2B645"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0.12</w:t>
            </w:r>
          </w:p>
        </w:tc>
        <w:tc>
          <w:tcPr>
            <w:tcW w:w="276" w:type="dxa"/>
            <w:tcBorders>
              <w:top w:val="nil"/>
              <w:left w:val="nil"/>
              <w:bottom w:val="nil"/>
              <w:right w:val="nil"/>
            </w:tcBorders>
            <w:shd w:val="clear" w:color="auto" w:fill="auto"/>
            <w:noWrap/>
            <w:vAlign w:val="bottom"/>
            <w:hideMark/>
          </w:tcPr>
          <w:p w14:paraId="03473B0E"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5EB12E39"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w:t>
            </w:r>
          </w:p>
        </w:tc>
        <w:tc>
          <w:tcPr>
            <w:tcW w:w="2022" w:type="dxa"/>
            <w:tcBorders>
              <w:top w:val="nil"/>
              <w:left w:val="nil"/>
              <w:bottom w:val="single" w:sz="4" w:space="0" w:color="auto"/>
              <w:right w:val="single" w:sz="4" w:space="0" w:color="auto"/>
            </w:tcBorders>
            <w:shd w:val="clear" w:color="auto" w:fill="auto"/>
            <w:noWrap/>
            <w:vAlign w:val="bottom"/>
            <w:hideMark/>
          </w:tcPr>
          <w:p w14:paraId="4E472C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0630FCA2"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63E999E"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ptq2</w:t>
            </w:r>
          </w:p>
        </w:tc>
        <w:tc>
          <w:tcPr>
            <w:tcW w:w="2480" w:type="dxa"/>
            <w:tcBorders>
              <w:top w:val="nil"/>
              <w:left w:val="nil"/>
              <w:bottom w:val="single" w:sz="4" w:space="0" w:color="auto"/>
              <w:right w:val="single" w:sz="4" w:space="0" w:color="auto"/>
            </w:tcBorders>
            <w:shd w:val="clear" w:color="auto" w:fill="auto"/>
            <w:noWrap/>
            <w:vAlign w:val="bottom"/>
            <w:hideMark/>
          </w:tcPr>
          <w:p w14:paraId="1A981C0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150200.00</w:t>
            </w:r>
          </w:p>
        </w:tc>
        <w:tc>
          <w:tcPr>
            <w:tcW w:w="1358" w:type="dxa"/>
            <w:tcBorders>
              <w:top w:val="nil"/>
              <w:left w:val="nil"/>
              <w:bottom w:val="single" w:sz="4" w:space="0" w:color="auto"/>
              <w:right w:val="single" w:sz="4" w:space="0" w:color="auto"/>
            </w:tcBorders>
            <w:shd w:val="clear" w:color="auto" w:fill="auto"/>
            <w:noWrap/>
            <w:vAlign w:val="bottom"/>
            <w:hideMark/>
          </w:tcPr>
          <w:p w14:paraId="5877823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0.84</w:t>
            </w:r>
          </w:p>
        </w:tc>
        <w:tc>
          <w:tcPr>
            <w:tcW w:w="276" w:type="dxa"/>
            <w:tcBorders>
              <w:top w:val="nil"/>
              <w:left w:val="nil"/>
              <w:bottom w:val="nil"/>
              <w:right w:val="nil"/>
            </w:tcBorders>
            <w:shd w:val="clear" w:color="auto" w:fill="auto"/>
            <w:noWrap/>
            <w:vAlign w:val="bottom"/>
            <w:hideMark/>
          </w:tcPr>
          <w:p w14:paraId="7BCB8418"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997802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ss</w:t>
            </w:r>
          </w:p>
        </w:tc>
        <w:tc>
          <w:tcPr>
            <w:tcW w:w="2022" w:type="dxa"/>
            <w:tcBorders>
              <w:top w:val="nil"/>
              <w:left w:val="nil"/>
              <w:bottom w:val="single" w:sz="4" w:space="0" w:color="auto"/>
              <w:right w:val="single" w:sz="4" w:space="0" w:color="auto"/>
            </w:tcBorders>
            <w:shd w:val="clear" w:color="auto" w:fill="auto"/>
            <w:noWrap/>
            <w:vAlign w:val="bottom"/>
            <w:hideMark/>
          </w:tcPr>
          <w:p w14:paraId="541D617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1DE81AF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205883A2"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rho2</w:t>
            </w:r>
          </w:p>
        </w:tc>
        <w:tc>
          <w:tcPr>
            <w:tcW w:w="2480" w:type="dxa"/>
            <w:tcBorders>
              <w:top w:val="nil"/>
              <w:left w:val="nil"/>
              <w:bottom w:val="single" w:sz="4" w:space="0" w:color="auto"/>
              <w:right w:val="single" w:sz="4" w:space="0" w:color="auto"/>
            </w:tcBorders>
            <w:shd w:val="clear" w:color="auto" w:fill="auto"/>
            <w:noWrap/>
            <w:vAlign w:val="bottom"/>
            <w:hideMark/>
          </w:tcPr>
          <w:p w14:paraId="7EBE9AD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93010.00</w:t>
            </w:r>
          </w:p>
        </w:tc>
        <w:tc>
          <w:tcPr>
            <w:tcW w:w="1358" w:type="dxa"/>
            <w:tcBorders>
              <w:top w:val="nil"/>
              <w:left w:val="nil"/>
              <w:bottom w:val="single" w:sz="4" w:space="0" w:color="auto"/>
              <w:right w:val="single" w:sz="4" w:space="0" w:color="auto"/>
            </w:tcBorders>
            <w:shd w:val="clear" w:color="auto" w:fill="auto"/>
            <w:noWrap/>
            <w:vAlign w:val="bottom"/>
            <w:hideMark/>
          </w:tcPr>
          <w:p w14:paraId="714724C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0.02</w:t>
            </w:r>
          </w:p>
        </w:tc>
        <w:tc>
          <w:tcPr>
            <w:tcW w:w="276" w:type="dxa"/>
            <w:tcBorders>
              <w:top w:val="nil"/>
              <w:left w:val="nil"/>
              <w:bottom w:val="nil"/>
              <w:right w:val="nil"/>
            </w:tcBorders>
            <w:shd w:val="clear" w:color="auto" w:fill="auto"/>
            <w:noWrap/>
            <w:vAlign w:val="bottom"/>
            <w:hideMark/>
          </w:tcPr>
          <w:p w14:paraId="515A3404"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0C8A5BF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pa1</w:t>
            </w:r>
          </w:p>
        </w:tc>
        <w:tc>
          <w:tcPr>
            <w:tcW w:w="2022" w:type="dxa"/>
            <w:tcBorders>
              <w:top w:val="nil"/>
              <w:left w:val="nil"/>
              <w:bottom w:val="single" w:sz="4" w:space="0" w:color="auto"/>
              <w:right w:val="single" w:sz="4" w:space="0" w:color="auto"/>
            </w:tcBorders>
            <w:shd w:val="clear" w:color="auto" w:fill="auto"/>
            <w:noWrap/>
            <w:vAlign w:val="bottom"/>
            <w:hideMark/>
          </w:tcPr>
          <w:p w14:paraId="32F5E1E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12D4D92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C5FF4A2"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v</w:t>
            </w:r>
          </w:p>
        </w:tc>
        <w:tc>
          <w:tcPr>
            <w:tcW w:w="2480" w:type="dxa"/>
            <w:tcBorders>
              <w:top w:val="nil"/>
              <w:left w:val="nil"/>
              <w:bottom w:val="single" w:sz="4" w:space="0" w:color="auto"/>
              <w:right w:val="single" w:sz="4" w:space="0" w:color="auto"/>
            </w:tcBorders>
            <w:shd w:val="clear" w:color="auto" w:fill="auto"/>
            <w:noWrap/>
            <w:vAlign w:val="bottom"/>
            <w:hideMark/>
          </w:tcPr>
          <w:p w14:paraId="3838E8C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-74080.00</w:t>
            </w:r>
          </w:p>
        </w:tc>
        <w:tc>
          <w:tcPr>
            <w:tcW w:w="1358" w:type="dxa"/>
            <w:tcBorders>
              <w:top w:val="nil"/>
              <w:left w:val="nil"/>
              <w:bottom w:val="single" w:sz="4" w:space="0" w:color="auto"/>
              <w:right w:val="single" w:sz="4" w:space="0" w:color="auto"/>
            </w:tcBorders>
            <w:shd w:val="clear" w:color="auto" w:fill="auto"/>
            <w:noWrap/>
            <w:vAlign w:val="bottom"/>
            <w:hideMark/>
          </w:tcPr>
          <w:p w14:paraId="7A480DB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0.03</w:t>
            </w:r>
          </w:p>
        </w:tc>
        <w:tc>
          <w:tcPr>
            <w:tcW w:w="276" w:type="dxa"/>
            <w:tcBorders>
              <w:top w:val="nil"/>
              <w:left w:val="nil"/>
              <w:bottom w:val="nil"/>
              <w:right w:val="nil"/>
            </w:tcBorders>
            <w:shd w:val="clear" w:color="auto" w:fill="auto"/>
            <w:noWrap/>
            <w:vAlign w:val="bottom"/>
            <w:hideMark/>
          </w:tcPr>
          <w:p w14:paraId="3942E804"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56CBC6AE"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pro_mh</w:t>
            </w:r>
          </w:p>
        </w:tc>
        <w:tc>
          <w:tcPr>
            <w:tcW w:w="2022" w:type="dxa"/>
            <w:tcBorders>
              <w:top w:val="nil"/>
              <w:left w:val="nil"/>
              <w:bottom w:val="single" w:sz="4" w:space="0" w:color="auto"/>
              <w:right w:val="single" w:sz="4" w:space="0" w:color="auto"/>
            </w:tcBorders>
            <w:shd w:val="clear" w:color="auto" w:fill="auto"/>
            <w:noWrap/>
            <w:vAlign w:val="bottom"/>
            <w:hideMark/>
          </w:tcPr>
          <w:p w14:paraId="6291EA4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0F6058F8"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A9B1AE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nr</w:t>
            </w:r>
          </w:p>
        </w:tc>
        <w:tc>
          <w:tcPr>
            <w:tcW w:w="2480" w:type="dxa"/>
            <w:tcBorders>
              <w:top w:val="nil"/>
              <w:left w:val="nil"/>
              <w:bottom w:val="single" w:sz="4" w:space="0" w:color="auto"/>
              <w:right w:val="single" w:sz="4" w:space="0" w:color="auto"/>
            </w:tcBorders>
            <w:shd w:val="clear" w:color="auto" w:fill="auto"/>
            <w:noWrap/>
            <w:vAlign w:val="bottom"/>
            <w:hideMark/>
          </w:tcPr>
          <w:p w14:paraId="7B63440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7937000.00</w:t>
            </w:r>
          </w:p>
        </w:tc>
        <w:tc>
          <w:tcPr>
            <w:tcW w:w="1358" w:type="dxa"/>
            <w:tcBorders>
              <w:top w:val="nil"/>
              <w:left w:val="nil"/>
              <w:bottom w:val="single" w:sz="4" w:space="0" w:color="auto"/>
              <w:right w:val="single" w:sz="4" w:space="0" w:color="auto"/>
            </w:tcBorders>
            <w:shd w:val="clear" w:color="auto" w:fill="auto"/>
            <w:noWrap/>
            <w:vAlign w:val="bottom"/>
            <w:hideMark/>
          </w:tcPr>
          <w:p w14:paraId="2A35273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0.41</w:t>
            </w:r>
          </w:p>
        </w:tc>
        <w:tc>
          <w:tcPr>
            <w:tcW w:w="276" w:type="dxa"/>
            <w:tcBorders>
              <w:top w:val="nil"/>
              <w:left w:val="nil"/>
              <w:bottom w:val="nil"/>
              <w:right w:val="nil"/>
            </w:tcBorders>
            <w:shd w:val="clear" w:color="auto" w:fill="auto"/>
            <w:noWrap/>
            <w:vAlign w:val="bottom"/>
            <w:hideMark/>
          </w:tcPr>
          <w:p w14:paraId="542E5A32"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1471B9D"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pst</w:t>
            </w:r>
          </w:p>
        </w:tc>
        <w:tc>
          <w:tcPr>
            <w:tcW w:w="2022" w:type="dxa"/>
            <w:tcBorders>
              <w:top w:val="nil"/>
              <w:left w:val="nil"/>
              <w:bottom w:val="single" w:sz="4" w:space="0" w:color="auto"/>
              <w:right w:val="single" w:sz="4" w:space="0" w:color="auto"/>
            </w:tcBorders>
            <w:shd w:val="clear" w:color="auto" w:fill="auto"/>
            <w:noWrap/>
            <w:vAlign w:val="bottom"/>
            <w:hideMark/>
          </w:tcPr>
          <w:p w14:paraId="6FFB1BA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6B90319F"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7E41D54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ah1</w:t>
            </w:r>
          </w:p>
        </w:tc>
        <w:tc>
          <w:tcPr>
            <w:tcW w:w="2480" w:type="dxa"/>
            <w:tcBorders>
              <w:top w:val="nil"/>
              <w:left w:val="nil"/>
              <w:bottom w:val="single" w:sz="4" w:space="0" w:color="auto"/>
              <w:right w:val="single" w:sz="4" w:space="0" w:color="auto"/>
            </w:tcBorders>
            <w:shd w:val="clear" w:color="auto" w:fill="auto"/>
            <w:noWrap/>
            <w:vAlign w:val="bottom"/>
            <w:hideMark/>
          </w:tcPr>
          <w:p w14:paraId="3E9F943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3824000.00</w:t>
            </w:r>
          </w:p>
        </w:tc>
        <w:tc>
          <w:tcPr>
            <w:tcW w:w="1358" w:type="dxa"/>
            <w:tcBorders>
              <w:top w:val="nil"/>
              <w:left w:val="nil"/>
              <w:bottom w:val="single" w:sz="4" w:space="0" w:color="auto"/>
              <w:right w:val="single" w:sz="4" w:space="0" w:color="auto"/>
            </w:tcBorders>
            <w:shd w:val="clear" w:color="auto" w:fill="auto"/>
            <w:noWrap/>
            <w:vAlign w:val="bottom"/>
            <w:hideMark/>
          </w:tcPr>
          <w:p w14:paraId="0B065F1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0E7AF663"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E4ADF33"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pt3</w:t>
            </w:r>
          </w:p>
        </w:tc>
        <w:tc>
          <w:tcPr>
            <w:tcW w:w="2022" w:type="dxa"/>
            <w:tcBorders>
              <w:top w:val="nil"/>
              <w:left w:val="nil"/>
              <w:bottom w:val="single" w:sz="4" w:space="0" w:color="auto"/>
              <w:right w:val="single" w:sz="4" w:space="0" w:color="auto"/>
            </w:tcBorders>
            <w:shd w:val="clear" w:color="auto" w:fill="auto"/>
            <w:noWrap/>
            <w:vAlign w:val="bottom"/>
            <w:hideMark/>
          </w:tcPr>
          <w:p w14:paraId="396179F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4A12185E"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5CC928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ah2</w:t>
            </w:r>
          </w:p>
        </w:tc>
        <w:tc>
          <w:tcPr>
            <w:tcW w:w="2480" w:type="dxa"/>
            <w:tcBorders>
              <w:top w:val="nil"/>
              <w:left w:val="nil"/>
              <w:bottom w:val="single" w:sz="4" w:space="0" w:color="auto"/>
              <w:right w:val="single" w:sz="4" w:space="0" w:color="auto"/>
            </w:tcBorders>
            <w:shd w:val="clear" w:color="auto" w:fill="auto"/>
            <w:noWrap/>
            <w:vAlign w:val="bottom"/>
            <w:hideMark/>
          </w:tcPr>
          <w:p w14:paraId="641D2E8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9822000.00</w:t>
            </w:r>
          </w:p>
        </w:tc>
        <w:tc>
          <w:tcPr>
            <w:tcW w:w="1358" w:type="dxa"/>
            <w:tcBorders>
              <w:top w:val="nil"/>
              <w:left w:val="nil"/>
              <w:bottom w:val="single" w:sz="4" w:space="0" w:color="auto"/>
              <w:right w:val="single" w:sz="4" w:space="0" w:color="auto"/>
            </w:tcBorders>
            <w:shd w:val="clear" w:color="auto" w:fill="auto"/>
            <w:noWrap/>
            <w:vAlign w:val="bottom"/>
            <w:hideMark/>
          </w:tcPr>
          <w:p w14:paraId="4E8E34A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0.50</w:t>
            </w:r>
          </w:p>
        </w:tc>
        <w:tc>
          <w:tcPr>
            <w:tcW w:w="276" w:type="dxa"/>
            <w:tcBorders>
              <w:top w:val="nil"/>
              <w:left w:val="nil"/>
              <w:bottom w:val="nil"/>
              <w:right w:val="nil"/>
            </w:tcBorders>
            <w:shd w:val="clear" w:color="auto" w:fill="auto"/>
            <w:noWrap/>
            <w:vAlign w:val="bottom"/>
            <w:hideMark/>
          </w:tcPr>
          <w:p w14:paraId="4086B512"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0ADD5B8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nr</w:t>
            </w:r>
          </w:p>
        </w:tc>
        <w:tc>
          <w:tcPr>
            <w:tcW w:w="2022" w:type="dxa"/>
            <w:tcBorders>
              <w:top w:val="nil"/>
              <w:left w:val="nil"/>
              <w:bottom w:val="single" w:sz="4" w:space="0" w:color="auto"/>
              <w:right w:val="single" w:sz="4" w:space="0" w:color="auto"/>
            </w:tcBorders>
            <w:shd w:val="clear" w:color="auto" w:fill="auto"/>
            <w:noWrap/>
            <w:vAlign w:val="bottom"/>
            <w:hideMark/>
          </w:tcPr>
          <w:p w14:paraId="690D9B7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504FAAE4"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33DBCD2"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px</w:t>
            </w:r>
          </w:p>
        </w:tc>
        <w:tc>
          <w:tcPr>
            <w:tcW w:w="2480" w:type="dxa"/>
            <w:tcBorders>
              <w:top w:val="nil"/>
              <w:left w:val="nil"/>
              <w:bottom w:val="single" w:sz="4" w:space="0" w:color="auto"/>
              <w:right w:val="single" w:sz="4" w:space="0" w:color="auto"/>
            </w:tcBorders>
            <w:shd w:val="clear" w:color="auto" w:fill="auto"/>
            <w:noWrap/>
            <w:vAlign w:val="bottom"/>
            <w:hideMark/>
          </w:tcPr>
          <w:p w14:paraId="628182A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-587500.00</w:t>
            </w:r>
          </w:p>
        </w:tc>
        <w:tc>
          <w:tcPr>
            <w:tcW w:w="1358" w:type="dxa"/>
            <w:tcBorders>
              <w:top w:val="nil"/>
              <w:left w:val="nil"/>
              <w:bottom w:val="single" w:sz="4" w:space="0" w:color="auto"/>
              <w:right w:val="single" w:sz="4" w:space="0" w:color="auto"/>
            </w:tcBorders>
            <w:shd w:val="clear" w:color="auto" w:fill="auto"/>
            <w:noWrap/>
            <w:vAlign w:val="bottom"/>
            <w:hideMark/>
          </w:tcPr>
          <w:p w14:paraId="1D7D3920"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0.97</w:t>
            </w:r>
          </w:p>
        </w:tc>
        <w:tc>
          <w:tcPr>
            <w:tcW w:w="276" w:type="dxa"/>
            <w:tcBorders>
              <w:top w:val="nil"/>
              <w:left w:val="nil"/>
              <w:bottom w:val="nil"/>
              <w:right w:val="nil"/>
            </w:tcBorders>
            <w:shd w:val="clear" w:color="auto" w:fill="auto"/>
            <w:noWrap/>
            <w:vAlign w:val="bottom"/>
            <w:hideMark/>
          </w:tcPr>
          <w:p w14:paraId="680543E9"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D0B1FD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Kv</w:t>
            </w:r>
          </w:p>
        </w:tc>
        <w:tc>
          <w:tcPr>
            <w:tcW w:w="2022" w:type="dxa"/>
            <w:tcBorders>
              <w:top w:val="nil"/>
              <w:left w:val="nil"/>
              <w:bottom w:val="single" w:sz="4" w:space="0" w:color="auto"/>
              <w:right w:val="single" w:sz="4" w:space="0" w:color="auto"/>
            </w:tcBorders>
            <w:shd w:val="clear" w:color="auto" w:fill="auto"/>
            <w:noWrap/>
            <w:vAlign w:val="bottom"/>
            <w:hideMark/>
          </w:tcPr>
          <w:p w14:paraId="1ED0EE3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4BFCB3C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B5BD0C9"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pt3</w:t>
            </w:r>
          </w:p>
        </w:tc>
        <w:tc>
          <w:tcPr>
            <w:tcW w:w="2480" w:type="dxa"/>
            <w:tcBorders>
              <w:top w:val="nil"/>
              <w:left w:val="nil"/>
              <w:bottom w:val="single" w:sz="4" w:space="0" w:color="auto"/>
              <w:right w:val="single" w:sz="4" w:space="0" w:color="auto"/>
            </w:tcBorders>
            <w:shd w:val="clear" w:color="auto" w:fill="auto"/>
            <w:noWrap/>
            <w:vAlign w:val="bottom"/>
            <w:hideMark/>
          </w:tcPr>
          <w:p w14:paraId="2C656E5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1004000.00</w:t>
            </w:r>
          </w:p>
        </w:tc>
        <w:tc>
          <w:tcPr>
            <w:tcW w:w="1358" w:type="dxa"/>
            <w:tcBorders>
              <w:top w:val="nil"/>
              <w:left w:val="nil"/>
              <w:bottom w:val="single" w:sz="4" w:space="0" w:color="auto"/>
              <w:right w:val="single" w:sz="4" w:space="0" w:color="auto"/>
            </w:tcBorders>
            <w:shd w:val="clear" w:color="auto" w:fill="auto"/>
            <w:noWrap/>
            <w:vAlign w:val="bottom"/>
            <w:hideMark/>
          </w:tcPr>
          <w:p w14:paraId="4A469F60"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0.17</w:t>
            </w:r>
          </w:p>
        </w:tc>
        <w:tc>
          <w:tcPr>
            <w:tcW w:w="276" w:type="dxa"/>
            <w:tcBorders>
              <w:top w:val="nil"/>
              <w:left w:val="nil"/>
              <w:bottom w:val="nil"/>
              <w:right w:val="nil"/>
            </w:tcBorders>
            <w:shd w:val="clear" w:color="auto" w:fill="auto"/>
            <w:noWrap/>
            <w:vAlign w:val="bottom"/>
            <w:hideMark/>
          </w:tcPr>
          <w:p w14:paraId="125D0051"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4E1E01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ptq2</w:t>
            </w:r>
          </w:p>
        </w:tc>
        <w:tc>
          <w:tcPr>
            <w:tcW w:w="2022" w:type="dxa"/>
            <w:tcBorders>
              <w:top w:val="nil"/>
              <w:left w:val="nil"/>
              <w:bottom w:val="single" w:sz="4" w:space="0" w:color="auto"/>
              <w:right w:val="single" w:sz="4" w:space="0" w:color="auto"/>
            </w:tcBorders>
            <w:shd w:val="clear" w:color="auto" w:fill="auto"/>
            <w:noWrap/>
            <w:vAlign w:val="bottom"/>
            <w:hideMark/>
          </w:tcPr>
          <w:p w14:paraId="385FBDA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0AC5A9F3"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88A6F0E"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ah3</w:t>
            </w:r>
          </w:p>
        </w:tc>
        <w:tc>
          <w:tcPr>
            <w:tcW w:w="2480" w:type="dxa"/>
            <w:tcBorders>
              <w:top w:val="nil"/>
              <w:left w:val="nil"/>
              <w:bottom w:val="single" w:sz="4" w:space="0" w:color="auto"/>
              <w:right w:val="single" w:sz="4" w:space="0" w:color="auto"/>
            </w:tcBorders>
            <w:shd w:val="clear" w:color="auto" w:fill="auto"/>
            <w:noWrap/>
            <w:vAlign w:val="bottom"/>
            <w:hideMark/>
          </w:tcPr>
          <w:p w14:paraId="31D32CA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492200.00</w:t>
            </w:r>
          </w:p>
        </w:tc>
        <w:tc>
          <w:tcPr>
            <w:tcW w:w="1358" w:type="dxa"/>
            <w:tcBorders>
              <w:top w:val="nil"/>
              <w:left w:val="nil"/>
              <w:bottom w:val="single" w:sz="4" w:space="0" w:color="auto"/>
              <w:right w:val="single" w:sz="4" w:space="0" w:color="auto"/>
            </w:tcBorders>
            <w:shd w:val="clear" w:color="auto" w:fill="auto"/>
            <w:noWrap/>
            <w:vAlign w:val="bottom"/>
            <w:hideMark/>
          </w:tcPr>
          <w:p w14:paraId="0D65B25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0.50</w:t>
            </w:r>
          </w:p>
        </w:tc>
        <w:tc>
          <w:tcPr>
            <w:tcW w:w="276" w:type="dxa"/>
            <w:tcBorders>
              <w:top w:val="nil"/>
              <w:left w:val="nil"/>
              <w:bottom w:val="nil"/>
              <w:right w:val="nil"/>
            </w:tcBorders>
            <w:shd w:val="clear" w:color="auto" w:fill="auto"/>
            <w:noWrap/>
            <w:vAlign w:val="bottom"/>
            <w:hideMark/>
          </w:tcPr>
          <w:p w14:paraId="117807CE"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4D02CE6"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px</w:t>
            </w:r>
          </w:p>
        </w:tc>
        <w:tc>
          <w:tcPr>
            <w:tcW w:w="2022" w:type="dxa"/>
            <w:tcBorders>
              <w:top w:val="nil"/>
              <w:left w:val="nil"/>
              <w:bottom w:val="single" w:sz="4" w:space="0" w:color="auto"/>
              <w:right w:val="single" w:sz="4" w:space="0" w:color="auto"/>
            </w:tcBorders>
            <w:shd w:val="clear" w:color="auto" w:fill="auto"/>
            <w:noWrap/>
            <w:vAlign w:val="bottom"/>
            <w:hideMark/>
          </w:tcPr>
          <w:p w14:paraId="01573CD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65123B56"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C157856"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hlsp</w:t>
            </w:r>
          </w:p>
        </w:tc>
        <w:tc>
          <w:tcPr>
            <w:tcW w:w="2480" w:type="dxa"/>
            <w:tcBorders>
              <w:top w:val="nil"/>
              <w:left w:val="nil"/>
              <w:bottom w:val="single" w:sz="4" w:space="0" w:color="auto"/>
              <w:right w:val="single" w:sz="4" w:space="0" w:color="auto"/>
            </w:tcBorders>
            <w:shd w:val="clear" w:color="auto" w:fill="auto"/>
            <w:noWrap/>
            <w:vAlign w:val="bottom"/>
            <w:hideMark/>
          </w:tcPr>
          <w:p w14:paraId="3EB6754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12430.00</w:t>
            </w:r>
          </w:p>
        </w:tc>
        <w:tc>
          <w:tcPr>
            <w:tcW w:w="1358" w:type="dxa"/>
            <w:tcBorders>
              <w:top w:val="nil"/>
              <w:left w:val="nil"/>
              <w:bottom w:val="single" w:sz="4" w:space="0" w:color="auto"/>
              <w:right w:val="single" w:sz="4" w:space="0" w:color="auto"/>
            </w:tcBorders>
            <w:shd w:val="clear" w:color="auto" w:fill="auto"/>
            <w:noWrap/>
            <w:vAlign w:val="bottom"/>
            <w:hideMark/>
          </w:tcPr>
          <w:p w14:paraId="78BD70C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0.72</w:t>
            </w:r>
          </w:p>
        </w:tc>
        <w:tc>
          <w:tcPr>
            <w:tcW w:w="276" w:type="dxa"/>
            <w:tcBorders>
              <w:top w:val="nil"/>
              <w:left w:val="nil"/>
              <w:bottom w:val="nil"/>
              <w:right w:val="nil"/>
            </w:tcBorders>
            <w:shd w:val="clear" w:color="auto" w:fill="auto"/>
            <w:noWrap/>
            <w:vAlign w:val="bottom"/>
            <w:hideMark/>
          </w:tcPr>
          <w:p w14:paraId="169CF357"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E30111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gamma</w:t>
            </w:r>
          </w:p>
        </w:tc>
        <w:tc>
          <w:tcPr>
            <w:tcW w:w="2022" w:type="dxa"/>
            <w:tcBorders>
              <w:top w:val="nil"/>
              <w:left w:val="nil"/>
              <w:bottom w:val="single" w:sz="4" w:space="0" w:color="auto"/>
              <w:right w:val="single" w:sz="4" w:space="0" w:color="auto"/>
            </w:tcBorders>
            <w:shd w:val="clear" w:color="auto" w:fill="auto"/>
            <w:noWrap/>
            <w:vAlign w:val="bottom"/>
            <w:hideMark/>
          </w:tcPr>
          <w:p w14:paraId="350D94C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3708C5A7"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77B3B4C"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pro_hm</w:t>
            </w:r>
          </w:p>
        </w:tc>
        <w:tc>
          <w:tcPr>
            <w:tcW w:w="2480" w:type="dxa"/>
            <w:tcBorders>
              <w:top w:val="nil"/>
              <w:left w:val="nil"/>
              <w:bottom w:val="single" w:sz="4" w:space="0" w:color="auto"/>
              <w:right w:val="single" w:sz="4" w:space="0" w:color="auto"/>
            </w:tcBorders>
            <w:shd w:val="clear" w:color="auto" w:fill="auto"/>
            <w:noWrap/>
            <w:vAlign w:val="bottom"/>
            <w:hideMark/>
          </w:tcPr>
          <w:p w14:paraId="1D9E790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45690000.00</w:t>
            </w:r>
          </w:p>
        </w:tc>
        <w:tc>
          <w:tcPr>
            <w:tcW w:w="1358" w:type="dxa"/>
            <w:tcBorders>
              <w:top w:val="nil"/>
              <w:left w:val="nil"/>
              <w:bottom w:val="single" w:sz="4" w:space="0" w:color="auto"/>
              <w:right w:val="single" w:sz="4" w:space="0" w:color="auto"/>
            </w:tcBorders>
            <w:shd w:val="clear" w:color="auto" w:fill="auto"/>
            <w:noWrap/>
            <w:vAlign w:val="bottom"/>
            <w:hideMark/>
          </w:tcPr>
          <w:p w14:paraId="6396A22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24D8192D"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14A86C0"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ah2</w:t>
            </w:r>
          </w:p>
        </w:tc>
        <w:tc>
          <w:tcPr>
            <w:tcW w:w="2022" w:type="dxa"/>
            <w:tcBorders>
              <w:top w:val="nil"/>
              <w:left w:val="nil"/>
              <w:bottom w:val="single" w:sz="4" w:space="0" w:color="auto"/>
              <w:right w:val="single" w:sz="4" w:space="0" w:color="auto"/>
            </w:tcBorders>
            <w:shd w:val="clear" w:color="auto" w:fill="auto"/>
            <w:noWrap/>
            <w:vAlign w:val="bottom"/>
            <w:hideMark/>
          </w:tcPr>
          <w:p w14:paraId="73203E7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2004A53B"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693658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pro_mh</w:t>
            </w:r>
          </w:p>
        </w:tc>
        <w:tc>
          <w:tcPr>
            <w:tcW w:w="2480" w:type="dxa"/>
            <w:tcBorders>
              <w:top w:val="nil"/>
              <w:left w:val="nil"/>
              <w:bottom w:val="single" w:sz="4" w:space="0" w:color="auto"/>
              <w:right w:val="single" w:sz="4" w:space="0" w:color="auto"/>
            </w:tcBorders>
            <w:shd w:val="clear" w:color="auto" w:fill="auto"/>
            <w:noWrap/>
            <w:vAlign w:val="bottom"/>
            <w:hideMark/>
          </w:tcPr>
          <w:p w14:paraId="3FAA6E9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53790000.00</w:t>
            </w:r>
          </w:p>
        </w:tc>
        <w:tc>
          <w:tcPr>
            <w:tcW w:w="1358" w:type="dxa"/>
            <w:tcBorders>
              <w:top w:val="nil"/>
              <w:left w:val="nil"/>
              <w:bottom w:val="single" w:sz="4" w:space="0" w:color="auto"/>
              <w:right w:val="single" w:sz="4" w:space="0" w:color="auto"/>
            </w:tcBorders>
            <w:shd w:val="clear" w:color="auto" w:fill="auto"/>
            <w:noWrap/>
            <w:vAlign w:val="bottom"/>
            <w:hideMark/>
          </w:tcPr>
          <w:p w14:paraId="0861777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1E2FE2B3"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E18ACC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x</w:t>
            </w:r>
          </w:p>
        </w:tc>
        <w:tc>
          <w:tcPr>
            <w:tcW w:w="2022" w:type="dxa"/>
            <w:tcBorders>
              <w:top w:val="nil"/>
              <w:left w:val="nil"/>
              <w:bottom w:val="single" w:sz="4" w:space="0" w:color="auto"/>
              <w:right w:val="single" w:sz="4" w:space="0" w:color="auto"/>
            </w:tcBorders>
            <w:shd w:val="clear" w:color="auto" w:fill="auto"/>
            <w:noWrap/>
            <w:vAlign w:val="bottom"/>
            <w:hideMark/>
          </w:tcPr>
          <w:p w14:paraId="03A9B15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4E2C2100"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D43875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w:t>
            </w:r>
          </w:p>
        </w:tc>
        <w:tc>
          <w:tcPr>
            <w:tcW w:w="2480" w:type="dxa"/>
            <w:tcBorders>
              <w:top w:val="nil"/>
              <w:left w:val="nil"/>
              <w:bottom w:val="single" w:sz="4" w:space="0" w:color="auto"/>
              <w:right w:val="single" w:sz="4" w:space="0" w:color="auto"/>
            </w:tcBorders>
            <w:shd w:val="clear" w:color="auto" w:fill="auto"/>
            <w:noWrap/>
            <w:vAlign w:val="bottom"/>
            <w:hideMark/>
          </w:tcPr>
          <w:p w14:paraId="52AD378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689900.00</w:t>
            </w:r>
          </w:p>
        </w:tc>
        <w:tc>
          <w:tcPr>
            <w:tcW w:w="1358" w:type="dxa"/>
            <w:tcBorders>
              <w:top w:val="nil"/>
              <w:left w:val="nil"/>
              <w:bottom w:val="single" w:sz="4" w:space="0" w:color="auto"/>
              <w:right w:val="single" w:sz="4" w:space="0" w:color="auto"/>
            </w:tcBorders>
            <w:shd w:val="clear" w:color="auto" w:fill="auto"/>
            <w:noWrap/>
            <w:vAlign w:val="bottom"/>
            <w:hideMark/>
          </w:tcPr>
          <w:p w14:paraId="5A38252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0.19</w:t>
            </w:r>
          </w:p>
        </w:tc>
        <w:tc>
          <w:tcPr>
            <w:tcW w:w="276" w:type="dxa"/>
            <w:tcBorders>
              <w:top w:val="nil"/>
              <w:left w:val="nil"/>
              <w:bottom w:val="nil"/>
              <w:right w:val="nil"/>
            </w:tcBorders>
            <w:shd w:val="clear" w:color="auto" w:fill="auto"/>
            <w:noWrap/>
            <w:vAlign w:val="bottom"/>
            <w:hideMark/>
          </w:tcPr>
          <w:p w14:paraId="36F67E0C"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94E584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ac2</w:t>
            </w:r>
          </w:p>
        </w:tc>
        <w:tc>
          <w:tcPr>
            <w:tcW w:w="2022" w:type="dxa"/>
            <w:tcBorders>
              <w:top w:val="nil"/>
              <w:left w:val="nil"/>
              <w:bottom w:val="single" w:sz="4" w:space="0" w:color="auto"/>
              <w:right w:val="single" w:sz="4" w:space="0" w:color="auto"/>
            </w:tcBorders>
            <w:shd w:val="clear" w:color="auto" w:fill="auto"/>
            <w:noWrap/>
            <w:vAlign w:val="bottom"/>
            <w:hideMark/>
          </w:tcPr>
          <w:p w14:paraId="3D9D149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3CFC6503"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DFADAAA"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ac1</w:t>
            </w:r>
          </w:p>
        </w:tc>
        <w:tc>
          <w:tcPr>
            <w:tcW w:w="2480" w:type="dxa"/>
            <w:tcBorders>
              <w:top w:val="nil"/>
              <w:left w:val="nil"/>
              <w:bottom w:val="single" w:sz="4" w:space="0" w:color="auto"/>
              <w:right w:val="single" w:sz="4" w:space="0" w:color="auto"/>
            </w:tcBorders>
            <w:shd w:val="clear" w:color="auto" w:fill="auto"/>
            <w:noWrap/>
            <w:vAlign w:val="bottom"/>
            <w:hideMark/>
          </w:tcPr>
          <w:p w14:paraId="6BA3612E"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606600.00</w:t>
            </w:r>
          </w:p>
        </w:tc>
        <w:tc>
          <w:tcPr>
            <w:tcW w:w="1358" w:type="dxa"/>
            <w:tcBorders>
              <w:top w:val="nil"/>
              <w:left w:val="nil"/>
              <w:bottom w:val="single" w:sz="4" w:space="0" w:color="auto"/>
              <w:right w:val="single" w:sz="4" w:space="0" w:color="auto"/>
            </w:tcBorders>
            <w:shd w:val="clear" w:color="auto" w:fill="auto"/>
            <w:noWrap/>
            <w:vAlign w:val="bottom"/>
            <w:hideMark/>
          </w:tcPr>
          <w:p w14:paraId="75D40F1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0.40</w:t>
            </w:r>
          </w:p>
        </w:tc>
        <w:tc>
          <w:tcPr>
            <w:tcW w:w="276" w:type="dxa"/>
            <w:tcBorders>
              <w:top w:val="nil"/>
              <w:left w:val="nil"/>
              <w:bottom w:val="nil"/>
              <w:right w:val="nil"/>
            </w:tcBorders>
            <w:shd w:val="clear" w:color="auto" w:fill="auto"/>
            <w:noWrap/>
            <w:vAlign w:val="bottom"/>
            <w:hideMark/>
          </w:tcPr>
          <w:p w14:paraId="63546023"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36F91D1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ah3</w:t>
            </w:r>
          </w:p>
        </w:tc>
        <w:tc>
          <w:tcPr>
            <w:tcW w:w="2022" w:type="dxa"/>
            <w:tcBorders>
              <w:top w:val="nil"/>
              <w:left w:val="nil"/>
              <w:bottom w:val="single" w:sz="4" w:space="0" w:color="auto"/>
              <w:right w:val="single" w:sz="4" w:space="0" w:color="auto"/>
            </w:tcBorders>
            <w:shd w:val="clear" w:color="auto" w:fill="auto"/>
            <w:noWrap/>
            <w:vAlign w:val="bottom"/>
            <w:hideMark/>
          </w:tcPr>
          <w:p w14:paraId="0DDEF22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71746A6A"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9BBE953"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ac2</w:t>
            </w:r>
          </w:p>
        </w:tc>
        <w:tc>
          <w:tcPr>
            <w:tcW w:w="2480" w:type="dxa"/>
            <w:tcBorders>
              <w:top w:val="nil"/>
              <w:left w:val="nil"/>
              <w:bottom w:val="single" w:sz="4" w:space="0" w:color="auto"/>
              <w:right w:val="single" w:sz="4" w:space="0" w:color="auto"/>
            </w:tcBorders>
            <w:shd w:val="clear" w:color="auto" w:fill="auto"/>
            <w:noWrap/>
            <w:vAlign w:val="bottom"/>
            <w:hideMark/>
          </w:tcPr>
          <w:p w14:paraId="78F2E8B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14810000.00</w:t>
            </w:r>
          </w:p>
        </w:tc>
        <w:tc>
          <w:tcPr>
            <w:tcW w:w="1358" w:type="dxa"/>
            <w:tcBorders>
              <w:top w:val="nil"/>
              <w:left w:val="nil"/>
              <w:bottom w:val="single" w:sz="4" w:space="0" w:color="auto"/>
              <w:right w:val="single" w:sz="4" w:space="0" w:color="auto"/>
            </w:tcBorders>
            <w:shd w:val="clear" w:color="auto" w:fill="auto"/>
            <w:noWrap/>
            <w:vAlign w:val="bottom"/>
            <w:hideMark/>
          </w:tcPr>
          <w:p w14:paraId="19D5E2D0"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0.31</w:t>
            </w:r>
          </w:p>
        </w:tc>
        <w:tc>
          <w:tcPr>
            <w:tcW w:w="276" w:type="dxa"/>
            <w:tcBorders>
              <w:top w:val="nil"/>
              <w:left w:val="nil"/>
              <w:bottom w:val="nil"/>
              <w:right w:val="nil"/>
            </w:tcBorders>
            <w:shd w:val="clear" w:color="auto" w:fill="auto"/>
            <w:noWrap/>
            <w:vAlign w:val="bottom"/>
            <w:hideMark/>
          </w:tcPr>
          <w:p w14:paraId="3D6AF9A3"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BF7C54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q</w:t>
            </w:r>
          </w:p>
        </w:tc>
        <w:tc>
          <w:tcPr>
            <w:tcW w:w="2022" w:type="dxa"/>
            <w:tcBorders>
              <w:top w:val="nil"/>
              <w:left w:val="nil"/>
              <w:bottom w:val="single" w:sz="4" w:space="0" w:color="auto"/>
              <w:right w:val="single" w:sz="4" w:space="0" w:color="auto"/>
            </w:tcBorders>
            <w:shd w:val="clear" w:color="auto" w:fill="auto"/>
            <w:noWrap/>
            <w:vAlign w:val="bottom"/>
            <w:hideMark/>
          </w:tcPr>
          <w:p w14:paraId="7B57C6D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1DD8F8E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A2360D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tfr1</w:t>
            </w:r>
          </w:p>
        </w:tc>
        <w:tc>
          <w:tcPr>
            <w:tcW w:w="2480" w:type="dxa"/>
            <w:tcBorders>
              <w:top w:val="nil"/>
              <w:left w:val="nil"/>
              <w:bottom w:val="single" w:sz="4" w:space="0" w:color="auto"/>
              <w:right w:val="single" w:sz="4" w:space="0" w:color="auto"/>
            </w:tcBorders>
            <w:shd w:val="clear" w:color="auto" w:fill="auto"/>
            <w:noWrap/>
            <w:vAlign w:val="bottom"/>
            <w:hideMark/>
          </w:tcPr>
          <w:p w14:paraId="5A45F29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-2.85E+05</w:t>
            </w:r>
          </w:p>
        </w:tc>
        <w:tc>
          <w:tcPr>
            <w:tcW w:w="1358" w:type="dxa"/>
            <w:tcBorders>
              <w:top w:val="nil"/>
              <w:left w:val="nil"/>
              <w:bottom w:val="single" w:sz="4" w:space="0" w:color="auto"/>
              <w:right w:val="single" w:sz="4" w:space="0" w:color="auto"/>
            </w:tcBorders>
            <w:shd w:val="clear" w:color="auto" w:fill="auto"/>
            <w:noWrap/>
            <w:vAlign w:val="bottom"/>
            <w:hideMark/>
          </w:tcPr>
          <w:p w14:paraId="48785B5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0.59</w:t>
            </w:r>
          </w:p>
        </w:tc>
        <w:tc>
          <w:tcPr>
            <w:tcW w:w="276" w:type="dxa"/>
            <w:tcBorders>
              <w:top w:val="nil"/>
              <w:left w:val="nil"/>
              <w:bottom w:val="nil"/>
              <w:right w:val="nil"/>
            </w:tcBorders>
            <w:shd w:val="clear" w:color="auto" w:fill="auto"/>
            <w:noWrap/>
            <w:vAlign w:val="bottom"/>
            <w:hideMark/>
          </w:tcPr>
          <w:p w14:paraId="4C548280"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tcPr>
          <w:p w14:paraId="611F524C" w14:textId="77777777" w:rsidR="008E7FCE" w:rsidRPr="00812A9A" w:rsidRDefault="008E7FCE" w:rsidP="009629A6">
            <w:pPr>
              <w:spacing w:after="0" w:line="240" w:lineRule="auto"/>
              <w:jc w:val="center"/>
              <w:rPr>
                <w:rFonts w:eastAsia="Times New Roman"/>
                <w:szCs w:val="24"/>
                <w:lang w:eastAsia="en-ZA"/>
              </w:rPr>
            </w:pPr>
          </w:p>
        </w:tc>
        <w:tc>
          <w:tcPr>
            <w:tcW w:w="2022" w:type="dxa"/>
            <w:tcBorders>
              <w:top w:val="nil"/>
              <w:left w:val="nil"/>
              <w:bottom w:val="single" w:sz="4" w:space="0" w:color="auto"/>
              <w:right w:val="single" w:sz="4" w:space="0" w:color="auto"/>
            </w:tcBorders>
            <w:shd w:val="clear" w:color="auto" w:fill="auto"/>
            <w:noWrap/>
            <w:vAlign w:val="bottom"/>
          </w:tcPr>
          <w:p w14:paraId="09A519BC" w14:textId="77777777" w:rsidR="008E7FCE" w:rsidRPr="00812A9A" w:rsidRDefault="008E7FCE" w:rsidP="009629A6">
            <w:pPr>
              <w:spacing w:after="0" w:line="240" w:lineRule="auto"/>
              <w:jc w:val="center"/>
              <w:rPr>
                <w:rFonts w:eastAsia="Times New Roman"/>
                <w:color w:val="000000"/>
                <w:szCs w:val="24"/>
                <w:lang w:eastAsia="en-ZA"/>
              </w:rPr>
            </w:pPr>
          </w:p>
        </w:tc>
      </w:tr>
    </w:tbl>
    <w:p w14:paraId="27D13A7E" w14:textId="77777777" w:rsidR="008E7FCE" w:rsidRPr="00A57D39" w:rsidRDefault="008E7FCE" w:rsidP="008E7FCE">
      <w:pPr>
        <w:spacing w:after="200" w:line="360" w:lineRule="auto"/>
        <w:rPr>
          <w:b/>
          <w:szCs w:val="24"/>
        </w:rPr>
      </w:pPr>
      <w:r w:rsidRPr="00A57D39">
        <w:rPr>
          <w:b/>
          <w:szCs w:val="24"/>
        </w:rPr>
        <w:lastRenderedPageBreak/>
        <w:t xml:space="preserve">References </w:t>
      </w:r>
    </w:p>
    <w:p w14:paraId="4B2616CC" w14:textId="77777777" w:rsidR="00BF07C0" w:rsidRDefault="008E7FCE" w:rsidP="00BF07C0">
      <w:pPr>
        <w:pStyle w:val="Bibliography"/>
      </w:pPr>
      <w:r>
        <w:fldChar w:fldCharType="begin"/>
      </w:r>
      <w:r w:rsidR="00BC4921">
        <w:instrText xml:space="preserve"> ADDIN ZOTERO_BIBL {"uncited":[],"omitted":[],"custom":[]} CSL_BIBLIOGRAPHY </w:instrText>
      </w:r>
      <w:r>
        <w:fldChar w:fldCharType="separate"/>
      </w:r>
      <w:r w:rsidR="00BF07C0">
        <w:t xml:space="preserve">[1] </w:t>
      </w:r>
      <w:r w:rsidR="00BF07C0">
        <w:tab/>
        <w:t>National Malaria Control Program. An epidemiological profile of malaria and its control in Ghana. [Internet]. National Malaria Control Program; 2013 [cited 2016 Feb 15]. Available from: https://www.linkmalaria.org/sites/www.linkmalaria.org/files/content/country/profiles/Ghana-epi-report-2014.pdf.</w:t>
      </w:r>
    </w:p>
    <w:p w14:paraId="0F45671B" w14:textId="77777777" w:rsidR="00BF07C0" w:rsidRDefault="00BF07C0" w:rsidP="00BF07C0">
      <w:pPr>
        <w:pStyle w:val="Bibliography"/>
      </w:pPr>
      <w:r>
        <w:t xml:space="preserve">[2] </w:t>
      </w:r>
      <w:r>
        <w:tab/>
        <w:t>Awine T, Malm K, Peprah NY, et al. Spatio-temporal heterogeneity of malaria morbidity in Ghana: Analysis of routine health facility data. Munderloh UG, editor. PLOS ONE. 2018;13:e0191707.</w:t>
      </w:r>
    </w:p>
    <w:p w14:paraId="749125DC" w14:textId="77777777" w:rsidR="00BF07C0" w:rsidRDefault="00BF07C0" w:rsidP="00BF07C0">
      <w:pPr>
        <w:pStyle w:val="Bibliography"/>
      </w:pPr>
      <w:r>
        <w:t xml:space="preserve">[3] </w:t>
      </w:r>
      <w:r>
        <w:tab/>
        <w:t>Enweronu-Laryea CC, Adjei GO, Mensah B, et al. Prevalence of congenital malaria in high-risk Ghanaian newborns: a cross-sectional study. Malar. J. 2013;12:17.</w:t>
      </w:r>
    </w:p>
    <w:p w14:paraId="7F666BD1" w14:textId="77777777" w:rsidR="00BF07C0" w:rsidRDefault="00BF07C0" w:rsidP="00BF07C0">
      <w:pPr>
        <w:pStyle w:val="Bibliography"/>
      </w:pPr>
      <w:r>
        <w:t xml:space="preserve">[4] </w:t>
      </w:r>
      <w:r>
        <w:tab/>
        <w:t>Unpublished. Preventive treatment of Malaria in  Pregnancy, maternally transferred antibodies to  malaria and the risk of clinical malaria in  a  five year Birth  cohort in Ghana. 2014.</w:t>
      </w:r>
    </w:p>
    <w:p w14:paraId="17433DB8" w14:textId="77777777" w:rsidR="00BF07C0" w:rsidRDefault="00BF07C0" w:rsidP="00BF07C0">
      <w:pPr>
        <w:pStyle w:val="Bibliography"/>
      </w:pPr>
      <w:r>
        <w:t xml:space="preserve">[5] </w:t>
      </w:r>
      <w:r>
        <w:tab/>
        <w:t>United States Agency for International Development. Ghana Malaria Operational Plan FY 2017 [Internet]. 2017 [cited 2017 May 11]. Available from: https://www.pmi.gov/docs/default-source/default-document-library/malaria-operational-plans/fy17/fy-2017-ghana-malaria-operational-plan.pdf?sfvrsn=6.</w:t>
      </w:r>
    </w:p>
    <w:p w14:paraId="09A37B03" w14:textId="77777777" w:rsidR="00BF07C0" w:rsidRDefault="00BF07C0" w:rsidP="00BF07C0">
      <w:pPr>
        <w:pStyle w:val="Bibliography"/>
      </w:pPr>
      <w:r>
        <w:t xml:space="preserve">[6] </w:t>
      </w:r>
      <w:r>
        <w:tab/>
        <w:t>NMCP,Ghana. NMCP Annual Bulletin. 2016.</w:t>
      </w:r>
    </w:p>
    <w:p w14:paraId="5FB2DA49" w14:textId="77777777" w:rsidR="00BF07C0" w:rsidRDefault="00BF07C0" w:rsidP="00BF07C0">
      <w:pPr>
        <w:pStyle w:val="Bibliography"/>
      </w:pPr>
      <w:r>
        <w:t xml:space="preserve">[7] </w:t>
      </w:r>
      <w:r>
        <w:tab/>
        <w:t>Falade C, Mokuolu O, Okafor H, et al. Epidemiology of congenital malaria in Nigeria: a multi-centre study: Epidemiology of congenital malaria in Nigeria. Trop. Med. Int. Health. 2007;12:1279–1287.</w:t>
      </w:r>
    </w:p>
    <w:p w14:paraId="6B6D0533" w14:textId="77777777" w:rsidR="00BF07C0" w:rsidRDefault="00BF07C0" w:rsidP="00BF07C0">
      <w:pPr>
        <w:pStyle w:val="Bibliography"/>
      </w:pPr>
      <w:r>
        <w:t xml:space="preserve">[8] </w:t>
      </w:r>
      <w:r>
        <w:tab/>
        <w:t>Ministry of Health,Ghana. Guideline for case managemnet of malaria in Ghana [Internet]. 2014 [cited 2019 Jul 2]. Available from: https://www.ghanahealthservice.org/downloads/GUIDELINE%20FOR%20CASE%20MANAGEMENT%20.pdf.</w:t>
      </w:r>
    </w:p>
    <w:p w14:paraId="506D57D5" w14:textId="77777777" w:rsidR="00BF07C0" w:rsidRDefault="00BF07C0" w:rsidP="00BF07C0">
      <w:pPr>
        <w:pStyle w:val="Bibliography"/>
      </w:pPr>
      <w:r>
        <w:t xml:space="preserve">[9] </w:t>
      </w:r>
      <w:r>
        <w:tab/>
        <w:t>Lawn JE, Blencowe H, Waiswa P, et al. Stillbirths: rates, risk factors, and acceleration towards 2030. The Lancet. 2016;387:587–603.</w:t>
      </w:r>
    </w:p>
    <w:p w14:paraId="0DCF6C36" w14:textId="77777777" w:rsidR="00BF07C0" w:rsidRDefault="00BF07C0" w:rsidP="00BF07C0">
      <w:pPr>
        <w:pStyle w:val="Bibliography"/>
      </w:pPr>
      <w:r>
        <w:t xml:space="preserve">[10] </w:t>
      </w:r>
      <w:r>
        <w:tab/>
        <w:t>Owusu-Boateng I, Anto F. Intermittent preventive treatment of malaria in pregnancy: a cross-sectional survey to assess uptake of the new sulfadoxine–pyrimethamine five dose policy in Ghana. Malar. J. 2017;16:323.</w:t>
      </w:r>
    </w:p>
    <w:p w14:paraId="69770152" w14:textId="77777777" w:rsidR="00BF07C0" w:rsidRDefault="00BF07C0" w:rsidP="00BF07C0">
      <w:pPr>
        <w:pStyle w:val="Bibliography"/>
      </w:pPr>
      <w:r>
        <w:t xml:space="preserve">[11] </w:t>
      </w:r>
      <w:r>
        <w:tab/>
        <w:t>Dinko B, Ayivor R, Abugri J, et al. Comparison of malaria diagnostic methods in four hospitals in the Volta region of Ghana. 2016;7:7.</w:t>
      </w:r>
    </w:p>
    <w:p w14:paraId="157A9F5A" w14:textId="77777777" w:rsidR="00BF07C0" w:rsidRDefault="00BF07C0" w:rsidP="00BF07C0">
      <w:pPr>
        <w:pStyle w:val="Bibliography"/>
      </w:pPr>
      <w:r>
        <w:t>[12] .</w:t>
      </w:r>
      <w:r>
        <w:tab/>
        <w:t xml:space="preserve"> World Health Organization (WHO). Implementing Malaria in Pregnancy Programs in the Context of World Health Organization Recommendations on Antenatal Care for a Positive Pregnancy Experience.Geneva, Switzerland: WHO; 2017. Licence: CC BY-NC-SA 3.0 IGO. WHO/RHR/18.05. [Internet]. 2018. Available from: https://apps.who.int/iris/bitstream/handle/10665/259954/WHO-RHR-18.05-eng.pdf?sequence=1.</w:t>
      </w:r>
    </w:p>
    <w:p w14:paraId="1C3FFD24" w14:textId="77777777" w:rsidR="00BF07C0" w:rsidRDefault="00BF07C0" w:rsidP="00BF07C0">
      <w:pPr>
        <w:pStyle w:val="Bibliography"/>
      </w:pPr>
      <w:r>
        <w:lastRenderedPageBreak/>
        <w:t xml:space="preserve">[13] </w:t>
      </w:r>
      <w:r>
        <w:tab/>
        <w:t>White NJ, Pukrittayakamee S, Hien TT, et al. Malaria. The Lancet. 2014;383:723–735.</w:t>
      </w:r>
    </w:p>
    <w:p w14:paraId="5DDEFF74" w14:textId="77777777" w:rsidR="00BF07C0" w:rsidRDefault="00BF07C0" w:rsidP="00BF07C0">
      <w:pPr>
        <w:pStyle w:val="Bibliography"/>
      </w:pPr>
      <w:r>
        <w:t xml:space="preserve">[14] </w:t>
      </w:r>
      <w:r>
        <w:tab/>
        <w:t>Institute for Health Metrics and Evaluation. Global Health Data Exchange,GBD Compare [Internet]. Available from: https://vizhub.healthdata.org/gbd-compare/#.</w:t>
      </w:r>
    </w:p>
    <w:p w14:paraId="4EFAF9E1" w14:textId="77777777" w:rsidR="00BF07C0" w:rsidRDefault="00BF07C0" w:rsidP="00BF07C0">
      <w:pPr>
        <w:pStyle w:val="Bibliography"/>
      </w:pPr>
      <w:r>
        <w:t xml:space="preserve">[15] </w:t>
      </w:r>
      <w:r>
        <w:tab/>
        <w:t>White NJ. Malaria parasite clearance. Malar J. 2017;14.</w:t>
      </w:r>
    </w:p>
    <w:p w14:paraId="0D51066E" w14:textId="77777777" w:rsidR="00BF07C0" w:rsidRDefault="00BF07C0" w:rsidP="00BF07C0">
      <w:pPr>
        <w:pStyle w:val="Bibliography"/>
      </w:pPr>
      <w:r>
        <w:t xml:space="preserve">[16] </w:t>
      </w:r>
      <w:r>
        <w:tab/>
        <w:t>Agusto FB, Gumel AB, Parham PE. QUALITATIVE ASSESSMENT OF THE ROLE OF TEMPERATURE VARIATIONS ON MALARIA TRANSMISSION DYNAMICS. J. Biol. Syst. 2015;23:1550030.</w:t>
      </w:r>
    </w:p>
    <w:p w14:paraId="78706DB1" w14:textId="77777777" w:rsidR="00BF07C0" w:rsidRDefault="00BF07C0" w:rsidP="00BF07C0">
      <w:pPr>
        <w:pStyle w:val="Bibliography"/>
      </w:pPr>
      <w:r>
        <w:t xml:space="preserve">[17] </w:t>
      </w:r>
      <w:r>
        <w:tab/>
        <w:t>Tran A, L’Ambert G, Lacour G, et al. A Rainfall- and Temperature-Driven Abundance Model for Aedes albopictus Populations. Int. J. Environ. Res. Public. Health. 2013;10:1698–1719.</w:t>
      </w:r>
    </w:p>
    <w:p w14:paraId="0C2D274D" w14:textId="77777777" w:rsidR="00BF07C0" w:rsidRDefault="00BF07C0" w:rsidP="00BF07C0">
      <w:pPr>
        <w:pStyle w:val="Bibliography"/>
      </w:pPr>
      <w:r>
        <w:t xml:space="preserve">[18] </w:t>
      </w:r>
      <w:r>
        <w:tab/>
        <w:t>Oduro AR, Koram KA, Rogers W, et al. Severe falciparum malaria in young children of the Kassena-Nankana district of northern Ghana. Malar. J. 2007;6:96.</w:t>
      </w:r>
    </w:p>
    <w:p w14:paraId="3B495C29" w14:textId="77777777" w:rsidR="00BF07C0" w:rsidRDefault="00BF07C0" w:rsidP="00BF07C0">
      <w:pPr>
        <w:pStyle w:val="Bibliography"/>
      </w:pPr>
      <w:r>
        <w:t xml:space="preserve">[19] </w:t>
      </w:r>
      <w:r>
        <w:tab/>
        <w:t>Ghana Statistical Service (GSS), Ghana Health Service (GHS). Ghana Malaria Indictor Survey, 2016 [Internet]. Accra, Ghana, and Rockville, Maryland, USA: GSS, GHS, and ICF; 2017. Available from: www.DHSprogram.com.</w:t>
      </w:r>
    </w:p>
    <w:p w14:paraId="08616AAA" w14:textId="77777777" w:rsidR="00BF07C0" w:rsidRDefault="00BF07C0" w:rsidP="00BF07C0">
      <w:pPr>
        <w:pStyle w:val="Bibliography"/>
      </w:pPr>
      <w:r>
        <w:t xml:space="preserve">[20] </w:t>
      </w:r>
      <w:r>
        <w:tab/>
        <w:t>Mandal S, Sarkar RR, Sinha S. Mathematical models of malaria - a review. Malar. J. 2011;10:202.</w:t>
      </w:r>
    </w:p>
    <w:p w14:paraId="1C45A01A" w14:textId="77777777" w:rsidR="00BF07C0" w:rsidRDefault="00BF07C0" w:rsidP="00BF07C0">
      <w:pPr>
        <w:pStyle w:val="Bibliography"/>
      </w:pPr>
      <w:r>
        <w:t xml:space="preserve">[21] </w:t>
      </w:r>
      <w:r>
        <w:tab/>
        <w:t xml:space="preserve">Nwaefuna EK, Afoakwah R, Orish VN, et al. Effectiveness of Intermittent Preventive Treatment in Pregnancy with Sulphadoxine-Pyrimethamine against Submicroscopic </w:t>
      </w:r>
      <w:r>
        <w:rPr>
          <w:i/>
          <w:iCs/>
        </w:rPr>
        <w:t>falciparum</w:t>
      </w:r>
      <w:r>
        <w:t xml:space="preserve"> Malaria in Central Region, Ghana. J. Parasitol. Res. 2015;2015:1–6.</w:t>
      </w:r>
    </w:p>
    <w:p w14:paraId="361BBC98" w14:textId="77777777" w:rsidR="00BF07C0" w:rsidRDefault="00BF07C0" w:rsidP="00BF07C0">
      <w:pPr>
        <w:pStyle w:val="Bibliography"/>
      </w:pPr>
      <w:r>
        <w:t xml:space="preserve">[22] </w:t>
      </w:r>
      <w:r>
        <w:tab/>
        <w:t>Attakorah J. EVALUATION OF THE LEVEL OF ADHERENCE TO THE ANTIMALARIAL DRUG POLICY BY PRESCRIBERS IN THE TREATMENT OF MALARIA IN CHILD HEALTH DIRECTORATE AT KOMFO ANOKYE TEACHING HOSPITAL. [Internet]. Available from: http://ir.knust.edu.gh/xmlui/bitstream/handle/123456789/843/JOSEPH%20ATTAKORAH.pdf?sequence=1.</w:t>
      </w:r>
    </w:p>
    <w:p w14:paraId="611EE111" w14:textId="77777777" w:rsidR="00BF07C0" w:rsidRDefault="00BF07C0" w:rsidP="00BF07C0">
      <w:pPr>
        <w:pStyle w:val="Bibliography"/>
      </w:pPr>
      <w:r>
        <w:t xml:space="preserve">[23] </w:t>
      </w:r>
      <w:r>
        <w:tab/>
        <w:t>Raifman JRG, Lanthorn HE, Rokicki S, et al. The Impact of Text Message Reminders on Adherence to Antimalarial Treatment in Northern Ghana: A Randomized Trial. Slutsker L, editor. PLoS ONE. 2014;9:e109032.</w:t>
      </w:r>
    </w:p>
    <w:p w14:paraId="78AD3ECF" w14:textId="77777777" w:rsidR="00BF07C0" w:rsidRDefault="00BF07C0" w:rsidP="00BF07C0">
      <w:pPr>
        <w:pStyle w:val="Bibliography"/>
      </w:pPr>
      <w:r>
        <w:t xml:space="preserve">[24] </w:t>
      </w:r>
      <w:r>
        <w:tab/>
        <w:t>Ampadu HH, Asante KP, Bosomprah S, et al. Prescribing patterns and compliance with World Health Organization recommendations for the management of severe malaria: a modified cohort event monitoring study in public health facilities in Ghana and Uganda. Malar. J. [Internet]. 2019 [cited 2019 Jul 2];18. Available from: https://www.ncbi.nlm.nih.gov/pmc/articles/PMC6368732/.</w:t>
      </w:r>
    </w:p>
    <w:p w14:paraId="294F9226" w14:textId="77777777" w:rsidR="00BF07C0" w:rsidRDefault="00BF07C0" w:rsidP="00BF07C0">
      <w:pPr>
        <w:pStyle w:val="Bibliography"/>
      </w:pPr>
      <w:r>
        <w:t xml:space="preserve">[25] </w:t>
      </w:r>
      <w:r>
        <w:tab/>
        <w:t>Abuaku B, Duah-Quashie NO, Quaye L, et al. Therapeutic efficacy of artesunate–amodiaquine and artemether–lumefantrine combinations for uncomplicated malaria in 10 sentinel sites across Ghana: 2015–2017. Malar. J. 2019;18:206.</w:t>
      </w:r>
    </w:p>
    <w:p w14:paraId="6CA67486" w14:textId="77777777" w:rsidR="00BF07C0" w:rsidRDefault="00BF07C0" w:rsidP="00BF07C0">
      <w:pPr>
        <w:pStyle w:val="Bibliography"/>
      </w:pPr>
      <w:r>
        <w:t xml:space="preserve">[26] </w:t>
      </w:r>
      <w:r>
        <w:tab/>
        <w:t>Taylor TE, Taylor TE, Wills BA, et al. Intramuscular artemether vs intravenous quinine: an open, randomized trial in Malawian children with cerebral malaria. Trop. Med. Int. Health. 1998;3:3–8.</w:t>
      </w:r>
    </w:p>
    <w:p w14:paraId="48D125C6" w14:textId="77777777" w:rsidR="00BF07C0" w:rsidRDefault="00BF07C0" w:rsidP="00BF07C0">
      <w:pPr>
        <w:pStyle w:val="Bibliography"/>
      </w:pPr>
      <w:r>
        <w:lastRenderedPageBreak/>
        <w:t xml:space="preserve">[27] </w:t>
      </w:r>
      <w:r>
        <w:tab/>
        <w:t>Tagbor H, Bruce J, Ord R, et al. Comparison of the therapeutic efficacy of chloroquine and sulphadoxine-pyremethamine in children and pregnant women. Trop. Med. Int. Health. 2007;12:1288–1297.</w:t>
      </w:r>
    </w:p>
    <w:p w14:paraId="1AA308C1" w14:textId="77777777" w:rsidR="00BF07C0" w:rsidRDefault="00BF07C0" w:rsidP="00BF07C0">
      <w:pPr>
        <w:pStyle w:val="Bibliography"/>
      </w:pPr>
      <w:r>
        <w:t xml:space="preserve">[28] </w:t>
      </w:r>
      <w:r>
        <w:tab/>
        <w:t>Anabire NG, Aryee PA, Abdul-Karim A, et al. Prevalence of malaria and hepatitis B among pregnant women in Northern Ghana: Comparing RDTs with PCR. PLoS ONE [Internet]. 2019 [cited 2019 Jul 24];14. Available from: https://www.ncbi.nlm.nih.gov/pmc/articles/PMC6364880/.</w:t>
      </w:r>
    </w:p>
    <w:p w14:paraId="7B939632" w14:textId="77777777" w:rsidR="00BF07C0" w:rsidRDefault="00BF07C0" w:rsidP="00BF07C0">
      <w:pPr>
        <w:pStyle w:val="Bibliography"/>
      </w:pPr>
      <w:r>
        <w:t xml:space="preserve">[29] </w:t>
      </w:r>
      <w:r>
        <w:tab/>
        <w:t>Tay SCK, Nani EA, Walana W. Parasitic infections and maternal anaemia among expectant mothers in the Dangme East District of Ghana. BMC Res. Notes [Internet]. 2017 [cited 2017 Jul 10];10. Available from: http://bmcresnotes.biomedcentral.com/articles/10.1186/s13104-016-2327-5.</w:t>
      </w:r>
    </w:p>
    <w:p w14:paraId="67F6044F" w14:textId="77777777" w:rsidR="00BF07C0" w:rsidRDefault="00BF07C0" w:rsidP="00BF07C0">
      <w:pPr>
        <w:pStyle w:val="Bibliography"/>
      </w:pPr>
      <w:r>
        <w:t xml:space="preserve">[30] </w:t>
      </w:r>
      <w:r>
        <w:tab/>
        <w:t>Yeboah DF, Afoakwah R, Nwaefuna EK, et al. Quality of Sulfadoxine-Pyrimethamine Given as Antimalarial Prophylaxis in Pregnant Women in Selected Health Facilities in Central Region of Ghana. J. Parasitol. Res. 2016;2016:1–6.</w:t>
      </w:r>
    </w:p>
    <w:p w14:paraId="6410262F" w14:textId="77777777" w:rsidR="00BF07C0" w:rsidRDefault="00BF07C0" w:rsidP="00BF07C0">
      <w:pPr>
        <w:pStyle w:val="Bibliography"/>
      </w:pPr>
      <w:r>
        <w:t xml:space="preserve">[31] </w:t>
      </w:r>
      <w:r>
        <w:tab/>
        <w:t>Oduro AR, Wak G, Azongo D, et al. Profile of the Navrongo Health and Demographic Surveillance System. Int. J. Epidemiol. 2012;41:968–976.</w:t>
      </w:r>
    </w:p>
    <w:p w14:paraId="5A95D0F5" w14:textId="77777777" w:rsidR="00BF07C0" w:rsidRDefault="00BF07C0" w:rsidP="00BF07C0">
      <w:pPr>
        <w:pStyle w:val="Bibliography"/>
      </w:pPr>
      <w:r>
        <w:t xml:space="preserve">[32] </w:t>
      </w:r>
      <w:r>
        <w:tab/>
        <w:t>Owusu-Agyei S, Nettey OEA, Zandoh C, et al. Demographic patterns and trends in Central Ghana: baseline indicators from the Kintampo Health and Demographic Surveillance System. Glob. Health Action. 2012;5:19033.</w:t>
      </w:r>
    </w:p>
    <w:p w14:paraId="407E38D2" w14:textId="77777777" w:rsidR="00BF07C0" w:rsidRDefault="00BF07C0" w:rsidP="00BF07C0">
      <w:pPr>
        <w:pStyle w:val="Bibliography"/>
      </w:pPr>
      <w:r>
        <w:t xml:space="preserve">[33] </w:t>
      </w:r>
      <w:r>
        <w:tab/>
        <w:t>Gyapong M, Sarpong D, Awini E, et al. Profile: The Dodowa HDSS. Int. J. Epidemiol. 2013;42:1686–1696.</w:t>
      </w:r>
    </w:p>
    <w:p w14:paraId="4556A6C2" w14:textId="77777777" w:rsidR="00BF07C0" w:rsidRDefault="00BF07C0" w:rsidP="00BF07C0">
      <w:pPr>
        <w:pStyle w:val="Bibliography"/>
      </w:pPr>
      <w:r>
        <w:t xml:space="preserve">[34] </w:t>
      </w:r>
      <w:r>
        <w:tab/>
        <w:t>Kesteman T, Randrianarivelojosia M, Rogier C. The protective effectiveness of control interventions for malaria prevention: a systematic review of the literature. F1000Research. 2017;6:1932.</w:t>
      </w:r>
    </w:p>
    <w:p w14:paraId="28482B7B" w14:textId="77777777" w:rsidR="00BF07C0" w:rsidRDefault="00BF07C0" w:rsidP="00BF07C0">
      <w:pPr>
        <w:pStyle w:val="Bibliography"/>
      </w:pPr>
      <w:r>
        <w:t xml:space="preserve">[35] </w:t>
      </w:r>
      <w:r>
        <w:tab/>
        <w:t>Mohapatra M. The Natural History of Complicated Falciparum Malaria — A Prospective Study. 2006;54:6.</w:t>
      </w:r>
    </w:p>
    <w:p w14:paraId="73B8E0B4" w14:textId="77777777" w:rsidR="00BF07C0" w:rsidRDefault="00BF07C0" w:rsidP="00BF07C0">
      <w:pPr>
        <w:pStyle w:val="Bibliography"/>
      </w:pPr>
      <w:r>
        <w:t xml:space="preserve">[36] </w:t>
      </w:r>
      <w:r>
        <w:tab/>
        <w:t>Appiah MK, Diji AK-A. Rural Folks’ Knowledge on and adherence towards Artemisinin-based combination Therepies. ijird. 2016;5.</w:t>
      </w:r>
    </w:p>
    <w:p w14:paraId="16913D1F" w14:textId="77777777" w:rsidR="00BF07C0" w:rsidRDefault="00BF07C0" w:rsidP="00BF07C0">
      <w:pPr>
        <w:pStyle w:val="Bibliography"/>
      </w:pPr>
      <w:r>
        <w:t xml:space="preserve">[37] </w:t>
      </w:r>
      <w:r>
        <w:tab/>
        <w:t>Amponsah AO, Vosper H, Marfo AFA. Patient Related Factors Affecting Adherence to Antimalarial Medication in an Urban Estate in Ghana. Malar. Res. Treat. 2015;2015:1–8.</w:t>
      </w:r>
    </w:p>
    <w:p w14:paraId="5CE29F1C" w14:textId="77777777" w:rsidR="00BF07C0" w:rsidRDefault="00BF07C0" w:rsidP="00BF07C0">
      <w:pPr>
        <w:pStyle w:val="Bibliography"/>
      </w:pPr>
      <w:r>
        <w:t xml:space="preserve">[38] </w:t>
      </w:r>
      <w:r>
        <w:tab/>
        <w:t>Bartoloni A, Zammarchi L. CLINICAL ASPECTS OF UNCOMPLICATED AND SEVERE MALARIA. Mediterr. J. Hematol. Infect. Dis. 2012;4:2012026.</w:t>
      </w:r>
    </w:p>
    <w:p w14:paraId="7CFECEA2" w14:textId="77777777" w:rsidR="00BF07C0" w:rsidRDefault="00BF07C0" w:rsidP="00BF07C0">
      <w:pPr>
        <w:pStyle w:val="Bibliography"/>
      </w:pPr>
      <w:r>
        <w:t xml:space="preserve">[39] </w:t>
      </w:r>
      <w:r>
        <w:tab/>
        <w:t>Makanga M, Krudsood S. The clinical efficacy of artemether/lumefantrine (Coartem). Malar. J. 2009;8 Suppl 1:S5.</w:t>
      </w:r>
    </w:p>
    <w:p w14:paraId="564A1868" w14:textId="77777777" w:rsidR="00BF07C0" w:rsidRDefault="00BF07C0" w:rsidP="00BF07C0">
      <w:pPr>
        <w:pStyle w:val="Bibliography"/>
      </w:pPr>
      <w:r>
        <w:t xml:space="preserve">[40] </w:t>
      </w:r>
      <w:r>
        <w:tab/>
        <w:t>Pasvol G. The treatment of complicated and severe malaria. Br. Med. Bull. 2005;75–76:29–47.</w:t>
      </w:r>
    </w:p>
    <w:p w14:paraId="73973BD9" w14:textId="77777777" w:rsidR="00BF07C0" w:rsidRDefault="00BF07C0" w:rsidP="00BF07C0">
      <w:pPr>
        <w:pStyle w:val="Bibliography"/>
      </w:pPr>
      <w:r>
        <w:t xml:space="preserve">[41] </w:t>
      </w:r>
      <w:r>
        <w:tab/>
        <w:t>Silal SP, Little F, Barnes KI, et al. Predicting the impact of border control on malaria transmission: a simulated focal screen and treat campaign. Malar. J. 2015;14.</w:t>
      </w:r>
    </w:p>
    <w:p w14:paraId="0BDFED85" w14:textId="77777777" w:rsidR="00BF07C0" w:rsidRDefault="00BF07C0" w:rsidP="00BF07C0">
      <w:pPr>
        <w:pStyle w:val="Bibliography"/>
      </w:pPr>
      <w:r>
        <w:lastRenderedPageBreak/>
        <w:t xml:space="preserve">[42] </w:t>
      </w:r>
      <w:r>
        <w:tab/>
        <w:t>Miller MJ. Observations on the natural history of malaria in the semi-resistant West African. Trans. R. Soc. Trop. Med. Hyg. 1958;52:152–168.</w:t>
      </w:r>
    </w:p>
    <w:p w14:paraId="28A7BA32" w14:textId="77777777" w:rsidR="00BF07C0" w:rsidRDefault="00BF07C0" w:rsidP="00BF07C0">
      <w:pPr>
        <w:pStyle w:val="Bibliography"/>
      </w:pPr>
      <w:r>
        <w:t xml:space="preserve">[43] </w:t>
      </w:r>
      <w:r>
        <w:tab/>
        <w:t>WHO Model Prescribing Information: Drugs Used in Parasitic Diseases - Second Edition: Protozoa: Malaria: Pyrimethamine/sulfadoxine [Internet]. [cited 2019 Apr 17]. Available from: http://apps.who.int/medicinedocs/en/d/Jh2922e/2.5.3.html#Jh2922e.2.5.3.</w:t>
      </w:r>
    </w:p>
    <w:p w14:paraId="459ED074" w14:textId="77777777" w:rsidR="00BF07C0" w:rsidRDefault="00BF07C0" w:rsidP="00BF07C0">
      <w:pPr>
        <w:pStyle w:val="Bibliography"/>
      </w:pPr>
      <w:r>
        <w:t xml:space="preserve">[44] </w:t>
      </w:r>
      <w:r>
        <w:tab/>
        <w:t>Asoala V. Malaria transmission dynamics and insecticide resistance of malaria vectors in the Kassena-Nankana districts of Ghana. Kwame Nkrumah University of Science and Technology; (Unpublished).</w:t>
      </w:r>
    </w:p>
    <w:p w14:paraId="78AFC622" w14:textId="77777777" w:rsidR="00BF07C0" w:rsidRDefault="00BF07C0" w:rsidP="00BF07C0">
      <w:pPr>
        <w:pStyle w:val="Bibliography"/>
      </w:pPr>
      <w:r>
        <w:t xml:space="preserve">[45] </w:t>
      </w:r>
      <w:r>
        <w:tab/>
        <w:t>Quartey AA. Estimation of malaria transmission intensity in southern Ghana using rapid diagnostic test derived sero-prevalence rates. [Internet]. Kwame Nkrumah University of Science and Technology; 2016. Available from: http://ir.knust.edu.gh/xmlui/handle/123456789/7048/browse?value=Quartey%2C+Alberta+Amu&amp;type=author.</w:t>
      </w:r>
    </w:p>
    <w:p w14:paraId="0A50F7F2" w14:textId="77777777" w:rsidR="00BF07C0" w:rsidRDefault="00BF07C0" w:rsidP="00BF07C0">
      <w:pPr>
        <w:pStyle w:val="Bibliography"/>
      </w:pPr>
      <w:r>
        <w:t xml:space="preserve">[46] </w:t>
      </w:r>
      <w:r>
        <w:tab/>
        <w:t>Ghana Statistical Service and Ghana Health Service. Ghana Demographic and Health Survey 2008 [Internet]. 2009 [cited 2019 Feb 13]. Available from: https://www.dhsprogram.com/pubs/pdf/FR221/FR221[13Aug2012].pdf.</w:t>
      </w:r>
    </w:p>
    <w:p w14:paraId="5F44C07A" w14:textId="77777777" w:rsidR="00BF07C0" w:rsidRDefault="00BF07C0" w:rsidP="00BF07C0">
      <w:pPr>
        <w:pStyle w:val="Bibliography"/>
      </w:pPr>
      <w:r>
        <w:t xml:space="preserve">[47] </w:t>
      </w:r>
      <w:r>
        <w:tab/>
        <w:t>Ghana Statistical Service. Ghana Multiple Indicator Cluster Survey with an Enhanced Malaria Module and Biomaker,2011, Final report. [Internet]. Ghana Statistical Service; 2011 [cited 2015 Dec 23]. Available from: http://www.unicef.org/ghana/Ghana_MICS_Final.pdf.</w:t>
      </w:r>
    </w:p>
    <w:p w14:paraId="6B98DFAF" w14:textId="77777777" w:rsidR="00BF07C0" w:rsidRDefault="00BF07C0" w:rsidP="00BF07C0">
      <w:pPr>
        <w:pStyle w:val="Bibliography"/>
      </w:pPr>
      <w:r>
        <w:t xml:space="preserve">[48] </w:t>
      </w:r>
      <w:r>
        <w:tab/>
        <w:t>Ghana Statistical Service. Ghana Demographic and Health Survey,2014 [Internet]. Ghana Statistical Service; 2014 [cited 2015 Dec 23]. Available from: http://dhsprogram.com/what-we-do/survey/survey-display-437.cfm.</w:t>
      </w:r>
    </w:p>
    <w:p w14:paraId="62CA34D5" w14:textId="77777777" w:rsidR="00BF07C0" w:rsidRDefault="00BF07C0" w:rsidP="00BF07C0">
      <w:pPr>
        <w:pStyle w:val="Bibliography"/>
      </w:pPr>
      <w:r>
        <w:t xml:space="preserve">[49] </w:t>
      </w:r>
      <w:r>
        <w:tab/>
        <w:t>Hartig F, Calabrese JM, Reineking B, et al. Statistical inference for stochastic simulation models - theory and application: Inference for stochastic simulation models. Ecol. Lett. 2011;14:816–827.</w:t>
      </w:r>
    </w:p>
    <w:p w14:paraId="0259BDC1" w14:textId="77777777" w:rsidR="00BF07C0" w:rsidRDefault="00BF07C0" w:rsidP="00BF07C0">
      <w:pPr>
        <w:pStyle w:val="Bibliography"/>
      </w:pPr>
      <w:r>
        <w:t xml:space="preserve">[50] </w:t>
      </w:r>
      <w:r>
        <w:tab/>
        <w:t>Hermans B. Application of approximate Bayesian computation to estimate parameters in models of infectious disease spread on a network. :16.</w:t>
      </w:r>
    </w:p>
    <w:p w14:paraId="47D13795" w14:textId="77777777" w:rsidR="00BF07C0" w:rsidRDefault="00BF07C0" w:rsidP="00BF07C0">
      <w:pPr>
        <w:pStyle w:val="Bibliography"/>
      </w:pPr>
      <w:r>
        <w:t xml:space="preserve">[51] </w:t>
      </w:r>
      <w:r>
        <w:tab/>
        <w:t>Marjoram P, Molitor J, Plagnol V, et al. Markov chain Monte Carlo without likelihoods. Proc. Natl. Acad. Sci. 2003;100:15324–15328.</w:t>
      </w:r>
    </w:p>
    <w:p w14:paraId="404E17E3" w14:textId="77777777" w:rsidR="00BF07C0" w:rsidRDefault="00BF07C0" w:rsidP="00BF07C0">
      <w:pPr>
        <w:pStyle w:val="Bibliography"/>
      </w:pPr>
      <w:r>
        <w:t xml:space="preserve">[52] </w:t>
      </w:r>
      <w:r>
        <w:tab/>
        <w:t>Beaumont MA. Approximate Bayesian Computation in Evolution and Ecology. Annu. Rev. Ecol. Evol. Syst. 2010;41:379–406.</w:t>
      </w:r>
    </w:p>
    <w:p w14:paraId="0EF73842" w14:textId="77777777" w:rsidR="00BF07C0" w:rsidRDefault="00BF07C0" w:rsidP="00BF07C0">
      <w:pPr>
        <w:pStyle w:val="Bibliography"/>
      </w:pPr>
      <w:r>
        <w:t xml:space="preserve">[53] </w:t>
      </w:r>
      <w:r>
        <w:tab/>
        <w:t>van der Vaart E, Beaumont MA, Johnston ASA, et al. Calibration and evaluation of individual-based models using Approximate Bayesian Computation. Ecol. Model. 2015;312:182–190.</w:t>
      </w:r>
    </w:p>
    <w:p w14:paraId="3D35F8D2" w14:textId="77777777" w:rsidR="00BF07C0" w:rsidRDefault="00BF07C0" w:rsidP="00BF07C0">
      <w:pPr>
        <w:pStyle w:val="Bibliography"/>
      </w:pPr>
      <w:r>
        <w:t xml:space="preserve">[54] </w:t>
      </w:r>
      <w:r>
        <w:tab/>
        <w:t>Csillery K, Lemaire L, Francois O, et al. Approximate Bayesian Computation (ABC) in R: A Vignette. :24.</w:t>
      </w:r>
    </w:p>
    <w:p w14:paraId="5A9756A5" w14:textId="77777777" w:rsidR="00BF07C0" w:rsidRDefault="00BF07C0" w:rsidP="00BF07C0">
      <w:pPr>
        <w:pStyle w:val="Bibliography"/>
      </w:pPr>
      <w:r>
        <w:t xml:space="preserve">[55] </w:t>
      </w:r>
      <w:r>
        <w:tab/>
        <w:t>Hannah Koenker, Emily Ricotta, Bolanle Olapeju, et al. Insecticide-Treated Nets (ITN) Access and Use Report.Baltimore, MD. PMI | VectorWorks Project, Johns Hopkins Center for Communication Programs. 2018.</w:t>
      </w:r>
    </w:p>
    <w:p w14:paraId="1B12C0D0" w14:textId="0151CEF6" w:rsidR="005973C0" w:rsidRPr="005B6F1E" w:rsidRDefault="008E7FCE" w:rsidP="00A5291A">
      <w:pPr>
        <w:spacing w:after="200" w:line="360" w:lineRule="auto"/>
        <w:rPr>
          <w:szCs w:val="24"/>
          <w:lang w:val="en-GB"/>
        </w:rPr>
      </w:pPr>
      <w:r>
        <w:rPr>
          <w:szCs w:val="24"/>
        </w:rPr>
        <w:lastRenderedPageBreak/>
        <w:fldChar w:fldCharType="end"/>
      </w:r>
    </w:p>
    <w:sectPr w:rsidR="005973C0" w:rsidRPr="005B6F1E" w:rsidSect="002B6379">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8DE952" w14:textId="77777777" w:rsidR="00F52C24" w:rsidRDefault="00F52C24" w:rsidP="00BF5275">
      <w:pPr>
        <w:spacing w:after="0" w:line="240" w:lineRule="auto"/>
      </w:pPr>
      <w:r>
        <w:separator/>
      </w:r>
    </w:p>
  </w:endnote>
  <w:endnote w:type="continuationSeparator" w:id="0">
    <w:p w14:paraId="65CC846E" w14:textId="77777777" w:rsidR="00F52C24" w:rsidRDefault="00F52C24" w:rsidP="00BF5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43F8E9" w14:textId="77777777" w:rsidR="00290B41" w:rsidRDefault="00290B41">
    <w:pPr>
      <w:pStyle w:val="Footer"/>
      <w:jc w:val="center"/>
    </w:pPr>
    <w:r>
      <w:fldChar w:fldCharType="begin"/>
    </w:r>
    <w:r>
      <w:instrText xml:space="preserve"> PAGE   \* MERGEFORMAT </w:instrText>
    </w:r>
    <w:r>
      <w:fldChar w:fldCharType="separate"/>
    </w:r>
    <w:r w:rsidR="006263FB">
      <w:rPr>
        <w:noProof/>
      </w:rPr>
      <w:t>12</w:t>
    </w:r>
    <w:r>
      <w:rPr>
        <w:noProof/>
      </w:rPr>
      <w:fldChar w:fldCharType="end"/>
    </w:r>
  </w:p>
  <w:p w14:paraId="42B0D6A4" w14:textId="77777777" w:rsidR="00290B41" w:rsidRDefault="00290B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7E8629" w14:textId="77777777" w:rsidR="00290B41" w:rsidRDefault="00290B41">
    <w:pPr>
      <w:pStyle w:val="Footer"/>
      <w:jc w:val="center"/>
    </w:pPr>
    <w:r>
      <w:fldChar w:fldCharType="begin"/>
    </w:r>
    <w:r>
      <w:instrText xml:space="preserve"> PAGE   \* MERGEFORMAT </w:instrText>
    </w:r>
    <w:r>
      <w:fldChar w:fldCharType="separate"/>
    </w:r>
    <w:r w:rsidR="006263FB">
      <w:rPr>
        <w:noProof/>
      </w:rPr>
      <w:t>14</w:t>
    </w:r>
    <w:r>
      <w:rPr>
        <w:noProof/>
      </w:rPr>
      <w:fldChar w:fldCharType="end"/>
    </w:r>
  </w:p>
  <w:p w14:paraId="1DEDD067" w14:textId="77777777" w:rsidR="00290B41" w:rsidRDefault="00290B4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EC9527" w14:textId="77777777" w:rsidR="00290B41" w:rsidRDefault="00290B41">
    <w:pPr>
      <w:pStyle w:val="Footer"/>
      <w:jc w:val="center"/>
    </w:pPr>
    <w:r>
      <w:fldChar w:fldCharType="begin"/>
    </w:r>
    <w:r>
      <w:instrText xml:space="preserve"> PAGE   \* MERGEFORMAT </w:instrText>
    </w:r>
    <w:r>
      <w:fldChar w:fldCharType="separate"/>
    </w:r>
    <w:r w:rsidR="006263FB">
      <w:rPr>
        <w:noProof/>
      </w:rPr>
      <w:t>22</w:t>
    </w:r>
    <w:r>
      <w:rPr>
        <w:noProof/>
      </w:rPr>
      <w:fldChar w:fldCharType="end"/>
    </w:r>
  </w:p>
  <w:p w14:paraId="4622C119" w14:textId="77777777" w:rsidR="00290B41" w:rsidRDefault="00290B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01AD99" w14:textId="77777777" w:rsidR="00F52C24" w:rsidRDefault="00F52C24" w:rsidP="00BF5275">
      <w:pPr>
        <w:spacing w:after="0" w:line="240" w:lineRule="auto"/>
      </w:pPr>
      <w:r>
        <w:separator/>
      </w:r>
    </w:p>
  </w:footnote>
  <w:footnote w:type="continuationSeparator" w:id="0">
    <w:p w14:paraId="333E2B24" w14:textId="77777777" w:rsidR="00F52C24" w:rsidRDefault="00F52C24" w:rsidP="00BF52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906A6B" w14:textId="77777777" w:rsidR="00290B41" w:rsidRDefault="00290B41" w:rsidP="00E664D2">
    <w:pPr>
      <w:pStyle w:val="Header"/>
      <w:tabs>
        <w:tab w:val="clear" w:pos="4513"/>
        <w:tab w:val="clear" w:pos="9026"/>
        <w:tab w:val="left" w:pos="1530"/>
        <w:tab w:val="left" w:pos="3930"/>
      </w:tabs>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2AB303" w14:textId="77777777" w:rsidR="00290B41" w:rsidRDefault="00290B41" w:rsidP="00E664D2">
    <w:pPr>
      <w:pStyle w:val="Header"/>
      <w:tabs>
        <w:tab w:val="clear" w:pos="4513"/>
        <w:tab w:val="clear" w:pos="9026"/>
        <w:tab w:val="left" w:pos="1530"/>
        <w:tab w:val="left" w:pos="3930"/>
      </w:tabs>
    </w:pP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8F2C4" w14:textId="77777777" w:rsidR="00290B41" w:rsidRDefault="00290B41" w:rsidP="00E664D2">
    <w:pPr>
      <w:pStyle w:val="Header"/>
      <w:tabs>
        <w:tab w:val="clear" w:pos="4513"/>
        <w:tab w:val="clear" w:pos="9026"/>
        <w:tab w:val="left" w:pos="1530"/>
        <w:tab w:val="left" w:pos="3930"/>
      </w:tabs>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845D1"/>
    <w:multiLevelType w:val="hybridMultilevel"/>
    <w:tmpl w:val="318C100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13F7B49"/>
    <w:multiLevelType w:val="hybridMultilevel"/>
    <w:tmpl w:val="FFEE09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16247D"/>
    <w:multiLevelType w:val="hybridMultilevel"/>
    <w:tmpl w:val="0B32CAC4"/>
    <w:lvl w:ilvl="0" w:tplc="1C09000F">
      <w:start w:val="1"/>
      <w:numFmt w:val="decimal"/>
      <w:lvlText w:val="%1."/>
      <w:lvlJc w:val="left"/>
      <w:pPr>
        <w:ind w:left="2160" w:hanging="360"/>
      </w:pPr>
    </w:lvl>
    <w:lvl w:ilvl="1" w:tplc="1C090019" w:tentative="1">
      <w:start w:val="1"/>
      <w:numFmt w:val="lowerLetter"/>
      <w:lvlText w:val="%2."/>
      <w:lvlJc w:val="left"/>
      <w:pPr>
        <w:ind w:left="2880" w:hanging="360"/>
      </w:pPr>
    </w:lvl>
    <w:lvl w:ilvl="2" w:tplc="1C09001B" w:tentative="1">
      <w:start w:val="1"/>
      <w:numFmt w:val="lowerRoman"/>
      <w:lvlText w:val="%3."/>
      <w:lvlJc w:val="right"/>
      <w:pPr>
        <w:ind w:left="3600" w:hanging="180"/>
      </w:pPr>
    </w:lvl>
    <w:lvl w:ilvl="3" w:tplc="1C09000F" w:tentative="1">
      <w:start w:val="1"/>
      <w:numFmt w:val="decimal"/>
      <w:lvlText w:val="%4."/>
      <w:lvlJc w:val="left"/>
      <w:pPr>
        <w:ind w:left="4320" w:hanging="360"/>
      </w:pPr>
    </w:lvl>
    <w:lvl w:ilvl="4" w:tplc="1C090019" w:tentative="1">
      <w:start w:val="1"/>
      <w:numFmt w:val="lowerLetter"/>
      <w:lvlText w:val="%5."/>
      <w:lvlJc w:val="left"/>
      <w:pPr>
        <w:ind w:left="5040" w:hanging="360"/>
      </w:pPr>
    </w:lvl>
    <w:lvl w:ilvl="5" w:tplc="1C09001B" w:tentative="1">
      <w:start w:val="1"/>
      <w:numFmt w:val="lowerRoman"/>
      <w:lvlText w:val="%6."/>
      <w:lvlJc w:val="right"/>
      <w:pPr>
        <w:ind w:left="5760" w:hanging="180"/>
      </w:pPr>
    </w:lvl>
    <w:lvl w:ilvl="6" w:tplc="1C09000F" w:tentative="1">
      <w:start w:val="1"/>
      <w:numFmt w:val="decimal"/>
      <w:lvlText w:val="%7."/>
      <w:lvlJc w:val="left"/>
      <w:pPr>
        <w:ind w:left="6480" w:hanging="360"/>
      </w:pPr>
    </w:lvl>
    <w:lvl w:ilvl="7" w:tplc="1C090019" w:tentative="1">
      <w:start w:val="1"/>
      <w:numFmt w:val="lowerLetter"/>
      <w:lvlText w:val="%8."/>
      <w:lvlJc w:val="left"/>
      <w:pPr>
        <w:ind w:left="7200" w:hanging="360"/>
      </w:pPr>
    </w:lvl>
    <w:lvl w:ilvl="8" w:tplc="1C09001B" w:tentative="1">
      <w:start w:val="1"/>
      <w:numFmt w:val="lowerRoman"/>
      <w:lvlText w:val="%9."/>
      <w:lvlJc w:val="right"/>
      <w:pPr>
        <w:ind w:left="7920" w:hanging="180"/>
      </w:pPr>
    </w:lvl>
  </w:abstractNum>
  <w:abstractNum w:abstractNumId="3" w15:restartNumberingAfterBreak="0">
    <w:nsid w:val="06D24C25"/>
    <w:multiLevelType w:val="hybridMultilevel"/>
    <w:tmpl w:val="CB562F2A"/>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07492AF4"/>
    <w:multiLevelType w:val="hybridMultilevel"/>
    <w:tmpl w:val="00366406"/>
    <w:lvl w:ilvl="0" w:tplc="1C090019">
      <w:start w:val="1"/>
      <w:numFmt w:val="lowerLetter"/>
      <w:lvlText w:val="%1."/>
      <w:lvlJc w:val="left"/>
      <w:pPr>
        <w:ind w:left="360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A1E6337"/>
    <w:multiLevelType w:val="hybridMultilevel"/>
    <w:tmpl w:val="FC644AE2"/>
    <w:lvl w:ilvl="0" w:tplc="2ED2A164">
      <w:start w:val="1"/>
      <w:numFmt w:val="decimal"/>
      <w:lvlText w:val="%1."/>
      <w:lvlJc w:val="left"/>
      <w:pPr>
        <w:ind w:left="108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183019E"/>
    <w:multiLevelType w:val="hybridMultilevel"/>
    <w:tmpl w:val="7A02FC40"/>
    <w:lvl w:ilvl="0" w:tplc="0809000F">
      <w:start w:val="1"/>
      <w:numFmt w:val="decimal"/>
      <w:lvlText w:val="%1."/>
      <w:lvlJc w:val="left"/>
      <w:pPr>
        <w:ind w:left="1080" w:hanging="360"/>
      </w:p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7" w15:restartNumberingAfterBreak="0">
    <w:nsid w:val="18D1353A"/>
    <w:multiLevelType w:val="hybridMultilevel"/>
    <w:tmpl w:val="B5643D0C"/>
    <w:lvl w:ilvl="0" w:tplc="0809000F">
      <w:start w:val="1"/>
      <w:numFmt w:val="decimal"/>
      <w:lvlText w:val="%1."/>
      <w:lvlJc w:val="left"/>
      <w:pPr>
        <w:ind w:left="1080" w:hanging="360"/>
      </w:p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8" w15:restartNumberingAfterBreak="0">
    <w:nsid w:val="1BA66437"/>
    <w:multiLevelType w:val="hybridMultilevel"/>
    <w:tmpl w:val="9FD65DA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4D13BF"/>
    <w:multiLevelType w:val="hybridMultilevel"/>
    <w:tmpl w:val="54221AE8"/>
    <w:lvl w:ilvl="0" w:tplc="5EC417F0">
      <w:start w:val="1"/>
      <w:numFmt w:val="decimal"/>
      <w:lvlText w:val="%1."/>
      <w:lvlJc w:val="left"/>
      <w:pPr>
        <w:ind w:left="108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29D80FDE"/>
    <w:multiLevelType w:val="hybridMultilevel"/>
    <w:tmpl w:val="2EC45D2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5D5151"/>
    <w:multiLevelType w:val="hybridMultilevel"/>
    <w:tmpl w:val="B5643D0C"/>
    <w:lvl w:ilvl="0" w:tplc="0809000F">
      <w:start w:val="1"/>
      <w:numFmt w:val="decimal"/>
      <w:lvlText w:val="%1."/>
      <w:lvlJc w:val="left"/>
      <w:pPr>
        <w:ind w:left="1080" w:hanging="360"/>
      </w:p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2" w15:restartNumberingAfterBreak="0">
    <w:nsid w:val="3B236F85"/>
    <w:multiLevelType w:val="hybridMultilevel"/>
    <w:tmpl w:val="2872F9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BA2776F"/>
    <w:multiLevelType w:val="hybridMultilevel"/>
    <w:tmpl w:val="8248904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5354B8A"/>
    <w:multiLevelType w:val="hybridMultilevel"/>
    <w:tmpl w:val="2EC45D2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5278ED"/>
    <w:multiLevelType w:val="hybridMultilevel"/>
    <w:tmpl w:val="CC18619C"/>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AD41E3"/>
    <w:multiLevelType w:val="hybridMultilevel"/>
    <w:tmpl w:val="EDAC7D50"/>
    <w:lvl w:ilvl="0" w:tplc="1C090001">
      <w:start w:val="1"/>
      <w:numFmt w:val="bullet"/>
      <w:lvlText w:val=""/>
      <w:lvlJc w:val="left"/>
      <w:pPr>
        <w:ind w:left="1440" w:hanging="360"/>
      </w:pPr>
      <w:rPr>
        <w:rFonts w:ascii="Symbol" w:hAnsi="Symbol" w:hint="default"/>
      </w:rPr>
    </w:lvl>
    <w:lvl w:ilvl="1" w:tplc="1C09000F">
      <w:start w:val="1"/>
      <w:numFmt w:val="decimal"/>
      <w:lvlText w:val="%2."/>
      <w:lvlJc w:val="left"/>
      <w:pPr>
        <w:ind w:left="2160" w:hanging="360"/>
      </w:pPr>
      <w:rPr>
        <w:rFonts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7" w15:restartNumberingAfterBreak="0">
    <w:nsid w:val="4E8F0B4A"/>
    <w:multiLevelType w:val="hybridMultilevel"/>
    <w:tmpl w:val="96D6FC68"/>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F4E3587"/>
    <w:multiLevelType w:val="hybridMultilevel"/>
    <w:tmpl w:val="8856F650"/>
    <w:lvl w:ilvl="0" w:tplc="1C090001">
      <w:start w:val="1"/>
      <w:numFmt w:val="bullet"/>
      <w:lvlText w:val=""/>
      <w:lvlJc w:val="left"/>
      <w:pPr>
        <w:ind w:left="1440" w:hanging="360"/>
      </w:pPr>
      <w:rPr>
        <w:rFonts w:ascii="Symbol" w:hAnsi="Symbol" w:hint="default"/>
      </w:rPr>
    </w:lvl>
    <w:lvl w:ilvl="1" w:tplc="1C09000F">
      <w:start w:val="1"/>
      <w:numFmt w:val="decimal"/>
      <w:lvlText w:val="%2."/>
      <w:lvlJc w:val="left"/>
      <w:pPr>
        <w:ind w:left="2160" w:hanging="360"/>
      </w:pPr>
      <w:rPr>
        <w:rFonts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 w15:restartNumberingAfterBreak="0">
    <w:nsid w:val="515904FD"/>
    <w:multiLevelType w:val="hybridMultilevel"/>
    <w:tmpl w:val="2EC45D2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58C2EA8"/>
    <w:multiLevelType w:val="hybridMultilevel"/>
    <w:tmpl w:val="55F860EA"/>
    <w:lvl w:ilvl="0" w:tplc="5EC417F0">
      <w:start w:val="1"/>
      <w:numFmt w:val="decimal"/>
      <w:lvlText w:val="%1."/>
      <w:lvlJc w:val="left"/>
      <w:pPr>
        <w:ind w:left="108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58312761"/>
    <w:multiLevelType w:val="hybridMultilevel"/>
    <w:tmpl w:val="ECB4463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5FE2234F"/>
    <w:multiLevelType w:val="hybridMultilevel"/>
    <w:tmpl w:val="2EC45D2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3906621"/>
    <w:multiLevelType w:val="hybridMultilevel"/>
    <w:tmpl w:val="A312509E"/>
    <w:lvl w:ilvl="0" w:tplc="1C09000F">
      <w:start w:val="1"/>
      <w:numFmt w:val="decimal"/>
      <w:lvlText w:val="%1."/>
      <w:lvlJc w:val="left"/>
      <w:pPr>
        <w:ind w:left="288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3"/>
  </w:num>
  <w:num w:numId="2">
    <w:abstractNumId w:val="16"/>
  </w:num>
  <w:num w:numId="3">
    <w:abstractNumId w:val="2"/>
  </w:num>
  <w:num w:numId="4">
    <w:abstractNumId w:val="18"/>
  </w:num>
  <w:num w:numId="5">
    <w:abstractNumId w:val="21"/>
  </w:num>
  <w:num w:numId="6">
    <w:abstractNumId w:val="3"/>
  </w:num>
  <w:num w:numId="7">
    <w:abstractNumId w:val="6"/>
  </w:num>
  <w:num w:numId="8">
    <w:abstractNumId w:val="12"/>
  </w:num>
  <w:num w:numId="9">
    <w:abstractNumId w:val="20"/>
  </w:num>
  <w:num w:numId="10">
    <w:abstractNumId w:val="9"/>
  </w:num>
  <w:num w:numId="11">
    <w:abstractNumId w:val="5"/>
  </w:num>
  <w:num w:numId="12">
    <w:abstractNumId w:val="0"/>
  </w:num>
  <w:num w:numId="13">
    <w:abstractNumId w:val="11"/>
  </w:num>
  <w:num w:numId="14">
    <w:abstractNumId w:val="15"/>
  </w:num>
  <w:num w:numId="15">
    <w:abstractNumId w:val="4"/>
  </w:num>
  <w:num w:numId="16">
    <w:abstractNumId w:val="19"/>
  </w:num>
  <w:num w:numId="17">
    <w:abstractNumId w:val="10"/>
  </w:num>
  <w:num w:numId="18">
    <w:abstractNumId w:val="22"/>
  </w:num>
  <w:num w:numId="19">
    <w:abstractNumId w:val="14"/>
  </w:num>
  <w:num w:numId="20">
    <w:abstractNumId w:val="23"/>
  </w:num>
  <w:num w:numId="21">
    <w:abstractNumId w:val="8"/>
  </w:num>
  <w:num w:numId="22">
    <w:abstractNumId w:val="17"/>
  </w:num>
  <w:num w:numId="23">
    <w:abstractNumId w:val="7"/>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1F5"/>
    <w:rsid w:val="00002848"/>
    <w:rsid w:val="00002C87"/>
    <w:rsid w:val="00003C62"/>
    <w:rsid w:val="000061F8"/>
    <w:rsid w:val="000103BB"/>
    <w:rsid w:val="000125D7"/>
    <w:rsid w:val="000138E0"/>
    <w:rsid w:val="00014353"/>
    <w:rsid w:val="0001508E"/>
    <w:rsid w:val="00015226"/>
    <w:rsid w:val="00015BEA"/>
    <w:rsid w:val="000211D5"/>
    <w:rsid w:val="00023978"/>
    <w:rsid w:val="00023CA8"/>
    <w:rsid w:val="000242BD"/>
    <w:rsid w:val="00024C4C"/>
    <w:rsid w:val="00025985"/>
    <w:rsid w:val="00030216"/>
    <w:rsid w:val="0003165E"/>
    <w:rsid w:val="000317A4"/>
    <w:rsid w:val="000318DD"/>
    <w:rsid w:val="00031D6B"/>
    <w:rsid w:val="000329C9"/>
    <w:rsid w:val="000344FA"/>
    <w:rsid w:val="00034786"/>
    <w:rsid w:val="000348AB"/>
    <w:rsid w:val="00034A63"/>
    <w:rsid w:val="00035555"/>
    <w:rsid w:val="00035A1A"/>
    <w:rsid w:val="00035B42"/>
    <w:rsid w:val="0003602F"/>
    <w:rsid w:val="00037102"/>
    <w:rsid w:val="0004020C"/>
    <w:rsid w:val="0004241C"/>
    <w:rsid w:val="00044666"/>
    <w:rsid w:val="00045D7B"/>
    <w:rsid w:val="00046224"/>
    <w:rsid w:val="000477BA"/>
    <w:rsid w:val="000477E0"/>
    <w:rsid w:val="0005060E"/>
    <w:rsid w:val="000514E7"/>
    <w:rsid w:val="00052EE0"/>
    <w:rsid w:val="00052F93"/>
    <w:rsid w:val="00053FE0"/>
    <w:rsid w:val="00054664"/>
    <w:rsid w:val="00054967"/>
    <w:rsid w:val="000555B1"/>
    <w:rsid w:val="00056551"/>
    <w:rsid w:val="000574C0"/>
    <w:rsid w:val="0006088F"/>
    <w:rsid w:val="00062E8D"/>
    <w:rsid w:val="000630C1"/>
    <w:rsid w:val="00063633"/>
    <w:rsid w:val="000643E2"/>
    <w:rsid w:val="00065DB5"/>
    <w:rsid w:val="00070B31"/>
    <w:rsid w:val="0007149F"/>
    <w:rsid w:val="00071526"/>
    <w:rsid w:val="00071C15"/>
    <w:rsid w:val="000731CB"/>
    <w:rsid w:val="0007494E"/>
    <w:rsid w:val="000758C7"/>
    <w:rsid w:val="00076148"/>
    <w:rsid w:val="00076952"/>
    <w:rsid w:val="0007739B"/>
    <w:rsid w:val="00077ED2"/>
    <w:rsid w:val="00081EC8"/>
    <w:rsid w:val="00082949"/>
    <w:rsid w:val="00083F8E"/>
    <w:rsid w:val="00084430"/>
    <w:rsid w:val="0008584C"/>
    <w:rsid w:val="00085A47"/>
    <w:rsid w:val="00085BBD"/>
    <w:rsid w:val="0008637B"/>
    <w:rsid w:val="000879CD"/>
    <w:rsid w:val="00087F82"/>
    <w:rsid w:val="00091A7B"/>
    <w:rsid w:val="00095B22"/>
    <w:rsid w:val="0009677A"/>
    <w:rsid w:val="00096BFF"/>
    <w:rsid w:val="000A433F"/>
    <w:rsid w:val="000A5360"/>
    <w:rsid w:val="000A7AF8"/>
    <w:rsid w:val="000B2C1B"/>
    <w:rsid w:val="000B2FD5"/>
    <w:rsid w:val="000B2FEF"/>
    <w:rsid w:val="000B36BA"/>
    <w:rsid w:val="000B47B9"/>
    <w:rsid w:val="000B6B80"/>
    <w:rsid w:val="000C047F"/>
    <w:rsid w:val="000C04F6"/>
    <w:rsid w:val="000C23FF"/>
    <w:rsid w:val="000C366A"/>
    <w:rsid w:val="000C476D"/>
    <w:rsid w:val="000C510B"/>
    <w:rsid w:val="000C5518"/>
    <w:rsid w:val="000C6F4D"/>
    <w:rsid w:val="000D2FF2"/>
    <w:rsid w:val="000D39EA"/>
    <w:rsid w:val="000D7613"/>
    <w:rsid w:val="000D7C51"/>
    <w:rsid w:val="000E1D07"/>
    <w:rsid w:val="000E20E6"/>
    <w:rsid w:val="000E246F"/>
    <w:rsid w:val="000E3C50"/>
    <w:rsid w:val="000E6375"/>
    <w:rsid w:val="000E7412"/>
    <w:rsid w:val="000F2298"/>
    <w:rsid w:val="000F3211"/>
    <w:rsid w:val="000F3ACA"/>
    <w:rsid w:val="000F4F09"/>
    <w:rsid w:val="000F65E0"/>
    <w:rsid w:val="000F6695"/>
    <w:rsid w:val="000F77FF"/>
    <w:rsid w:val="00100250"/>
    <w:rsid w:val="00102764"/>
    <w:rsid w:val="00103327"/>
    <w:rsid w:val="00103723"/>
    <w:rsid w:val="00103A8C"/>
    <w:rsid w:val="00104D2B"/>
    <w:rsid w:val="001102D7"/>
    <w:rsid w:val="00111ED4"/>
    <w:rsid w:val="00114953"/>
    <w:rsid w:val="00115B43"/>
    <w:rsid w:val="00115F30"/>
    <w:rsid w:val="00116702"/>
    <w:rsid w:val="0012004A"/>
    <w:rsid w:val="001205CF"/>
    <w:rsid w:val="001227E2"/>
    <w:rsid w:val="00123F6A"/>
    <w:rsid w:val="00126C58"/>
    <w:rsid w:val="001276EA"/>
    <w:rsid w:val="00130FA1"/>
    <w:rsid w:val="00132952"/>
    <w:rsid w:val="00132F48"/>
    <w:rsid w:val="00135515"/>
    <w:rsid w:val="0013611D"/>
    <w:rsid w:val="0013688B"/>
    <w:rsid w:val="00136CAC"/>
    <w:rsid w:val="00136F63"/>
    <w:rsid w:val="00143948"/>
    <w:rsid w:val="00146620"/>
    <w:rsid w:val="00146A5C"/>
    <w:rsid w:val="00147770"/>
    <w:rsid w:val="00147D8C"/>
    <w:rsid w:val="0015003D"/>
    <w:rsid w:val="00150A8C"/>
    <w:rsid w:val="00152F25"/>
    <w:rsid w:val="00154231"/>
    <w:rsid w:val="00155CBD"/>
    <w:rsid w:val="00156292"/>
    <w:rsid w:val="001571A2"/>
    <w:rsid w:val="0015746A"/>
    <w:rsid w:val="00161C09"/>
    <w:rsid w:val="00161E53"/>
    <w:rsid w:val="00162ABD"/>
    <w:rsid w:val="00163E92"/>
    <w:rsid w:val="00164303"/>
    <w:rsid w:val="001707B2"/>
    <w:rsid w:val="001714CA"/>
    <w:rsid w:val="001720C1"/>
    <w:rsid w:val="00173746"/>
    <w:rsid w:val="00173A59"/>
    <w:rsid w:val="001743E2"/>
    <w:rsid w:val="00174712"/>
    <w:rsid w:val="001776D6"/>
    <w:rsid w:val="001815C9"/>
    <w:rsid w:val="001864BF"/>
    <w:rsid w:val="00186E3F"/>
    <w:rsid w:val="001874DB"/>
    <w:rsid w:val="00187AE9"/>
    <w:rsid w:val="00192196"/>
    <w:rsid w:val="0019224D"/>
    <w:rsid w:val="0019264B"/>
    <w:rsid w:val="00193348"/>
    <w:rsid w:val="00196226"/>
    <w:rsid w:val="0019765C"/>
    <w:rsid w:val="00197F40"/>
    <w:rsid w:val="001A0689"/>
    <w:rsid w:val="001A36F7"/>
    <w:rsid w:val="001A68D4"/>
    <w:rsid w:val="001A7750"/>
    <w:rsid w:val="001A7BAB"/>
    <w:rsid w:val="001B1916"/>
    <w:rsid w:val="001B26DA"/>
    <w:rsid w:val="001B32EE"/>
    <w:rsid w:val="001B38F5"/>
    <w:rsid w:val="001B3AC0"/>
    <w:rsid w:val="001B3B83"/>
    <w:rsid w:val="001B4B79"/>
    <w:rsid w:val="001B58B4"/>
    <w:rsid w:val="001B6658"/>
    <w:rsid w:val="001C1654"/>
    <w:rsid w:val="001C2203"/>
    <w:rsid w:val="001C2FA6"/>
    <w:rsid w:val="001C6DF9"/>
    <w:rsid w:val="001C7FE0"/>
    <w:rsid w:val="001D05FD"/>
    <w:rsid w:val="001D09CF"/>
    <w:rsid w:val="001D0E98"/>
    <w:rsid w:val="001D1635"/>
    <w:rsid w:val="001D2EE3"/>
    <w:rsid w:val="001D3740"/>
    <w:rsid w:val="001D4098"/>
    <w:rsid w:val="001D4892"/>
    <w:rsid w:val="001D6FB3"/>
    <w:rsid w:val="001E11AD"/>
    <w:rsid w:val="001E11AF"/>
    <w:rsid w:val="001E221C"/>
    <w:rsid w:val="001E7213"/>
    <w:rsid w:val="001F354A"/>
    <w:rsid w:val="001F3662"/>
    <w:rsid w:val="002014F3"/>
    <w:rsid w:val="00201B1B"/>
    <w:rsid w:val="00203059"/>
    <w:rsid w:val="002038A0"/>
    <w:rsid w:val="00205789"/>
    <w:rsid w:val="00206A86"/>
    <w:rsid w:val="00207618"/>
    <w:rsid w:val="00210E50"/>
    <w:rsid w:val="0021111D"/>
    <w:rsid w:val="002138AA"/>
    <w:rsid w:val="00217424"/>
    <w:rsid w:val="0021770F"/>
    <w:rsid w:val="0022141E"/>
    <w:rsid w:val="002218B2"/>
    <w:rsid w:val="00222613"/>
    <w:rsid w:val="0022357C"/>
    <w:rsid w:val="002235EA"/>
    <w:rsid w:val="002245A9"/>
    <w:rsid w:val="002276A9"/>
    <w:rsid w:val="00230286"/>
    <w:rsid w:val="002305BF"/>
    <w:rsid w:val="00231756"/>
    <w:rsid w:val="002325C1"/>
    <w:rsid w:val="00232DC4"/>
    <w:rsid w:val="00233F94"/>
    <w:rsid w:val="0023640F"/>
    <w:rsid w:val="0023699B"/>
    <w:rsid w:val="00236C8C"/>
    <w:rsid w:val="002442B8"/>
    <w:rsid w:val="00245BCF"/>
    <w:rsid w:val="00247789"/>
    <w:rsid w:val="00247BB4"/>
    <w:rsid w:val="0025178B"/>
    <w:rsid w:val="00251DA3"/>
    <w:rsid w:val="002546CD"/>
    <w:rsid w:val="00256905"/>
    <w:rsid w:val="00260044"/>
    <w:rsid w:val="00260B06"/>
    <w:rsid w:val="00264EC5"/>
    <w:rsid w:val="00265B76"/>
    <w:rsid w:val="002678BC"/>
    <w:rsid w:val="00270B4A"/>
    <w:rsid w:val="00270E29"/>
    <w:rsid w:val="00272BD7"/>
    <w:rsid w:val="002734BB"/>
    <w:rsid w:val="0027464D"/>
    <w:rsid w:val="00274FF7"/>
    <w:rsid w:val="00275218"/>
    <w:rsid w:val="00275D32"/>
    <w:rsid w:val="00276D87"/>
    <w:rsid w:val="0028014D"/>
    <w:rsid w:val="00282BF6"/>
    <w:rsid w:val="002832F1"/>
    <w:rsid w:val="002854ED"/>
    <w:rsid w:val="002878B3"/>
    <w:rsid w:val="00287C6D"/>
    <w:rsid w:val="00290B41"/>
    <w:rsid w:val="00290D1B"/>
    <w:rsid w:val="00294097"/>
    <w:rsid w:val="00295F23"/>
    <w:rsid w:val="002976BA"/>
    <w:rsid w:val="00297E23"/>
    <w:rsid w:val="002A05AE"/>
    <w:rsid w:val="002A1820"/>
    <w:rsid w:val="002A2CC2"/>
    <w:rsid w:val="002A42BA"/>
    <w:rsid w:val="002A6656"/>
    <w:rsid w:val="002B0EB6"/>
    <w:rsid w:val="002B197A"/>
    <w:rsid w:val="002B1B63"/>
    <w:rsid w:val="002B396D"/>
    <w:rsid w:val="002B428C"/>
    <w:rsid w:val="002B50FA"/>
    <w:rsid w:val="002B538C"/>
    <w:rsid w:val="002B5D18"/>
    <w:rsid w:val="002B6379"/>
    <w:rsid w:val="002B63D4"/>
    <w:rsid w:val="002B7171"/>
    <w:rsid w:val="002B7E42"/>
    <w:rsid w:val="002C0167"/>
    <w:rsid w:val="002C0AD8"/>
    <w:rsid w:val="002C0D01"/>
    <w:rsid w:val="002C0EF9"/>
    <w:rsid w:val="002C47B6"/>
    <w:rsid w:val="002C5449"/>
    <w:rsid w:val="002D0275"/>
    <w:rsid w:val="002D21B6"/>
    <w:rsid w:val="002D57A4"/>
    <w:rsid w:val="002D5BA3"/>
    <w:rsid w:val="002D63B0"/>
    <w:rsid w:val="002D7D29"/>
    <w:rsid w:val="002E128F"/>
    <w:rsid w:val="002E2300"/>
    <w:rsid w:val="002E5837"/>
    <w:rsid w:val="002E64EF"/>
    <w:rsid w:val="002E771B"/>
    <w:rsid w:val="002F15D0"/>
    <w:rsid w:val="002F1BC7"/>
    <w:rsid w:val="002F3920"/>
    <w:rsid w:val="002F3FE2"/>
    <w:rsid w:val="002F47CE"/>
    <w:rsid w:val="002F61CE"/>
    <w:rsid w:val="002F6374"/>
    <w:rsid w:val="002F67A9"/>
    <w:rsid w:val="002F704B"/>
    <w:rsid w:val="002F764F"/>
    <w:rsid w:val="002F78C5"/>
    <w:rsid w:val="00301DDD"/>
    <w:rsid w:val="00303E44"/>
    <w:rsid w:val="00304252"/>
    <w:rsid w:val="00305AF4"/>
    <w:rsid w:val="00306413"/>
    <w:rsid w:val="00306652"/>
    <w:rsid w:val="00306861"/>
    <w:rsid w:val="00307D18"/>
    <w:rsid w:val="00307D76"/>
    <w:rsid w:val="00310C11"/>
    <w:rsid w:val="00310CFC"/>
    <w:rsid w:val="003141AF"/>
    <w:rsid w:val="003143B4"/>
    <w:rsid w:val="0031476F"/>
    <w:rsid w:val="0031521F"/>
    <w:rsid w:val="003153D4"/>
    <w:rsid w:val="003157BA"/>
    <w:rsid w:val="003203EC"/>
    <w:rsid w:val="00320470"/>
    <w:rsid w:val="00322328"/>
    <w:rsid w:val="00323DB7"/>
    <w:rsid w:val="003303F4"/>
    <w:rsid w:val="00334481"/>
    <w:rsid w:val="00334520"/>
    <w:rsid w:val="00334FE4"/>
    <w:rsid w:val="00336F92"/>
    <w:rsid w:val="00342DD1"/>
    <w:rsid w:val="0034335A"/>
    <w:rsid w:val="00345A34"/>
    <w:rsid w:val="00345C1E"/>
    <w:rsid w:val="003460CE"/>
    <w:rsid w:val="003467C4"/>
    <w:rsid w:val="0034768E"/>
    <w:rsid w:val="00350507"/>
    <w:rsid w:val="00353674"/>
    <w:rsid w:val="0035558E"/>
    <w:rsid w:val="00356E27"/>
    <w:rsid w:val="00357466"/>
    <w:rsid w:val="003630F2"/>
    <w:rsid w:val="00364102"/>
    <w:rsid w:val="00367059"/>
    <w:rsid w:val="00370E9B"/>
    <w:rsid w:val="00372A78"/>
    <w:rsid w:val="00372D4E"/>
    <w:rsid w:val="00375665"/>
    <w:rsid w:val="00380F9B"/>
    <w:rsid w:val="0038146A"/>
    <w:rsid w:val="00382111"/>
    <w:rsid w:val="00382371"/>
    <w:rsid w:val="00385674"/>
    <w:rsid w:val="00385BF3"/>
    <w:rsid w:val="003907DA"/>
    <w:rsid w:val="00390D70"/>
    <w:rsid w:val="00392C50"/>
    <w:rsid w:val="0039309E"/>
    <w:rsid w:val="00393B39"/>
    <w:rsid w:val="00393E59"/>
    <w:rsid w:val="0039480F"/>
    <w:rsid w:val="00394BDE"/>
    <w:rsid w:val="003959CE"/>
    <w:rsid w:val="00397715"/>
    <w:rsid w:val="003A0115"/>
    <w:rsid w:val="003A14F8"/>
    <w:rsid w:val="003A17EE"/>
    <w:rsid w:val="003A2D99"/>
    <w:rsid w:val="003A388F"/>
    <w:rsid w:val="003A4187"/>
    <w:rsid w:val="003A706A"/>
    <w:rsid w:val="003A7A24"/>
    <w:rsid w:val="003B05D6"/>
    <w:rsid w:val="003B0E2A"/>
    <w:rsid w:val="003B120C"/>
    <w:rsid w:val="003B1265"/>
    <w:rsid w:val="003B1C59"/>
    <w:rsid w:val="003B5D22"/>
    <w:rsid w:val="003B5F24"/>
    <w:rsid w:val="003B6FDC"/>
    <w:rsid w:val="003B7114"/>
    <w:rsid w:val="003C0D96"/>
    <w:rsid w:val="003C286F"/>
    <w:rsid w:val="003C3A77"/>
    <w:rsid w:val="003C3B5B"/>
    <w:rsid w:val="003C3BA3"/>
    <w:rsid w:val="003C7B4B"/>
    <w:rsid w:val="003D2A60"/>
    <w:rsid w:val="003D2D7B"/>
    <w:rsid w:val="003D3715"/>
    <w:rsid w:val="003D3724"/>
    <w:rsid w:val="003D756D"/>
    <w:rsid w:val="003D7D5A"/>
    <w:rsid w:val="003E3DE6"/>
    <w:rsid w:val="003E5C02"/>
    <w:rsid w:val="003E6084"/>
    <w:rsid w:val="003E6424"/>
    <w:rsid w:val="003E7C7F"/>
    <w:rsid w:val="003F1809"/>
    <w:rsid w:val="003F42F3"/>
    <w:rsid w:val="003F7B8B"/>
    <w:rsid w:val="00401667"/>
    <w:rsid w:val="00403BA2"/>
    <w:rsid w:val="00404D95"/>
    <w:rsid w:val="004052EC"/>
    <w:rsid w:val="00405674"/>
    <w:rsid w:val="00406413"/>
    <w:rsid w:val="0041131C"/>
    <w:rsid w:val="00411922"/>
    <w:rsid w:val="00411A3A"/>
    <w:rsid w:val="004146AE"/>
    <w:rsid w:val="004151EE"/>
    <w:rsid w:val="00415409"/>
    <w:rsid w:val="0041544F"/>
    <w:rsid w:val="004158AF"/>
    <w:rsid w:val="004158E0"/>
    <w:rsid w:val="00417781"/>
    <w:rsid w:val="004202B0"/>
    <w:rsid w:val="00420D46"/>
    <w:rsid w:val="00424571"/>
    <w:rsid w:val="00425F10"/>
    <w:rsid w:val="00426043"/>
    <w:rsid w:val="0042747E"/>
    <w:rsid w:val="004340A0"/>
    <w:rsid w:val="00434502"/>
    <w:rsid w:val="00435386"/>
    <w:rsid w:val="004353EA"/>
    <w:rsid w:val="00435BCB"/>
    <w:rsid w:val="00435E54"/>
    <w:rsid w:val="004366F6"/>
    <w:rsid w:val="00436C0E"/>
    <w:rsid w:val="0044003C"/>
    <w:rsid w:val="00440FDE"/>
    <w:rsid w:val="00446CB1"/>
    <w:rsid w:val="00450C50"/>
    <w:rsid w:val="00453535"/>
    <w:rsid w:val="00454A12"/>
    <w:rsid w:val="00455500"/>
    <w:rsid w:val="00455735"/>
    <w:rsid w:val="00456926"/>
    <w:rsid w:val="004571BA"/>
    <w:rsid w:val="00457325"/>
    <w:rsid w:val="0045734C"/>
    <w:rsid w:val="0046255D"/>
    <w:rsid w:val="00465BD2"/>
    <w:rsid w:val="00465D87"/>
    <w:rsid w:val="00467DAE"/>
    <w:rsid w:val="00471A47"/>
    <w:rsid w:val="00471C9C"/>
    <w:rsid w:val="0047233D"/>
    <w:rsid w:val="0048152C"/>
    <w:rsid w:val="004817DB"/>
    <w:rsid w:val="0048200A"/>
    <w:rsid w:val="00482E0A"/>
    <w:rsid w:val="00483E64"/>
    <w:rsid w:val="00484893"/>
    <w:rsid w:val="00484C8A"/>
    <w:rsid w:val="004857D2"/>
    <w:rsid w:val="0048700C"/>
    <w:rsid w:val="00490107"/>
    <w:rsid w:val="00490114"/>
    <w:rsid w:val="0049077D"/>
    <w:rsid w:val="00492251"/>
    <w:rsid w:val="00497F99"/>
    <w:rsid w:val="004A0E72"/>
    <w:rsid w:val="004A1113"/>
    <w:rsid w:val="004A1515"/>
    <w:rsid w:val="004A1FC3"/>
    <w:rsid w:val="004A1FD6"/>
    <w:rsid w:val="004A2CCD"/>
    <w:rsid w:val="004A39D9"/>
    <w:rsid w:val="004A4444"/>
    <w:rsid w:val="004A517D"/>
    <w:rsid w:val="004A5905"/>
    <w:rsid w:val="004A65DA"/>
    <w:rsid w:val="004A7A9E"/>
    <w:rsid w:val="004B0FE9"/>
    <w:rsid w:val="004B1637"/>
    <w:rsid w:val="004B1691"/>
    <w:rsid w:val="004B2877"/>
    <w:rsid w:val="004B4EC5"/>
    <w:rsid w:val="004B55E3"/>
    <w:rsid w:val="004B788A"/>
    <w:rsid w:val="004B78CF"/>
    <w:rsid w:val="004C0397"/>
    <w:rsid w:val="004C0744"/>
    <w:rsid w:val="004C0F7E"/>
    <w:rsid w:val="004C2A45"/>
    <w:rsid w:val="004C3BF0"/>
    <w:rsid w:val="004C3C90"/>
    <w:rsid w:val="004C5DF9"/>
    <w:rsid w:val="004C6D03"/>
    <w:rsid w:val="004C731C"/>
    <w:rsid w:val="004C7D5F"/>
    <w:rsid w:val="004D0A19"/>
    <w:rsid w:val="004D2A5E"/>
    <w:rsid w:val="004D2CA0"/>
    <w:rsid w:val="004D2E8C"/>
    <w:rsid w:val="004D3631"/>
    <w:rsid w:val="004D4B40"/>
    <w:rsid w:val="004D64A9"/>
    <w:rsid w:val="004D6C32"/>
    <w:rsid w:val="004D7E34"/>
    <w:rsid w:val="004E2A58"/>
    <w:rsid w:val="004E2C97"/>
    <w:rsid w:val="004E3067"/>
    <w:rsid w:val="004E3E2E"/>
    <w:rsid w:val="004E5625"/>
    <w:rsid w:val="004E6530"/>
    <w:rsid w:val="004E7CEA"/>
    <w:rsid w:val="004F2580"/>
    <w:rsid w:val="004F3765"/>
    <w:rsid w:val="004F489B"/>
    <w:rsid w:val="004F48B6"/>
    <w:rsid w:val="004F506D"/>
    <w:rsid w:val="004F7E1C"/>
    <w:rsid w:val="005001F3"/>
    <w:rsid w:val="00501B87"/>
    <w:rsid w:val="005022EF"/>
    <w:rsid w:val="005027CF"/>
    <w:rsid w:val="005057C4"/>
    <w:rsid w:val="00505BF4"/>
    <w:rsid w:val="00505DD8"/>
    <w:rsid w:val="00507072"/>
    <w:rsid w:val="0050769A"/>
    <w:rsid w:val="00512B6F"/>
    <w:rsid w:val="00513D9F"/>
    <w:rsid w:val="00514190"/>
    <w:rsid w:val="0051498D"/>
    <w:rsid w:val="0051538D"/>
    <w:rsid w:val="0051546D"/>
    <w:rsid w:val="00516B2F"/>
    <w:rsid w:val="00517B92"/>
    <w:rsid w:val="00520856"/>
    <w:rsid w:val="00521D21"/>
    <w:rsid w:val="005224EB"/>
    <w:rsid w:val="0052540A"/>
    <w:rsid w:val="00525BAE"/>
    <w:rsid w:val="00531FCE"/>
    <w:rsid w:val="005324FE"/>
    <w:rsid w:val="00532DEF"/>
    <w:rsid w:val="00534131"/>
    <w:rsid w:val="00534511"/>
    <w:rsid w:val="005358E1"/>
    <w:rsid w:val="005371BE"/>
    <w:rsid w:val="0053738E"/>
    <w:rsid w:val="00537BAB"/>
    <w:rsid w:val="00541DFC"/>
    <w:rsid w:val="0054346D"/>
    <w:rsid w:val="00543668"/>
    <w:rsid w:val="0054497D"/>
    <w:rsid w:val="00550E32"/>
    <w:rsid w:val="00553117"/>
    <w:rsid w:val="00554614"/>
    <w:rsid w:val="0055499C"/>
    <w:rsid w:val="00555F0C"/>
    <w:rsid w:val="00557C7D"/>
    <w:rsid w:val="00557E94"/>
    <w:rsid w:val="0056046C"/>
    <w:rsid w:val="0056180D"/>
    <w:rsid w:val="00567CF1"/>
    <w:rsid w:val="00571BF8"/>
    <w:rsid w:val="005728C4"/>
    <w:rsid w:val="00572FD5"/>
    <w:rsid w:val="00574A4B"/>
    <w:rsid w:val="005753BC"/>
    <w:rsid w:val="0057732D"/>
    <w:rsid w:val="005806C7"/>
    <w:rsid w:val="00582025"/>
    <w:rsid w:val="00582C68"/>
    <w:rsid w:val="005837D3"/>
    <w:rsid w:val="00584BBB"/>
    <w:rsid w:val="00584D17"/>
    <w:rsid w:val="005857B5"/>
    <w:rsid w:val="00585ABD"/>
    <w:rsid w:val="005913F8"/>
    <w:rsid w:val="00592140"/>
    <w:rsid w:val="00592307"/>
    <w:rsid w:val="00593AA9"/>
    <w:rsid w:val="00594DF6"/>
    <w:rsid w:val="0059731B"/>
    <w:rsid w:val="005973C0"/>
    <w:rsid w:val="005A1CC0"/>
    <w:rsid w:val="005B0050"/>
    <w:rsid w:val="005B1F72"/>
    <w:rsid w:val="005B2869"/>
    <w:rsid w:val="005B317E"/>
    <w:rsid w:val="005B3792"/>
    <w:rsid w:val="005B4A05"/>
    <w:rsid w:val="005B5481"/>
    <w:rsid w:val="005B59D0"/>
    <w:rsid w:val="005B6E83"/>
    <w:rsid w:val="005B6F1E"/>
    <w:rsid w:val="005C10DE"/>
    <w:rsid w:val="005C1432"/>
    <w:rsid w:val="005C2380"/>
    <w:rsid w:val="005C3890"/>
    <w:rsid w:val="005C493F"/>
    <w:rsid w:val="005C5597"/>
    <w:rsid w:val="005C5CD3"/>
    <w:rsid w:val="005C5F50"/>
    <w:rsid w:val="005C761A"/>
    <w:rsid w:val="005D081E"/>
    <w:rsid w:val="005D1768"/>
    <w:rsid w:val="005D2004"/>
    <w:rsid w:val="005D4BC9"/>
    <w:rsid w:val="005D4E67"/>
    <w:rsid w:val="005D6266"/>
    <w:rsid w:val="005D6C1F"/>
    <w:rsid w:val="005D6F22"/>
    <w:rsid w:val="005E226D"/>
    <w:rsid w:val="005E3A94"/>
    <w:rsid w:val="005E44DC"/>
    <w:rsid w:val="005E49E8"/>
    <w:rsid w:val="005E4A34"/>
    <w:rsid w:val="005E4FF1"/>
    <w:rsid w:val="005E6CD5"/>
    <w:rsid w:val="005E7244"/>
    <w:rsid w:val="005F06CA"/>
    <w:rsid w:val="005F08BD"/>
    <w:rsid w:val="005F0D86"/>
    <w:rsid w:val="005F1787"/>
    <w:rsid w:val="005F3E40"/>
    <w:rsid w:val="005F4E83"/>
    <w:rsid w:val="005F575D"/>
    <w:rsid w:val="005F5800"/>
    <w:rsid w:val="005F727B"/>
    <w:rsid w:val="006005B1"/>
    <w:rsid w:val="00600CE0"/>
    <w:rsid w:val="00604F6D"/>
    <w:rsid w:val="00606D15"/>
    <w:rsid w:val="00607BE7"/>
    <w:rsid w:val="0061087C"/>
    <w:rsid w:val="00610F45"/>
    <w:rsid w:val="0061177C"/>
    <w:rsid w:val="00611C95"/>
    <w:rsid w:val="0061264C"/>
    <w:rsid w:val="00613627"/>
    <w:rsid w:val="00613F34"/>
    <w:rsid w:val="0061447C"/>
    <w:rsid w:val="006144C3"/>
    <w:rsid w:val="006147C0"/>
    <w:rsid w:val="00615A8C"/>
    <w:rsid w:val="00616329"/>
    <w:rsid w:val="006165DE"/>
    <w:rsid w:val="00617329"/>
    <w:rsid w:val="0061742E"/>
    <w:rsid w:val="006174DB"/>
    <w:rsid w:val="006207D7"/>
    <w:rsid w:val="00622896"/>
    <w:rsid w:val="00624BDB"/>
    <w:rsid w:val="006263FB"/>
    <w:rsid w:val="006268FD"/>
    <w:rsid w:val="006275D8"/>
    <w:rsid w:val="0063246F"/>
    <w:rsid w:val="00634937"/>
    <w:rsid w:val="00636269"/>
    <w:rsid w:val="00636681"/>
    <w:rsid w:val="00640C02"/>
    <w:rsid w:val="0064214D"/>
    <w:rsid w:val="00642CCB"/>
    <w:rsid w:val="006432B7"/>
    <w:rsid w:val="00643BCE"/>
    <w:rsid w:val="00643DA2"/>
    <w:rsid w:val="00644921"/>
    <w:rsid w:val="006454FE"/>
    <w:rsid w:val="00645AE7"/>
    <w:rsid w:val="0065026B"/>
    <w:rsid w:val="00651746"/>
    <w:rsid w:val="006524FD"/>
    <w:rsid w:val="00652EAA"/>
    <w:rsid w:val="00653B58"/>
    <w:rsid w:val="00653C33"/>
    <w:rsid w:val="0065433E"/>
    <w:rsid w:val="00654CA4"/>
    <w:rsid w:val="00654E78"/>
    <w:rsid w:val="0065614D"/>
    <w:rsid w:val="00657139"/>
    <w:rsid w:val="00657B3F"/>
    <w:rsid w:val="006601C8"/>
    <w:rsid w:val="00660BFF"/>
    <w:rsid w:val="006647B1"/>
    <w:rsid w:val="00664A51"/>
    <w:rsid w:val="006651C5"/>
    <w:rsid w:val="00665234"/>
    <w:rsid w:val="00665516"/>
    <w:rsid w:val="00670211"/>
    <w:rsid w:val="00671F64"/>
    <w:rsid w:val="0067356C"/>
    <w:rsid w:val="00674E2F"/>
    <w:rsid w:val="00676169"/>
    <w:rsid w:val="00676D5A"/>
    <w:rsid w:val="00677142"/>
    <w:rsid w:val="0068027A"/>
    <w:rsid w:val="00680A87"/>
    <w:rsid w:val="006812FE"/>
    <w:rsid w:val="00681BAD"/>
    <w:rsid w:val="00684679"/>
    <w:rsid w:val="006848D7"/>
    <w:rsid w:val="00685555"/>
    <w:rsid w:val="00685BC5"/>
    <w:rsid w:val="006862F8"/>
    <w:rsid w:val="006873D9"/>
    <w:rsid w:val="00690578"/>
    <w:rsid w:val="006912C1"/>
    <w:rsid w:val="00692A14"/>
    <w:rsid w:val="00693871"/>
    <w:rsid w:val="00694E57"/>
    <w:rsid w:val="00695627"/>
    <w:rsid w:val="00695EB3"/>
    <w:rsid w:val="0069640E"/>
    <w:rsid w:val="00697A5F"/>
    <w:rsid w:val="00697FFD"/>
    <w:rsid w:val="006A030B"/>
    <w:rsid w:val="006A2EAB"/>
    <w:rsid w:val="006A4257"/>
    <w:rsid w:val="006A7373"/>
    <w:rsid w:val="006B06B3"/>
    <w:rsid w:val="006B1215"/>
    <w:rsid w:val="006B15FB"/>
    <w:rsid w:val="006B1E69"/>
    <w:rsid w:val="006B3D7D"/>
    <w:rsid w:val="006B3F70"/>
    <w:rsid w:val="006B60E0"/>
    <w:rsid w:val="006B6557"/>
    <w:rsid w:val="006B7DDD"/>
    <w:rsid w:val="006C050C"/>
    <w:rsid w:val="006C0EB6"/>
    <w:rsid w:val="006C21AB"/>
    <w:rsid w:val="006C2A78"/>
    <w:rsid w:val="006C38F5"/>
    <w:rsid w:val="006C3A98"/>
    <w:rsid w:val="006C4906"/>
    <w:rsid w:val="006C63FC"/>
    <w:rsid w:val="006C66F8"/>
    <w:rsid w:val="006D008E"/>
    <w:rsid w:val="006D2142"/>
    <w:rsid w:val="006D31A7"/>
    <w:rsid w:val="006D3246"/>
    <w:rsid w:val="006D5A9E"/>
    <w:rsid w:val="006D7F01"/>
    <w:rsid w:val="006E5C61"/>
    <w:rsid w:val="006E608E"/>
    <w:rsid w:val="006E79AF"/>
    <w:rsid w:val="006F1582"/>
    <w:rsid w:val="006F1911"/>
    <w:rsid w:val="006F1B7D"/>
    <w:rsid w:val="006F1C16"/>
    <w:rsid w:val="006F3BE3"/>
    <w:rsid w:val="006F4740"/>
    <w:rsid w:val="006F483C"/>
    <w:rsid w:val="006F5661"/>
    <w:rsid w:val="006F6254"/>
    <w:rsid w:val="006F6402"/>
    <w:rsid w:val="006F73CB"/>
    <w:rsid w:val="00701614"/>
    <w:rsid w:val="00701DAE"/>
    <w:rsid w:val="0070287F"/>
    <w:rsid w:val="00702F6D"/>
    <w:rsid w:val="00705506"/>
    <w:rsid w:val="007075E9"/>
    <w:rsid w:val="00707AD0"/>
    <w:rsid w:val="00713528"/>
    <w:rsid w:val="00713EE5"/>
    <w:rsid w:val="00716553"/>
    <w:rsid w:val="00720281"/>
    <w:rsid w:val="00720AFD"/>
    <w:rsid w:val="0072702F"/>
    <w:rsid w:val="00731B32"/>
    <w:rsid w:val="00734006"/>
    <w:rsid w:val="00734E87"/>
    <w:rsid w:val="00735D85"/>
    <w:rsid w:val="007360D3"/>
    <w:rsid w:val="0073654A"/>
    <w:rsid w:val="00737FDF"/>
    <w:rsid w:val="00740755"/>
    <w:rsid w:val="007419A5"/>
    <w:rsid w:val="007419C2"/>
    <w:rsid w:val="00741AE2"/>
    <w:rsid w:val="00743280"/>
    <w:rsid w:val="00750A2F"/>
    <w:rsid w:val="00750EB5"/>
    <w:rsid w:val="007515B4"/>
    <w:rsid w:val="00752D87"/>
    <w:rsid w:val="00753925"/>
    <w:rsid w:val="007549F6"/>
    <w:rsid w:val="007559E7"/>
    <w:rsid w:val="0075646C"/>
    <w:rsid w:val="007565F9"/>
    <w:rsid w:val="007579A1"/>
    <w:rsid w:val="00760462"/>
    <w:rsid w:val="00760D6F"/>
    <w:rsid w:val="0076455F"/>
    <w:rsid w:val="00764809"/>
    <w:rsid w:val="0076510F"/>
    <w:rsid w:val="00766BC6"/>
    <w:rsid w:val="00767C5D"/>
    <w:rsid w:val="00767EAB"/>
    <w:rsid w:val="007702C5"/>
    <w:rsid w:val="00772946"/>
    <w:rsid w:val="00772EC5"/>
    <w:rsid w:val="007804DA"/>
    <w:rsid w:val="00782BC6"/>
    <w:rsid w:val="00782FAE"/>
    <w:rsid w:val="00784AC6"/>
    <w:rsid w:val="00785275"/>
    <w:rsid w:val="00785AF1"/>
    <w:rsid w:val="00786872"/>
    <w:rsid w:val="00786E95"/>
    <w:rsid w:val="00790018"/>
    <w:rsid w:val="00790B36"/>
    <w:rsid w:val="00790D42"/>
    <w:rsid w:val="007910D2"/>
    <w:rsid w:val="00791BD1"/>
    <w:rsid w:val="00792183"/>
    <w:rsid w:val="0079247A"/>
    <w:rsid w:val="00795EFD"/>
    <w:rsid w:val="00796583"/>
    <w:rsid w:val="00796E6A"/>
    <w:rsid w:val="007973C8"/>
    <w:rsid w:val="00797411"/>
    <w:rsid w:val="007A0B2B"/>
    <w:rsid w:val="007A0EF9"/>
    <w:rsid w:val="007A0FDC"/>
    <w:rsid w:val="007A20D3"/>
    <w:rsid w:val="007A3ABC"/>
    <w:rsid w:val="007A4E8C"/>
    <w:rsid w:val="007A5A6E"/>
    <w:rsid w:val="007A5EC7"/>
    <w:rsid w:val="007A6E70"/>
    <w:rsid w:val="007A7B37"/>
    <w:rsid w:val="007B2B83"/>
    <w:rsid w:val="007B2F2A"/>
    <w:rsid w:val="007B4321"/>
    <w:rsid w:val="007B7428"/>
    <w:rsid w:val="007C1E47"/>
    <w:rsid w:val="007C4EEE"/>
    <w:rsid w:val="007C5952"/>
    <w:rsid w:val="007C5E0A"/>
    <w:rsid w:val="007C5F8E"/>
    <w:rsid w:val="007C6E32"/>
    <w:rsid w:val="007C757C"/>
    <w:rsid w:val="007D2B0A"/>
    <w:rsid w:val="007D4164"/>
    <w:rsid w:val="007D58D1"/>
    <w:rsid w:val="007E1F9B"/>
    <w:rsid w:val="007E4230"/>
    <w:rsid w:val="007E4370"/>
    <w:rsid w:val="007E5319"/>
    <w:rsid w:val="007E586B"/>
    <w:rsid w:val="007E7D43"/>
    <w:rsid w:val="007F003C"/>
    <w:rsid w:val="007F0725"/>
    <w:rsid w:val="007F0BDD"/>
    <w:rsid w:val="007F1311"/>
    <w:rsid w:val="007F4007"/>
    <w:rsid w:val="007F49A0"/>
    <w:rsid w:val="007F6241"/>
    <w:rsid w:val="007F6249"/>
    <w:rsid w:val="007F65C7"/>
    <w:rsid w:val="007F6638"/>
    <w:rsid w:val="007F6F39"/>
    <w:rsid w:val="007F744A"/>
    <w:rsid w:val="008007D0"/>
    <w:rsid w:val="00802909"/>
    <w:rsid w:val="00802B7B"/>
    <w:rsid w:val="00803571"/>
    <w:rsid w:val="0080637B"/>
    <w:rsid w:val="008064AA"/>
    <w:rsid w:val="00806C19"/>
    <w:rsid w:val="00810115"/>
    <w:rsid w:val="00810278"/>
    <w:rsid w:val="008121CD"/>
    <w:rsid w:val="00812700"/>
    <w:rsid w:val="00812A9A"/>
    <w:rsid w:val="00812F6D"/>
    <w:rsid w:val="008135F9"/>
    <w:rsid w:val="00813944"/>
    <w:rsid w:val="008139A4"/>
    <w:rsid w:val="00814C27"/>
    <w:rsid w:val="00816623"/>
    <w:rsid w:val="00820B87"/>
    <w:rsid w:val="00820BCD"/>
    <w:rsid w:val="00821A86"/>
    <w:rsid w:val="00825292"/>
    <w:rsid w:val="00825CDF"/>
    <w:rsid w:val="0082629A"/>
    <w:rsid w:val="00826BB6"/>
    <w:rsid w:val="00827341"/>
    <w:rsid w:val="0083266A"/>
    <w:rsid w:val="00832DE4"/>
    <w:rsid w:val="008336EA"/>
    <w:rsid w:val="00833B6E"/>
    <w:rsid w:val="00833D8F"/>
    <w:rsid w:val="00837413"/>
    <w:rsid w:val="0084169C"/>
    <w:rsid w:val="008418AF"/>
    <w:rsid w:val="00841911"/>
    <w:rsid w:val="00841DED"/>
    <w:rsid w:val="0084257A"/>
    <w:rsid w:val="00842E82"/>
    <w:rsid w:val="00843130"/>
    <w:rsid w:val="00843AC0"/>
    <w:rsid w:val="00844410"/>
    <w:rsid w:val="00845AE5"/>
    <w:rsid w:val="008471F5"/>
    <w:rsid w:val="00850401"/>
    <w:rsid w:val="008505A7"/>
    <w:rsid w:val="00850816"/>
    <w:rsid w:val="008509C3"/>
    <w:rsid w:val="00851789"/>
    <w:rsid w:val="00851A17"/>
    <w:rsid w:val="00853AFE"/>
    <w:rsid w:val="008575AF"/>
    <w:rsid w:val="00857D89"/>
    <w:rsid w:val="008605B7"/>
    <w:rsid w:val="008610E7"/>
    <w:rsid w:val="0086214A"/>
    <w:rsid w:val="008672F1"/>
    <w:rsid w:val="008724F4"/>
    <w:rsid w:val="008725F7"/>
    <w:rsid w:val="0087528F"/>
    <w:rsid w:val="008752C5"/>
    <w:rsid w:val="00877086"/>
    <w:rsid w:val="008777D6"/>
    <w:rsid w:val="008801BE"/>
    <w:rsid w:val="00880ACA"/>
    <w:rsid w:val="00880C0A"/>
    <w:rsid w:val="008815F2"/>
    <w:rsid w:val="0088367C"/>
    <w:rsid w:val="00885A02"/>
    <w:rsid w:val="00890CE3"/>
    <w:rsid w:val="00891307"/>
    <w:rsid w:val="008920D1"/>
    <w:rsid w:val="00895645"/>
    <w:rsid w:val="008957C3"/>
    <w:rsid w:val="0089587F"/>
    <w:rsid w:val="00896C07"/>
    <w:rsid w:val="00896E2D"/>
    <w:rsid w:val="00897C19"/>
    <w:rsid w:val="008A0302"/>
    <w:rsid w:val="008A15F0"/>
    <w:rsid w:val="008A2494"/>
    <w:rsid w:val="008A2AE5"/>
    <w:rsid w:val="008A2ED7"/>
    <w:rsid w:val="008A6B83"/>
    <w:rsid w:val="008A6F84"/>
    <w:rsid w:val="008B3F70"/>
    <w:rsid w:val="008B47F3"/>
    <w:rsid w:val="008B4854"/>
    <w:rsid w:val="008B5E61"/>
    <w:rsid w:val="008B64B1"/>
    <w:rsid w:val="008B6A44"/>
    <w:rsid w:val="008C12DB"/>
    <w:rsid w:val="008C1920"/>
    <w:rsid w:val="008C3019"/>
    <w:rsid w:val="008C6D0F"/>
    <w:rsid w:val="008C74C9"/>
    <w:rsid w:val="008C7BB1"/>
    <w:rsid w:val="008D19AF"/>
    <w:rsid w:val="008D206F"/>
    <w:rsid w:val="008D2A8F"/>
    <w:rsid w:val="008D3319"/>
    <w:rsid w:val="008D36AA"/>
    <w:rsid w:val="008D62F7"/>
    <w:rsid w:val="008D6499"/>
    <w:rsid w:val="008D7C5E"/>
    <w:rsid w:val="008D7E54"/>
    <w:rsid w:val="008E39B0"/>
    <w:rsid w:val="008E43CC"/>
    <w:rsid w:val="008E61B8"/>
    <w:rsid w:val="008E7727"/>
    <w:rsid w:val="008E7FCE"/>
    <w:rsid w:val="008F063C"/>
    <w:rsid w:val="008F1408"/>
    <w:rsid w:val="008F2DAA"/>
    <w:rsid w:val="008F42E8"/>
    <w:rsid w:val="008F46FD"/>
    <w:rsid w:val="008F5EBE"/>
    <w:rsid w:val="008F64EF"/>
    <w:rsid w:val="008F6553"/>
    <w:rsid w:val="008F6A34"/>
    <w:rsid w:val="009015AD"/>
    <w:rsid w:val="009035A1"/>
    <w:rsid w:val="00904BA3"/>
    <w:rsid w:val="00905CA2"/>
    <w:rsid w:val="0090791B"/>
    <w:rsid w:val="0091204B"/>
    <w:rsid w:val="00912FD1"/>
    <w:rsid w:val="0091444B"/>
    <w:rsid w:val="00915E73"/>
    <w:rsid w:val="00916097"/>
    <w:rsid w:val="00920128"/>
    <w:rsid w:val="00925B8A"/>
    <w:rsid w:val="009265C8"/>
    <w:rsid w:val="009279F1"/>
    <w:rsid w:val="00930895"/>
    <w:rsid w:val="00932701"/>
    <w:rsid w:val="00932DFF"/>
    <w:rsid w:val="009342CC"/>
    <w:rsid w:val="0093611C"/>
    <w:rsid w:val="00936A45"/>
    <w:rsid w:val="00937589"/>
    <w:rsid w:val="00940A0D"/>
    <w:rsid w:val="00941EEA"/>
    <w:rsid w:val="00942978"/>
    <w:rsid w:val="00943273"/>
    <w:rsid w:val="0094377C"/>
    <w:rsid w:val="009439BB"/>
    <w:rsid w:val="00944AD7"/>
    <w:rsid w:val="00944ADC"/>
    <w:rsid w:val="00945204"/>
    <w:rsid w:val="00945E46"/>
    <w:rsid w:val="00951821"/>
    <w:rsid w:val="00954C23"/>
    <w:rsid w:val="009570E9"/>
    <w:rsid w:val="0096064E"/>
    <w:rsid w:val="00960D85"/>
    <w:rsid w:val="00960D93"/>
    <w:rsid w:val="009629A6"/>
    <w:rsid w:val="00963511"/>
    <w:rsid w:val="00963E97"/>
    <w:rsid w:val="00964388"/>
    <w:rsid w:val="00964746"/>
    <w:rsid w:val="0096477A"/>
    <w:rsid w:val="009649CE"/>
    <w:rsid w:val="00965715"/>
    <w:rsid w:val="00966C22"/>
    <w:rsid w:val="00967AF0"/>
    <w:rsid w:val="00972C57"/>
    <w:rsid w:val="00976A58"/>
    <w:rsid w:val="009778B0"/>
    <w:rsid w:val="00977FFB"/>
    <w:rsid w:val="0098032A"/>
    <w:rsid w:val="00980BBA"/>
    <w:rsid w:val="00980DDC"/>
    <w:rsid w:val="00981A5B"/>
    <w:rsid w:val="00981E06"/>
    <w:rsid w:val="00982D48"/>
    <w:rsid w:val="0098309B"/>
    <w:rsid w:val="0098312D"/>
    <w:rsid w:val="009867AC"/>
    <w:rsid w:val="00987EA0"/>
    <w:rsid w:val="00990A22"/>
    <w:rsid w:val="009914E2"/>
    <w:rsid w:val="0099446C"/>
    <w:rsid w:val="009957F6"/>
    <w:rsid w:val="009A0CB1"/>
    <w:rsid w:val="009A0FFC"/>
    <w:rsid w:val="009A33EE"/>
    <w:rsid w:val="009A3841"/>
    <w:rsid w:val="009A516A"/>
    <w:rsid w:val="009A526B"/>
    <w:rsid w:val="009A56FD"/>
    <w:rsid w:val="009A5742"/>
    <w:rsid w:val="009A5BDA"/>
    <w:rsid w:val="009A63B2"/>
    <w:rsid w:val="009A69A4"/>
    <w:rsid w:val="009A6FF8"/>
    <w:rsid w:val="009A7350"/>
    <w:rsid w:val="009A7BC7"/>
    <w:rsid w:val="009B2153"/>
    <w:rsid w:val="009B49E1"/>
    <w:rsid w:val="009B5CFE"/>
    <w:rsid w:val="009B7887"/>
    <w:rsid w:val="009B79B4"/>
    <w:rsid w:val="009C3936"/>
    <w:rsid w:val="009C4C21"/>
    <w:rsid w:val="009C569A"/>
    <w:rsid w:val="009C67D2"/>
    <w:rsid w:val="009C6EC3"/>
    <w:rsid w:val="009C77AD"/>
    <w:rsid w:val="009D2389"/>
    <w:rsid w:val="009D27B7"/>
    <w:rsid w:val="009D3219"/>
    <w:rsid w:val="009D37E9"/>
    <w:rsid w:val="009D39E2"/>
    <w:rsid w:val="009D4B81"/>
    <w:rsid w:val="009D6097"/>
    <w:rsid w:val="009D6F87"/>
    <w:rsid w:val="009E10D4"/>
    <w:rsid w:val="009E34AE"/>
    <w:rsid w:val="009E4E53"/>
    <w:rsid w:val="009E7FEB"/>
    <w:rsid w:val="009F0D62"/>
    <w:rsid w:val="009F1091"/>
    <w:rsid w:val="009F2A37"/>
    <w:rsid w:val="009F4CBE"/>
    <w:rsid w:val="009F5C53"/>
    <w:rsid w:val="009F5F8D"/>
    <w:rsid w:val="009F768E"/>
    <w:rsid w:val="009F7A1F"/>
    <w:rsid w:val="009F7A3B"/>
    <w:rsid w:val="00A00E0D"/>
    <w:rsid w:val="00A018E9"/>
    <w:rsid w:val="00A01D91"/>
    <w:rsid w:val="00A05A76"/>
    <w:rsid w:val="00A05E33"/>
    <w:rsid w:val="00A064C9"/>
    <w:rsid w:val="00A07170"/>
    <w:rsid w:val="00A1093D"/>
    <w:rsid w:val="00A11721"/>
    <w:rsid w:val="00A1211F"/>
    <w:rsid w:val="00A168AD"/>
    <w:rsid w:val="00A205B2"/>
    <w:rsid w:val="00A20E91"/>
    <w:rsid w:val="00A21C9F"/>
    <w:rsid w:val="00A21DEB"/>
    <w:rsid w:val="00A22EAC"/>
    <w:rsid w:val="00A22ED9"/>
    <w:rsid w:val="00A237E1"/>
    <w:rsid w:val="00A24742"/>
    <w:rsid w:val="00A253D9"/>
    <w:rsid w:val="00A30E50"/>
    <w:rsid w:val="00A31230"/>
    <w:rsid w:val="00A31898"/>
    <w:rsid w:val="00A31FA2"/>
    <w:rsid w:val="00A34497"/>
    <w:rsid w:val="00A35520"/>
    <w:rsid w:val="00A364BA"/>
    <w:rsid w:val="00A3659C"/>
    <w:rsid w:val="00A37E9E"/>
    <w:rsid w:val="00A41C9C"/>
    <w:rsid w:val="00A41E29"/>
    <w:rsid w:val="00A41EA7"/>
    <w:rsid w:val="00A41F76"/>
    <w:rsid w:val="00A43276"/>
    <w:rsid w:val="00A44E30"/>
    <w:rsid w:val="00A456AA"/>
    <w:rsid w:val="00A456FF"/>
    <w:rsid w:val="00A50BC6"/>
    <w:rsid w:val="00A51192"/>
    <w:rsid w:val="00A5291A"/>
    <w:rsid w:val="00A53CD7"/>
    <w:rsid w:val="00A5417F"/>
    <w:rsid w:val="00A541D7"/>
    <w:rsid w:val="00A55BF6"/>
    <w:rsid w:val="00A574E0"/>
    <w:rsid w:val="00A5781F"/>
    <w:rsid w:val="00A57D39"/>
    <w:rsid w:val="00A60BB0"/>
    <w:rsid w:val="00A62003"/>
    <w:rsid w:val="00A62215"/>
    <w:rsid w:val="00A6243F"/>
    <w:rsid w:val="00A62484"/>
    <w:rsid w:val="00A63FA2"/>
    <w:rsid w:val="00A64739"/>
    <w:rsid w:val="00A65C66"/>
    <w:rsid w:val="00A6670E"/>
    <w:rsid w:val="00A67A46"/>
    <w:rsid w:val="00A7033B"/>
    <w:rsid w:val="00A70FD0"/>
    <w:rsid w:val="00A73490"/>
    <w:rsid w:val="00A734C6"/>
    <w:rsid w:val="00A73624"/>
    <w:rsid w:val="00A73633"/>
    <w:rsid w:val="00A73FC4"/>
    <w:rsid w:val="00A7550E"/>
    <w:rsid w:val="00A75941"/>
    <w:rsid w:val="00A75962"/>
    <w:rsid w:val="00A77286"/>
    <w:rsid w:val="00A77FBD"/>
    <w:rsid w:val="00A817C8"/>
    <w:rsid w:val="00A82F14"/>
    <w:rsid w:val="00A83D11"/>
    <w:rsid w:val="00A8504C"/>
    <w:rsid w:val="00A87960"/>
    <w:rsid w:val="00A90A3C"/>
    <w:rsid w:val="00A91008"/>
    <w:rsid w:val="00A92FC5"/>
    <w:rsid w:val="00A934D4"/>
    <w:rsid w:val="00A95247"/>
    <w:rsid w:val="00A97710"/>
    <w:rsid w:val="00AA26C5"/>
    <w:rsid w:val="00AA28FA"/>
    <w:rsid w:val="00AA4134"/>
    <w:rsid w:val="00AA4A4E"/>
    <w:rsid w:val="00AA534C"/>
    <w:rsid w:val="00AA6E14"/>
    <w:rsid w:val="00AB19B4"/>
    <w:rsid w:val="00AB1AFD"/>
    <w:rsid w:val="00AB2190"/>
    <w:rsid w:val="00AB2253"/>
    <w:rsid w:val="00AB5124"/>
    <w:rsid w:val="00AB5A1C"/>
    <w:rsid w:val="00AB62DD"/>
    <w:rsid w:val="00AC35C9"/>
    <w:rsid w:val="00AC43DA"/>
    <w:rsid w:val="00AC461F"/>
    <w:rsid w:val="00AC5948"/>
    <w:rsid w:val="00AD0B25"/>
    <w:rsid w:val="00AD0D54"/>
    <w:rsid w:val="00AD1D8A"/>
    <w:rsid w:val="00AD1F25"/>
    <w:rsid w:val="00AD25EF"/>
    <w:rsid w:val="00AD2E39"/>
    <w:rsid w:val="00AD3687"/>
    <w:rsid w:val="00AD36B1"/>
    <w:rsid w:val="00AD39FE"/>
    <w:rsid w:val="00AD4B40"/>
    <w:rsid w:val="00AD6699"/>
    <w:rsid w:val="00AD6E83"/>
    <w:rsid w:val="00AD74F7"/>
    <w:rsid w:val="00AD7757"/>
    <w:rsid w:val="00AD7D50"/>
    <w:rsid w:val="00AE1A5E"/>
    <w:rsid w:val="00AE1D4A"/>
    <w:rsid w:val="00AE2607"/>
    <w:rsid w:val="00AE2A8F"/>
    <w:rsid w:val="00AE2AB8"/>
    <w:rsid w:val="00AE4F7D"/>
    <w:rsid w:val="00AE502D"/>
    <w:rsid w:val="00AE5643"/>
    <w:rsid w:val="00AE635D"/>
    <w:rsid w:val="00AE69CE"/>
    <w:rsid w:val="00AE7D80"/>
    <w:rsid w:val="00AF2857"/>
    <w:rsid w:val="00AF4E15"/>
    <w:rsid w:val="00AF73FE"/>
    <w:rsid w:val="00AF78B0"/>
    <w:rsid w:val="00B01A6C"/>
    <w:rsid w:val="00B01CC7"/>
    <w:rsid w:val="00B0493C"/>
    <w:rsid w:val="00B05051"/>
    <w:rsid w:val="00B055C4"/>
    <w:rsid w:val="00B06323"/>
    <w:rsid w:val="00B10E3D"/>
    <w:rsid w:val="00B13E9F"/>
    <w:rsid w:val="00B154C3"/>
    <w:rsid w:val="00B15B98"/>
    <w:rsid w:val="00B163D8"/>
    <w:rsid w:val="00B17D85"/>
    <w:rsid w:val="00B20B3F"/>
    <w:rsid w:val="00B218C3"/>
    <w:rsid w:val="00B23526"/>
    <w:rsid w:val="00B24DE1"/>
    <w:rsid w:val="00B25F55"/>
    <w:rsid w:val="00B27907"/>
    <w:rsid w:val="00B31053"/>
    <w:rsid w:val="00B33B67"/>
    <w:rsid w:val="00B33C44"/>
    <w:rsid w:val="00B34A8F"/>
    <w:rsid w:val="00B34D9E"/>
    <w:rsid w:val="00B3627F"/>
    <w:rsid w:val="00B36EEE"/>
    <w:rsid w:val="00B37C94"/>
    <w:rsid w:val="00B417DD"/>
    <w:rsid w:val="00B4194C"/>
    <w:rsid w:val="00B41D95"/>
    <w:rsid w:val="00B42631"/>
    <w:rsid w:val="00B43591"/>
    <w:rsid w:val="00B44658"/>
    <w:rsid w:val="00B4580D"/>
    <w:rsid w:val="00B46254"/>
    <w:rsid w:val="00B47107"/>
    <w:rsid w:val="00B50807"/>
    <w:rsid w:val="00B50AC5"/>
    <w:rsid w:val="00B51335"/>
    <w:rsid w:val="00B54748"/>
    <w:rsid w:val="00B5687E"/>
    <w:rsid w:val="00B56944"/>
    <w:rsid w:val="00B573CA"/>
    <w:rsid w:val="00B57A1E"/>
    <w:rsid w:val="00B60B3A"/>
    <w:rsid w:val="00B60FCC"/>
    <w:rsid w:val="00B61D26"/>
    <w:rsid w:val="00B62AEC"/>
    <w:rsid w:val="00B63E5D"/>
    <w:rsid w:val="00B64A81"/>
    <w:rsid w:val="00B65095"/>
    <w:rsid w:val="00B67180"/>
    <w:rsid w:val="00B67902"/>
    <w:rsid w:val="00B701B1"/>
    <w:rsid w:val="00B707FE"/>
    <w:rsid w:val="00B70C52"/>
    <w:rsid w:val="00B73531"/>
    <w:rsid w:val="00B7364D"/>
    <w:rsid w:val="00B74E67"/>
    <w:rsid w:val="00B76A24"/>
    <w:rsid w:val="00B771CC"/>
    <w:rsid w:val="00B809CF"/>
    <w:rsid w:val="00B82501"/>
    <w:rsid w:val="00B83941"/>
    <w:rsid w:val="00B85A94"/>
    <w:rsid w:val="00B921C8"/>
    <w:rsid w:val="00B92533"/>
    <w:rsid w:val="00B94368"/>
    <w:rsid w:val="00B94DD8"/>
    <w:rsid w:val="00B94E3A"/>
    <w:rsid w:val="00B95647"/>
    <w:rsid w:val="00B95C82"/>
    <w:rsid w:val="00BA02CA"/>
    <w:rsid w:val="00BA1692"/>
    <w:rsid w:val="00BA297A"/>
    <w:rsid w:val="00BA3A73"/>
    <w:rsid w:val="00BA5432"/>
    <w:rsid w:val="00BA5EDD"/>
    <w:rsid w:val="00BA72DD"/>
    <w:rsid w:val="00BB1292"/>
    <w:rsid w:val="00BB1951"/>
    <w:rsid w:val="00BB31F8"/>
    <w:rsid w:val="00BB45FC"/>
    <w:rsid w:val="00BC4921"/>
    <w:rsid w:val="00BC52A4"/>
    <w:rsid w:val="00BC6038"/>
    <w:rsid w:val="00BC7BB3"/>
    <w:rsid w:val="00BD1899"/>
    <w:rsid w:val="00BD2226"/>
    <w:rsid w:val="00BD3F1E"/>
    <w:rsid w:val="00BD5290"/>
    <w:rsid w:val="00BE1767"/>
    <w:rsid w:val="00BE3028"/>
    <w:rsid w:val="00BE317F"/>
    <w:rsid w:val="00BE3EBC"/>
    <w:rsid w:val="00BE4022"/>
    <w:rsid w:val="00BE4219"/>
    <w:rsid w:val="00BE69EA"/>
    <w:rsid w:val="00BE6C2F"/>
    <w:rsid w:val="00BE6E39"/>
    <w:rsid w:val="00BE714C"/>
    <w:rsid w:val="00BE760B"/>
    <w:rsid w:val="00BE7D0A"/>
    <w:rsid w:val="00BF02C4"/>
    <w:rsid w:val="00BF07C0"/>
    <w:rsid w:val="00BF24B7"/>
    <w:rsid w:val="00BF5275"/>
    <w:rsid w:val="00BF5BA0"/>
    <w:rsid w:val="00BF66A3"/>
    <w:rsid w:val="00BF781F"/>
    <w:rsid w:val="00C000E0"/>
    <w:rsid w:val="00C011FE"/>
    <w:rsid w:val="00C01CFE"/>
    <w:rsid w:val="00C0222C"/>
    <w:rsid w:val="00C02AE5"/>
    <w:rsid w:val="00C02C5A"/>
    <w:rsid w:val="00C03545"/>
    <w:rsid w:val="00C056C6"/>
    <w:rsid w:val="00C06429"/>
    <w:rsid w:val="00C0770B"/>
    <w:rsid w:val="00C1035F"/>
    <w:rsid w:val="00C108AD"/>
    <w:rsid w:val="00C10C43"/>
    <w:rsid w:val="00C11136"/>
    <w:rsid w:val="00C11222"/>
    <w:rsid w:val="00C1299E"/>
    <w:rsid w:val="00C13D05"/>
    <w:rsid w:val="00C15373"/>
    <w:rsid w:val="00C159FA"/>
    <w:rsid w:val="00C16D27"/>
    <w:rsid w:val="00C16F45"/>
    <w:rsid w:val="00C17233"/>
    <w:rsid w:val="00C2065D"/>
    <w:rsid w:val="00C2074C"/>
    <w:rsid w:val="00C20949"/>
    <w:rsid w:val="00C2098D"/>
    <w:rsid w:val="00C22724"/>
    <w:rsid w:val="00C22B8B"/>
    <w:rsid w:val="00C22FFE"/>
    <w:rsid w:val="00C23F4B"/>
    <w:rsid w:val="00C25FA6"/>
    <w:rsid w:val="00C26021"/>
    <w:rsid w:val="00C273C4"/>
    <w:rsid w:val="00C277E1"/>
    <w:rsid w:val="00C302DD"/>
    <w:rsid w:val="00C306EE"/>
    <w:rsid w:val="00C30E9D"/>
    <w:rsid w:val="00C31056"/>
    <w:rsid w:val="00C31057"/>
    <w:rsid w:val="00C32769"/>
    <w:rsid w:val="00C32FCD"/>
    <w:rsid w:val="00C33486"/>
    <w:rsid w:val="00C437A7"/>
    <w:rsid w:val="00C44BC5"/>
    <w:rsid w:val="00C467B0"/>
    <w:rsid w:val="00C505AF"/>
    <w:rsid w:val="00C5343C"/>
    <w:rsid w:val="00C563FA"/>
    <w:rsid w:val="00C56F3C"/>
    <w:rsid w:val="00C5760D"/>
    <w:rsid w:val="00C576B8"/>
    <w:rsid w:val="00C57BC8"/>
    <w:rsid w:val="00C6021F"/>
    <w:rsid w:val="00C6108B"/>
    <w:rsid w:val="00C61B03"/>
    <w:rsid w:val="00C62A5E"/>
    <w:rsid w:val="00C62D37"/>
    <w:rsid w:val="00C62DF5"/>
    <w:rsid w:val="00C63A55"/>
    <w:rsid w:val="00C63FB9"/>
    <w:rsid w:val="00C643F3"/>
    <w:rsid w:val="00C64C22"/>
    <w:rsid w:val="00C66830"/>
    <w:rsid w:val="00C67FB0"/>
    <w:rsid w:val="00C70418"/>
    <w:rsid w:val="00C707DE"/>
    <w:rsid w:val="00C707E3"/>
    <w:rsid w:val="00C71759"/>
    <w:rsid w:val="00C719EC"/>
    <w:rsid w:val="00C7290C"/>
    <w:rsid w:val="00C7291B"/>
    <w:rsid w:val="00C746B1"/>
    <w:rsid w:val="00C75196"/>
    <w:rsid w:val="00C75215"/>
    <w:rsid w:val="00C75BC8"/>
    <w:rsid w:val="00C7690A"/>
    <w:rsid w:val="00C80F69"/>
    <w:rsid w:val="00C81EAB"/>
    <w:rsid w:val="00C8209C"/>
    <w:rsid w:val="00C82FD6"/>
    <w:rsid w:val="00C8321B"/>
    <w:rsid w:val="00C8355A"/>
    <w:rsid w:val="00C85876"/>
    <w:rsid w:val="00C866BE"/>
    <w:rsid w:val="00C87291"/>
    <w:rsid w:val="00C87662"/>
    <w:rsid w:val="00C92594"/>
    <w:rsid w:val="00C93E98"/>
    <w:rsid w:val="00C96034"/>
    <w:rsid w:val="00C96EED"/>
    <w:rsid w:val="00C97A4F"/>
    <w:rsid w:val="00CA04F3"/>
    <w:rsid w:val="00CA1A8A"/>
    <w:rsid w:val="00CA354D"/>
    <w:rsid w:val="00CA4731"/>
    <w:rsid w:val="00CA556A"/>
    <w:rsid w:val="00CA6209"/>
    <w:rsid w:val="00CB11DF"/>
    <w:rsid w:val="00CB23D9"/>
    <w:rsid w:val="00CB2EA9"/>
    <w:rsid w:val="00CB2F07"/>
    <w:rsid w:val="00CB4976"/>
    <w:rsid w:val="00CB4A61"/>
    <w:rsid w:val="00CB4E6D"/>
    <w:rsid w:val="00CB73AB"/>
    <w:rsid w:val="00CB7AB5"/>
    <w:rsid w:val="00CB7D03"/>
    <w:rsid w:val="00CC0394"/>
    <w:rsid w:val="00CC1398"/>
    <w:rsid w:val="00CC153E"/>
    <w:rsid w:val="00CC1F13"/>
    <w:rsid w:val="00CC2613"/>
    <w:rsid w:val="00CC3E85"/>
    <w:rsid w:val="00CC4551"/>
    <w:rsid w:val="00CC5022"/>
    <w:rsid w:val="00CC7D9E"/>
    <w:rsid w:val="00CD3272"/>
    <w:rsid w:val="00CD3445"/>
    <w:rsid w:val="00CD34A4"/>
    <w:rsid w:val="00CD3B8E"/>
    <w:rsid w:val="00CD4AA5"/>
    <w:rsid w:val="00CD51D6"/>
    <w:rsid w:val="00CD786A"/>
    <w:rsid w:val="00CD7DA1"/>
    <w:rsid w:val="00CE07C3"/>
    <w:rsid w:val="00CE14A9"/>
    <w:rsid w:val="00CE14CF"/>
    <w:rsid w:val="00CE1535"/>
    <w:rsid w:val="00CE2D1C"/>
    <w:rsid w:val="00CE2F60"/>
    <w:rsid w:val="00CE4A66"/>
    <w:rsid w:val="00CE50B3"/>
    <w:rsid w:val="00CE527F"/>
    <w:rsid w:val="00CE6888"/>
    <w:rsid w:val="00CE7EDE"/>
    <w:rsid w:val="00CF02D8"/>
    <w:rsid w:val="00CF035A"/>
    <w:rsid w:val="00CF4E9B"/>
    <w:rsid w:val="00CF6949"/>
    <w:rsid w:val="00CF70D3"/>
    <w:rsid w:val="00CF73E6"/>
    <w:rsid w:val="00CF79EC"/>
    <w:rsid w:val="00D0019A"/>
    <w:rsid w:val="00D03690"/>
    <w:rsid w:val="00D03FD7"/>
    <w:rsid w:val="00D040CE"/>
    <w:rsid w:val="00D04A09"/>
    <w:rsid w:val="00D07F4E"/>
    <w:rsid w:val="00D11A5A"/>
    <w:rsid w:val="00D12C64"/>
    <w:rsid w:val="00D13382"/>
    <w:rsid w:val="00D14806"/>
    <w:rsid w:val="00D17705"/>
    <w:rsid w:val="00D17DCD"/>
    <w:rsid w:val="00D20B76"/>
    <w:rsid w:val="00D21887"/>
    <w:rsid w:val="00D21C35"/>
    <w:rsid w:val="00D22200"/>
    <w:rsid w:val="00D230B0"/>
    <w:rsid w:val="00D23886"/>
    <w:rsid w:val="00D259CC"/>
    <w:rsid w:val="00D30052"/>
    <w:rsid w:val="00D30AE2"/>
    <w:rsid w:val="00D33344"/>
    <w:rsid w:val="00D33F15"/>
    <w:rsid w:val="00D37763"/>
    <w:rsid w:val="00D41849"/>
    <w:rsid w:val="00D41A68"/>
    <w:rsid w:val="00D422D8"/>
    <w:rsid w:val="00D42F86"/>
    <w:rsid w:val="00D4419F"/>
    <w:rsid w:val="00D4588F"/>
    <w:rsid w:val="00D46F23"/>
    <w:rsid w:val="00D4703E"/>
    <w:rsid w:val="00D47571"/>
    <w:rsid w:val="00D47C33"/>
    <w:rsid w:val="00D5083D"/>
    <w:rsid w:val="00D50CCF"/>
    <w:rsid w:val="00D52024"/>
    <w:rsid w:val="00D52780"/>
    <w:rsid w:val="00D5462D"/>
    <w:rsid w:val="00D55792"/>
    <w:rsid w:val="00D55ABC"/>
    <w:rsid w:val="00D55D1D"/>
    <w:rsid w:val="00D5681C"/>
    <w:rsid w:val="00D57C00"/>
    <w:rsid w:val="00D6161A"/>
    <w:rsid w:val="00D6172C"/>
    <w:rsid w:val="00D620B0"/>
    <w:rsid w:val="00D62394"/>
    <w:rsid w:val="00D623AF"/>
    <w:rsid w:val="00D63001"/>
    <w:rsid w:val="00D6420D"/>
    <w:rsid w:val="00D66BD6"/>
    <w:rsid w:val="00D7100E"/>
    <w:rsid w:val="00D7206B"/>
    <w:rsid w:val="00D73CFD"/>
    <w:rsid w:val="00D749F4"/>
    <w:rsid w:val="00D7581F"/>
    <w:rsid w:val="00D75F4C"/>
    <w:rsid w:val="00D7604D"/>
    <w:rsid w:val="00D760A7"/>
    <w:rsid w:val="00D826DB"/>
    <w:rsid w:val="00D83274"/>
    <w:rsid w:val="00D83BF1"/>
    <w:rsid w:val="00D84AEA"/>
    <w:rsid w:val="00D85106"/>
    <w:rsid w:val="00D869A6"/>
    <w:rsid w:val="00D870A8"/>
    <w:rsid w:val="00D879AF"/>
    <w:rsid w:val="00D906E7"/>
    <w:rsid w:val="00D93457"/>
    <w:rsid w:val="00D941BD"/>
    <w:rsid w:val="00D94A2A"/>
    <w:rsid w:val="00D95E1B"/>
    <w:rsid w:val="00D968AA"/>
    <w:rsid w:val="00DA068D"/>
    <w:rsid w:val="00DA09BF"/>
    <w:rsid w:val="00DA13E4"/>
    <w:rsid w:val="00DA1517"/>
    <w:rsid w:val="00DA1DEE"/>
    <w:rsid w:val="00DA20DA"/>
    <w:rsid w:val="00DA27F4"/>
    <w:rsid w:val="00DA2C53"/>
    <w:rsid w:val="00DA2FFE"/>
    <w:rsid w:val="00DA4131"/>
    <w:rsid w:val="00DA71E7"/>
    <w:rsid w:val="00DA739C"/>
    <w:rsid w:val="00DB1D6F"/>
    <w:rsid w:val="00DB3363"/>
    <w:rsid w:val="00DB5546"/>
    <w:rsid w:val="00DB63C5"/>
    <w:rsid w:val="00DB7308"/>
    <w:rsid w:val="00DB7B63"/>
    <w:rsid w:val="00DC0B2F"/>
    <w:rsid w:val="00DC20E4"/>
    <w:rsid w:val="00DC21C7"/>
    <w:rsid w:val="00DC2D40"/>
    <w:rsid w:val="00DC73DC"/>
    <w:rsid w:val="00DC7AF9"/>
    <w:rsid w:val="00DC7D58"/>
    <w:rsid w:val="00DD1F5D"/>
    <w:rsid w:val="00DD3C40"/>
    <w:rsid w:val="00DE0984"/>
    <w:rsid w:val="00DE4314"/>
    <w:rsid w:val="00DE4E00"/>
    <w:rsid w:val="00DE5855"/>
    <w:rsid w:val="00DE5C79"/>
    <w:rsid w:val="00DE7A39"/>
    <w:rsid w:val="00DE7D9A"/>
    <w:rsid w:val="00DF18E4"/>
    <w:rsid w:val="00DF1E4E"/>
    <w:rsid w:val="00DF3FC2"/>
    <w:rsid w:val="00DF4D48"/>
    <w:rsid w:val="00DF55F3"/>
    <w:rsid w:val="00DF59B1"/>
    <w:rsid w:val="00DF683B"/>
    <w:rsid w:val="00DF6E94"/>
    <w:rsid w:val="00E0136F"/>
    <w:rsid w:val="00E030BF"/>
    <w:rsid w:val="00E03157"/>
    <w:rsid w:val="00E0421F"/>
    <w:rsid w:val="00E0494D"/>
    <w:rsid w:val="00E075F2"/>
    <w:rsid w:val="00E129A5"/>
    <w:rsid w:val="00E12C30"/>
    <w:rsid w:val="00E136EA"/>
    <w:rsid w:val="00E1444F"/>
    <w:rsid w:val="00E1604D"/>
    <w:rsid w:val="00E21AA3"/>
    <w:rsid w:val="00E22353"/>
    <w:rsid w:val="00E2248E"/>
    <w:rsid w:val="00E24B92"/>
    <w:rsid w:val="00E250D5"/>
    <w:rsid w:val="00E256C9"/>
    <w:rsid w:val="00E30371"/>
    <w:rsid w:val="00E30947"/>
    <w:rsid w:val="00E317B9"/>
    <w:rsid w:val="00E31EE7"/>
    <w:rsid w:val="00E32801"/>
    <w:rsid w:val="00E33D14"/>
    <w:rsid w:val="00E34F6F"/>
    <w:rsid w:val="00E35146"/>
    <w:rsid w:val="00E35D06"/>
    <w:rsid w:val="00E40562"/>
    <w:rsid w:val="00E4060B"/>
    <w:rsid w:val="00E42426"/>
    <w:rsid w:val="00E42E0E"/>
    <w:rsid w:val="00E440BD"/>
    <w:rsid w:val="00E444A1"/>
    <w:rsid w:val="00E44836"/>
    <w:rsid w:val="00E50F44"/>
    <w:rsid w:val="00E51341"/>
    <w:rsid w:val="00E5149B"/>
    <w:rsid w:val="00E520E3"/>
    <w:rsid w:val="00E52D95"/>
    <w:rsid w:val="00E536E0"/>
    <w:rsid w:val="00E54808"/>
    <w:rsid w:val="00E55A71"/>
    <w:rsid w:val="00E5627F"/>
    <w:rsid w:val="00E6074D"/>
    <w:rsid w:val="00E60C71"/>
    <w:rsid w:val="00E619FF"/>
    <w:rsid w:val="00E62A66"/>
    <w:rsid w:val="00E63724"/>
    <w:rsid w:val="00E664D2"/>
    <w:rsid w:val="00E67736"/>
    <w:rsid w:val="00E71170"/>
    <w:rsid w:val="00E72222"/>
    <w:rsid w:val="00E72C97"/>
    <w:rsid w:val="00E74606"/>
    <w:rsid w:val="00E74892"/>
    <w:rsid w:val="00E75FA4"/>
    <w:rsid w:val="00E764E1"/>
    <w:rsid w:val="00E7770A"/>
    <w:rsid w:val="00E81CBF"/>
    <w:rsid w:val="00E86B06"/>
    <w:rsid w:val="00E90007"/>
    <w:rsid w:val="00E92227"/>
    <w:rsid w:val="00E97DB6"/>
    <w:rsid w:val="00EA15C8"/>
    <w:rsid w:val="00EA20B8"/>
    <w:rsid w:val="00EA22CA"/>
    <w:rsid w:val="00EA44E8"/>
    <w:rsid w:val="00EA5922"/>
    <w:rsid w:val="00EB025E"/>
    <w:rsid w:val="00EB0ACC"/>
    <w:rsid w:val="00EB0AD0"/>
    <w:rsid w:val="00EB270F"/>
    <w:rsid w:val="00EB3055"/>
    <w:rsid w:val="00EB4999"/>
    <w:rsid w:val="00EB670C"/>
    <w:rsid w:val="00EB7273"/>
    <w:rsid w:val="00EB76EF"/>
    <w:rsid w:val="00EB7FE9"/>
    <w:rsid w:val="00EC020C"/>
    <w:rsid w:val="00EC0711"/>
    <w:rsid w:val="00EC0A45"/>
    <w:rsid w:val="00EC22DD"/>
    <w:rsid w:val="00EC34CC"/>
    <w:rsid w:val="00EC516D"/>
    <w:rsid w:val="00EC5CC4"/>
    <w:rsid w:val="00EC6AB5"/>
    <w:rsid w:val="00ED05B7"/>
    <w:rsid w:val="00ED0BFE"/>
    <w:rsid w:val="00ED0C53"/>
    <w:rsid w:val="00ED2371"/>
    <w:rsid w:val="00ED242E"/>
    <w:rsid w:val="00ED2FBF"/>
    <w:rsid w:val="00ED3D33"/>
    <w:rsid w:val="00ED58BE"/>
    <w:rsid w:val="00ED7EE6"/>
    <w:rsid w:val="00EE0C82"/>
    <w:rsid w:val="00EE5898"/>
    <w:rsid w:val="00EE5F1D"/>
    <w:rsid w:val="00EE75F9"/>
    <w:rsid w:val="00EF0B4B"/>
    <w:rsid w:val="00EF558A"/>
    <w:rsid w:val="00EF5F63"/>
    <w:rsid w:val="00EF6DEA"/>
    <w:rsid w:val="00EF703F"/>
    <w:rsid w:val="00EF766D"/>
    <w:rsid w:val="00F00728"/>
    <w:rsid w:val="00F03B05"/>
    <w:rsid w:val="00F0438C"/>
    <w:rsid w:val="00F05090"/>
    <w:rsid w:val="00F05989"/>
    <w:rsid w:val="00F063F8"/>
    <w:rsid w:val="00F10636"/>
    <w:rsid w:val="00F10E6C"/>
    <w:rsid w:val="00F114D0"/>
    <w:rsid w:val="00F12049"/>
    <w:rsid w:val="00F12C2A"/>
    <w:rsid w:val="00F14B3D"/>
    <w:rsid w:val="00F1548B"/>
    <w:rsid w:val="00F16919"/>
    <w:rsid w:val="00F16E87"/>
    <w:rsid w:val="00F1747E"/>
    <w:rsid w:val="00F17544"/>
    <w:rsid w:val="00F175A4"/>
    <w:rsid w:val="00F20385"/>
    <w:rsid w:val="00F2091B"/>
    <w:rsid w:val="00F21352"/>
    <w:rsid w:val="00F21ADD"/>
    <w:rsid w:val="00F25194"/>
    <w:rsid w:val="00F25A4C"/>
    <w:rsid w:val="00F273EA"/>
    <w:rsid w:val="00F27DBB"/>
    <w:rsid w:val="00F30126"/>
    <w:rsid w:val="00F30EAD"/>
    <w:rsid w:val="00F31E04"/>
    <w:rsid w:val="00F336F4"/>
    <w:rsid w:val="00F33FD4"/>
    <w:rsid w:val="00F34DCC"/>
    <w:rsid w:val="00F36C4E"/>
    <w:rsid w:val="00F37025"/>
    <w:rsid w:val="00F4049B"/>
    <w:rsid w:val="00F42369"/>
    <w:rsid w:val="00F43289"/>
    <w:rsid w:val="00F43CB0"/>
    <w:rsid w:val="00F45C8B"/>
    <w:rsid w:val="00F46AD9"/>
    <w:rsid w:val="00F47F79"/>
    <w:rsid w:val="00F47FF7"/>
    <w:rsid w:val="00F50E18"/>
    <w:rsid w:val="00F52987"/>
    <w:rsid w:val="00F52C24"/>
    <w:rsid w:val="00F53378"/>
    <w:rsid w:val="00F53654"/>
    <w:rsid w:val="00F53A6C"/>
    <w:rsid w:val="00F54E82"/>
    <w:rsid w:val="00F55FE7"/>
    <w:rsid w:val="00F612B5"/>
    <w:rsid w:val="00F6147C"/>
    <w:rsid w:val="00F6285A"/>
    <w:rsid w:val="00F64ED3"/>
    <w:rsid w:val="00F66EF6"/>
    <w:rsid w:val="00F70AF4"/>
    <w:rsid w:val="00F73178"/>
    <w:rsid w:val="00F74024"/>
    <w:rsid w:val="00F74F6C"/>
    <w:rsid w:val="00F77C4F"/>
    <w:rsid w:val="00F80010"/>
    <w:rsid w:val="00F8055C"/>
    <w:rsid w:val="00F828A9"/>
    <w:rsid w:val="00F84776"/>
    <w:rsid w:val="00F8552D"/>
    <w:rsid w:val="00F87B01"/>
    <w:rsid w:val="00F90430"/>
    <w:rsid w:val="00F90F24"/>
    <w:rsid w:val="00F93276"/>
    <w:rsid w:val="00F93BB9"/>
    <w:rsid w:val="00F93F0D"/>
    <w:rsid w:val="00F9405F"/>
    <w:rsid w:val="00F95842"/>
    <w:rsid w:val="00F9603D"/>
    <w:rsid w:val="00F96D15"/>
    <w:rsid w:val="00F9727E"/>
    <w:rsid w:val="00F972EC"/>
    <w:rsid w:val="00F9741A"/>
    <w:rsid w:val="00F97D54"/>
    <w:rsid w:val="00FA0A15"/>
    <w:rsid w:val="00FA31C8"/>
    <w:rsid w:val="00FA3EB9"/>
    <w:rsid w:val="00FA3EC9"/>
    <w:rsid w:val="00FA4CA5"/>
    <w:rsid w:val="00FA4E92"/>
    <w:rsid w:val="00FB08D6"/>
    <w:rsid w:val="00FB0DBD"/>
    <w:rsid w:val="00FB109A"/>
    <w:rsid w:val="00FB1B07"/>
    <w:rsid w:val="00FB1D54"/>
    <w:rsid w:val="00FB3426"/>
    <w:rsid w:val="00FB4BF2"/>
    <w:rsid w:val="00FB4C73"/>
    <w:rsid w:val="00FB4F3B"/>
    <w:rsid w:val="00FB5D91"/>
    <w:rsid w:val="00FB6EB1"/>
    <w:rsid w:val="00FB7494"/>
    <w:rsid w:val="00FB7D13"/>
    <w:rsid w:val="00FC0A4D"/>
    <w:rsid w:val="00FC2229"/>
    <w:rsid w:val="00FC3653"/>
    <w:rsid w:val="00FC3C5A"/>
    <w:rsid w:val="00FC4E86"/>
    <w:rsid w:val="00FC5295"/>
    <w:rsid w:val="00FD2BD5"/>
    <w:rsid w:val="00FD4526"/>
    <w:rsid w:val="00FD5528"/>
    <w:rsid w:val="00FD6471"/>
    <w:rsid w:val="00FD6B5F"/>
    <w:rsid w:val="00FE22F6"/>
    <w:rsid w:val="00FE25E6"/>
    <w:rsid w:val="00FE2620"/>
    <w:rsid w:val="00FE314A"/>
    <w:rsid w:val="00FE3CAE"/>
    <w:rsid w:val="00FE445C"/>
    <w:rsid w:val="00FE46EF"/>
    <w:rsid w:val="00FE4709"/>
    <w:rsid w:val="00FE4DC4"/>
    <w:rsid w:val="00FE5920"/>
    <w:rsid w:val="00FE6485"/>
    <w:rsid w:val="00FE6E30"/>
    <w:rsid w:val="00FE7877"/>
    <w:rsid w:val="00FE7A3C"/>
    <w:rsid w:val="00FE7BCF"/>
    <w:rsid w:val="00FF02A1"/>
    <w:rsid w:val="00FF241E"/>
    <w:rsid w:val="00FF332E"/>
    <w:rsid w:val="00FF3C1D"/>
    <w:rsid w:val="00FF4CFA"/>
    <w:rsid w:val="00FF6AA2"/>
    <w:rsid w:val="00FF6E9E"/>
    <w:rsid w:val="00FF75AB"/>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BF5024"/>
  <w15:docId w15:val="{2A0516B3-DA86-4507-A9B7-830E948FF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4"/>
      <w:szCs w:val="22"/>
      <w:lang w:eastAsia="en-US"/>
    </w:rPr>
  </w:style>
  <w:style w:type="paragraph" w:styleId="Heading1">
    <w:name w:val="heading 1"/>
    <w:basedOn w:val="Normal"/>
    <w:link w:val="Heading1Char"/>
    <w:uiPriority w:val="9"/>
    <w:qFormat/>
    <w:rsid w:val="00B20B3F"/>
    <w:pPr>
      <w:spacing w:before="100" w:beforeAutospacing="1" w:after="100" w:afterAutospacing="1" w:line="240" w:lineRule="auto"/>
      <w:outlineLvl w:val="0"/>
    </w:pPr>
    <w:rPr>
      <w:rFonts w:eastAsia="Times New Roman"/>
      <w:b/>
      <w:bCs/>
      <w:kern w:val="36"/>
      <w:sz w:val="48"/>
      <w:szCs w:val="48"/>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20B3F"/>
    <w:rPr>
      <w:rFonts w:eastAsia="Times New Roman" w:cs="Times New Roman"/>
      <w:b/>
      <w:bCs/>
      <w:kern w:val="36"/>
      <w:sz w:val="48"/>
      <w:szCs w:val="48"/>
      <w:lang w:eastAsia="en-ZA"/>
    </w:rPr>
  </w:style>
  <w:style w:type="character" w:styleId="PlaceholderText">
    <w:name w:val="Placeholder Text"/>
    <w:uiPriority w:val="99"/>
    <w:semiHidden/>
    <w:rsid w:val="008471F5"/>
    <w:rPr>
      <w:color w:val="808080"/>
    </w:rPr>
  </w:style>
  <w:style w:type="paragraph" w:styleId="Header">
    <w:name w:val="header"/>
    <w:basedOn w:val="Normal"/>
    <w:link w:val="HeaderChar"/>
    <w:uiPriority w:val="99"/>
    <w:unhideWhenUsed/>
    <w:rsid w:val="00BF52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5275"/>
  </w:style>
  <w:style w:type="paragraph" w:styleId="Footer">
    <w:name w:val="footer"/>
    <w:basedOn w:val="Normal"/>
    <w:link w:val="FooterChar"/>
    <w:uiPriority w:val="99"/>
    <w:unhideWhenUsed/>
    <w:rsid w:val="00BF52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5275"/>
  </w:style>
  <w:style w:type="table" w:styleId="TableGrid">
    <w:name w:val="Table Grid"/>
    <w:basedOn w:val="TableNormal"/>
    <w:uiPriority w:val="39"/>
    <w:rsid w:val="001E2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A0B2B"/>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7A0B2B"/>
    <w:rPr>
      <w:rFonts w:ascii="Segoe UI" w:hAnsi="Segoe UI" w:cs="Segoe UI"/>
      <w:sz w:val="18"/>
      <w:szCs w:val="18"/>
    </w:rPr>
  </w:style>
  <w:style w:type="paragraph" w:styleId="NormalWeb">
    <w:name w:val="Normal (Web)"/>
    <w:basedOn w:val="Normal"/>
    <w:uiPriority w:val="99"/>
    <w:semiHidden/>
    <w:unhideWhenUsed/>
    <w:rsid w:val="00CB4976"/>
    <w:pPr>
      <w:spacing w:before="100" w:beforeAutospacing="1" w:after="100" w:afterAutospacing="1" w:line="240" w:lineRule="auto"/>
    </w:pPr>
    <w:rPr>
      <w:rFonts w:eastAsia="Times New Roman"/>
      <w:szCs w:val="24"/>
      <w:lang w:eastAsia="en-ZA"/>
    </w:rPr>
  </w:style>
  <w:style w:type="character" w:customStyle="1" w:styleId="highwire-citation-authors">
    <w:name w:val="highwire-citation-authors"/>
    <w:basedOn w:val="DefaultParagraphFont"/>
    <w:rsid w:val="00B20B3F"/>
  </w:style>
  <w:style w:type="character" w:customStyle="1" w:styleId="highwire-citation-author">
    <w:name w:val="highwire-citation-author"/>
    <w:basedOn w:val="DefaultParagraphFont"/>
    <w:rsid w:val="00B20B3F"/>
  </w:style>
  <w:style w:type="character" w:customStyle="1" w:styleId="nlm-given-names">
    <w:name w:val="nlm-given-names"/>
    <w:basedOn w:val="DefaultParagraphFont"/>
    <w:rsid w:val="00B20B3F"/>
  </w:style>
  <w:style w:type="character" w:customStyle="1" w:styleId="nlm-surname">
    <w:name w:val="nlm-surname"/>
    <w:basedOn w:val="DefaultParagraphFont"/>
    <w:rsid w:val="00B20B3F"/>
  </w:style>
  <w:style w:type="paragraph" w:styleId="ListParagraph">
    <w:name w:val="List Paragraph"/>
    <w:basedOn w:val="Normal"/>
    <w:uiPriority w:val="34"/>
    <w:qFormat/>
    <w:rsid w:val="00C80F69"/>
    <w:pPr>
      <w:ind w:left="720"/>
      <w:contextualSpacing/>
    </w:pPr>
  </w:style>
  <w:style w:type="paragraph" w:styleId="Bibliography">
    <w:name w:val="Bibliography"/>
    <w:basedOn w:val="Normal"/>
    <w:next w:val="Normal"/>
    <w:uiPriority w:val="37"/>
    <w:unhideWhenUsed/>
    <w:rsid w:val="005973C0"/>
    <w:pPr>
      <w:tabs>
        <w:tab w:val="left" w:pos="504"/>
      </w:tabs>
      <w:spacing w:after="240" w:line="240" w:lineRule="auto"/>
      <w:ind w:left="504" w:hanging="504"/>
    </w:pPr>
  </w:style>
  <w:style w:type="character" w:styleId="Hyperlink">
    <w:name w:val="Hyperlink"/>
    <w:uiPriority w:val="99"/>
    <w:semiHidden/>
    <w:unhideWhenUsed/>
    <w:rsid w:val="00CC0394"/>
    <w:rPr>
      <w:color w:val="0000FF"/>
      <w:u w:val="single"/>
    </w:rPr>
  </w:style>
  <w:style w:type="character" w:customStyle="1" w:styleId="e24kjd">
    <w:name w:val="e24kjd"/>
    <w:basedOn w:val="DefaultParagraphFont"/>
    <w:rsid w:val="00C563FA"/>
  </w:style>
  <w:style w:type="character" w:customStyle="1" w:styleId="doi">
    <w:name w:val="doi"/>
    <w:basedOn w:val="DefaultParagraphFont"/>
    <w:rsid w:val="00BC52A4"/>
  </w:style>
  <w:style w:type="paragraph" w:styleId="CommentText">
    <w:name w:val="annotation text"/>
    <w:basedOn w:val="Normal"/>
    <w:link w:val="CommentTextChar"/>
    <w:uiPriority w:val="99"/>
    <w:unhideWhenUsed/>
    <w:rsid w:val="007E1F9B"/>
    <w:pPr>
      <w:spacing w:line="240" w:lineRule="auto"/>
    </w:pPr>
    <w:rPr>
      <w:sz w:val="20"/>
      <w:szCs w:val="20"/>
    </w:rPr>
  </w:style>
  <w:style w:type="character" w:customStyle="1" w:styleId="CommentTextChar">
    <w:name w:val="Comment Text Char"/>
    <w:basedOn w:val="DefaultParagraphFont"/>
    <w:link w:val="CommentText"/>
    <w:uiPriority w:val="99"/>
    <w:rsid w:val="007E1F9B"/>
    <w:rPr>
      <w:lang w:eastAsia="en-US"/>
    </w:rPr>
  </w:style>
  <w:style w:type="character" w:customStyle="1" w:styleId="CommentSubjectChar">
    <w:name w:val="Comment Subject Char"/>
    <w:basedOn w:val="CommentTextChar"/>
    <w:link w:val="CommentSubject"/>
    <w:uiPriority w:val="99"/>
    <w:semiHidden/>
    <w:rsid w:val="007E1F9B"/>
    <w:rPr>
      <w:b/>
      <w:bCs/>
      <w:lang w:eastAsia="en-US"/>
    </w:rPr>
  </w:style>
  <w:style w:type="paragraph" w:styleId="CommentSubject">
    <w:name w:val="annotation subject"/>
    <w:basedOn w:val="CommentText"/>
    <w:next w:val="CommentText"/>
    <w:link w:val="CommentSubjectChar"/>
    <w:uiPriority w:val="99"/>
    <w:semiHidden/>
    <w:unhideWhenUsed/>
    <w:rsid w:val="007E1F9B"/>
    <w:rPr>
      <w:b/>
      <w:bCs/>
    </w:rPr>
  </w:style>
  <w:style w:type="character" w:styleId="CommentReference">
    <w:name w:val="annotation reference"/>
    <w:basedOn w:val="DefaultParagraphFont"/>
    <w:uiPriority w:val="99"/>
    <w:semiHidden/>
    <w:unhideWhenUsed/>
    <w:rsid w:val="008E7FC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45316">
      <w:bodyDiv w:val="1"/>
      <w:marLeft w:val="0"/>
      <w:marRight w:val="0"/>
      <w:marTop w:val="0"/>
      <w:marBottom w:val="0"/>
      <w:divBdr>
        <w:top w:val="none" w:sz="0" w:space="0" w:color="auto"/>
        <w:left w:val="none" w:sz="0" w:space="0" w:color="auto"/>
        <w:bottom w:val="none" w:sz="0" w:space="0" w:color="auto"/>
        <w:right w:val="none" w:sz="0" w:space="0" w:color="auto"/>
      </w:divBdr>
    </w:div>
    <w:div w:id="113795102">
      <w:bodyDiv w:val="1"/>
      <w:marLeft w:val="0"/>
      <w:marRight w:val="0"/>
      <w:marTop w:val="0"/>
      <w:marBottom w:val="0"/>
      <w:divBdr>
        <w:top w:val="none" w:sz="0" w:space="0" w:color="auto"/>
        <w:left w:val="none" w:sz="0" w:space="0" w:color="auto"/>
        <w:bottom w:val="none" w:sz="0" w:space="0" w:color="auto"/>
        <w:right w:val="none" w:sz="0" w:space="0" w:color="auto"/>
      </w:divBdr>
    </w:div>
    <w:div w:id="181286565">
      <w:bodyDiv w:val="1"/>
      <w:marLeft w:val="0"/>
      <w:marRight w:val="0"/>
      <w:marTop w:val="0"/>
      <w:marBottom w:val="0"/>
      <w:divBdr>
        <w:top w:val="none" w:sz="0" w:space="0" w:color="auto"/>
        <w:left w:val="none" w:sz="0" w:space="0" w:color="auto"/>
        <w:bottom w:val="none" w:sz="0" w:space="0" w:color="auto"/>
        <w:right w:val="none" w:sz="0" w:space="0" w:color="auto"/>
      </w:divBdr>
    </w:div>
    <w:div w:id="221410408">
      <w:bodyDiv w:val="1"/>
      <w:marLeft w:val="0"/>
      <w:marRight w:val="0"/>
      <w:marTop w:val="0"/>
      <w:marBottom w:val="0"/>
      <w:divBdr>
        <w:top w:val="none" w:sz="0" w:space="0" w:color="auto"/>
        <w:left w:val="none" w:sz="0" w:space="0" w:color="auto"/>
        <w:bottom w:val="none" w:sz="0" w:space="0" w:color="auto"/>
        <w:right w:val="none" w:sz="0" w:space="0" w:color="auto"/>
      </w:divBdr>
    </w:div>
    <w:div w:id="228661598">
      <w:bodyDiv w:val="1"/>
      <w:marLeft w:val="0"/>
      <w:marRight w:val="0"/>
      <w:marTop w:val="0"/>
      <w:marBottom w:val="0"/>
      <w:divBdr>
        <w:top w:val="none" w:sz="0" w:space="0" w:color="auto"/>
        <w:left w:val="none" w:sz="0" w:space="0" w:color="auto"/>
        <w:bottom w:val="none" w:sz="0" w:space="0" w:color="auto"/>
        <w:right w:val="none" w:sz="0" w:space="0" w:color="auto"/>
      </w:divBdr>
    </w:div>
    <w:div w:id="313993843">
      <w:bodyDiv w:val="1"/>
      <w:marLeft w:val="0"/>
      <w:marRight w:val="0"/>
      <w:marTop w:val="0"/>
      <w:marBottom w:val="0"/>
      <w:divBdr>
        <w:top w:val="none" w:sz="0" w:space="0" w:color="auto"/>
        <w:left w:val="none" w:sz="0" w:space="0" w:color="auto"/>
        <w:bottom w:val="none" w:sz="0" w:space="0" w:color="auto"/>
        <w:right w:val="none" w:sz="0" w:space="0" w:color="auto"/>
      </w:divBdr>
    </w:div>
    <w:div w:id="369913135">
      <w:bodyDiv w:val="1"/>
      <w:marLeft w:val="0"/>
      <w:marRight w:val="0"/>
      <w:marTop w:val="0"/>
      <w:marBottom w:val="0"/>
      <w:divBdr>
        <w:top w:val="none" w:sz="0" w:space="0" w:color="auto"/>
        <w:left w:val="none" w:sz="0" w:space="0" w:color="auto"/>
        <w:bottom w:val="none" w:sz="0" w:space="0" w:color="auto"/>
        <w:right w:val="none" w:sz="0" w:space="0" w:color="auto"/>
      </w:divBdr>
    </w:div>
    <w:div w:id="519054050">
      <w:bodyDiv w:val="1"/>
      <w:marLeft w:val="0"/>
      <w:marRight w:val="0"/>
      <w:marTop w:val="0"/>
      <w:marBottom w:val="0"/>
      <w:divBdr>
        <w:top w:val="none" w:sz="0" w:space="0" w:color="auto"/>
        <w:left w:val="none" w:sz="0" w:space="0" w:color="auto"/>
        <w:bottom w:val="none" w:sz="0" w:space="0" w:color="auto"/>
        <w:right w:val="none" w:sz="0" w:space="0" w:color="auto"/>
      </w:divBdr>
    </w:div>
    <w:div w:id="566377320">
      <w:bodyDiv w:val="1"/>
      <w:marLeft w:val="0"/>
      <w:marRight w:val="0"/>
      <w:marTop w:val="0"/>
      <w:marBottom w:val="0"/>
      <w:divBdr>
        <w:top w:val="none" w:sz="0" w:space="0" w:color="auto"/>
        <w:left w:val="none" w:sz="0" w:space="0" w:color="auto"/>
        <w:bottom w:val="none" w:sz="0" w:space="0" w:color="auto"/>
        <w:right w:val="none" w:sz="0" w:space="0" w:color="auto"/>
      </w:divBdr>
      <w:divsChild>
        <w:div w:id="32391530">
          <w:marLeft w:val="0"/>
          <w:marRight w:val="0"/>
          <w:marTop w:val="0"/>
          <w:marBottom w:val="0"/>
          <w:divBdr>
            <w:top w:val="none" w:sz="0" w:space="0" w:color="auto"/>
            <w:left w:val="none" w:sz="0" w:space="0" w:color="auto"/>
            <w:bottom w:val="none" w:sz="0" w:space="0" w:color="auto"/>
            <w:right w:val="none" w:sz="0" w:space="0" w:color="auto"/>
          </w:divBdr>
        </w:div>
      </w:divsChild>
    </w:div>
    <w:div w:id="587693059">
      <w:bodyDiv w:val="1"/>
      <w:marLeft w:val="0"/>
      <w:marRight w:val="0"/>
      <w:marTop w:val="0"/>
      <w:marBottom w:val="0"/>
      <w:divBdr>
        <w:top w:val="none" w:sz="0" w:space="0" w:color="auto"/>
        <w:left w:val="none" w:sz="0" w:space="0" w:color="auto"/>
        <w:bottom w:val="none" w:sz="0" w:space="0" w:color="auto"/>
        <w:right w:val="none" w:sz="0" w:space="0" w:color="auto"/>
      </w:divBdr>
    </w:div>
    <w:div w:id="591475033">
      <w:bodyDiv w:val="1"/>
      <w:marLeft w:val="0"/>
      <w:marRight w:val="0"/>
      <w:marTop w:val="0"/>
      <w:marBottom w:val="0"/>
      <w:divBdr>
        <w:top w:val="none" w:sz="0" w:space="0" w:color="auto"/>
        <w:left w:val="none" w:sz="0" w:space="0" w:color="auto"/>
        <w:bottom w:val="none" w:sz="0" w:space="0" w:color="auto"/>
        <w:right w:val="none" w:sz="0" w:space="0" w:color="auto"/>
      </w:divBdr>
    </w:div>
    <w:div w:id="631717895">
      <w:bodyDiv w:val="1"/>
      <w:marLeft w:val="0"/>
      <w:marRight w:val="0"/>
      <w:marTop w:val="0"/>
      <w:marBottom w:val="0"/>
      <w:divBdr>
        <w:top w:val="none" w:sz="0" w:space="0" w:color="auto"/>
        <w:left w:val="none" w:sz="0" w:space="0" w:color="auto"/>
        <w:bottom w:val="none" w:sz="0" w:space="0" w:color="auto"/>
        <w:right w:val="none" w:sz="0" w:space="0" w:color="auto"/>
      </w:divBdr>
    </w:div>
    <w:div w:id="640694103">
      <w:bodyDiv w:val="1"/>
      <w:marLeft w:val="0"/>
      <w:marRight w:val="0"/>
      <w:marTop w:val="0"/>
      <w:marBottom w:val="0"/>
      <w:divBdr>
        <w:top w:val="none" w:sz="0" w:space="0" w:color="auto"/>
        <w:left w:val="none" w:sz="0" w:space="0" w:color="auto"/>
        <w:bottom w:val="none" w:sz="0" w:space="0" w:color="auto"/>
        <w:right w:val="none" w:sz="0" w:space="0" w:color="auto"/>
      </w:divBdr>
    </w:div>
    <w:div w:id="655303279">
      <w:bodyDiv w:val="1"/>
      <w:marLeft w:val="0"/>
      <w:marRight w:val="0"/>
      <w:marTop w:val="0"/>
      <w:marBottom w:val="0"/>
      <w:divBdr>
        <w:top w:val="none" w:sz="0" w:space="0" w:color="auto"/>
        <w:left w:val="none" w:sz="0" w:space="0" w:color="auto"/>
        <w:bottom w:val="none" w:sz="0" w:space="0" w:color="auto"/>
        <w:right w:val="none" w:sz="0" w:space="0" w:color="auto"/>
      </w:divBdr>
    </w:div>
    <w:div w:id="699208252">
      <w:bodyDiv w:val="1"/>
      <w:marLeft w:val="0"/>
      <w:marRight w:val="0"/>
      <w:marTop w:val="0"/>
      <w:marBottom w:val="0"/>
      <w:divBdr>
        <w:top w:val="none" w:sz="0" w:space="0" w:color="auto"/>
        <w:left w:val="none" w:sz="0" w:space="0" w:color="auto"/>
        <w:bottom w:val="none" w:sz="0" w:space="0" w:color="auto"/>
        <w:right w:val="none" w:sz="0" w:space="0" w:color="auto"/>
      </w:divBdr>
    </w:div>
    <w:div w:id="780338514">
      <w:bodyDiv w:val="1"/>
      <w:marLeft w:val="0"/>
      <w:marRight w:val="0"/>
      <w:marTop w:val="0"/>
      <w:marBottom w:val="0"/>
      <w:divBdr>
        <w:top w:val="none" w:sz="0" w:space="0" w:color="auto"/>
        <w:left w:val="none" w:sz="0" w:space="0" w:color="auto"/>
        <w:bottom w:val="none" w:sz="0" w:space="0" w:color="auto"/>
        <w:right w:val="none" w:sz="0" w:space="0" w:color="auto"/>
      </w:divBdr>
    </w:div>
    <w:div w:id="812063460">
      <w:bodyDiv w:val="1"/>
      <w:marLeft w:val="0"/>
      <w:marRight w:val="0"/>
      <w:marTop w:val="0"/>
      <w:marBottom w:val="0"/>
      <w:divBdr>
        <w:top w:val="none" w:sz="0" w:space="0" w:color="auto"/>
        <w:left w:val="none" w:sz="0" w:space="0" w:color="auto"/>
        <w:bottom w:val="none" w:sz="0" w:space="0" w:color="auto"/>
        <w:right w:val="none" w:sz="0" w:space="0" w:color="auto"/>
      </w:divBdr>
    </w:div>
    <w:div w:id="857235095">
      <w:bodyDiv w:val="1"/>
      <w:marLeft w:val="0"/>
      <w:marRight w:val="0"/>
      <w:marTop w:val="0"/>
      <w:marBottom w:val="0"/>
      <w:divBdr>
        <w:top w:val="none" w:sz="0" w:space="0" w:color="auto"/>
        <w:left w:val="none" w:sz="0" w:space="0" w:color="auto"/>
        <w:bottom w:val="none" w:sz="0" w:space="0" w:color="auto"/>
        <w:right w:val="none" w:sz="0" w:space="0" w:color="auto"/>
      </w:divBdr>
    </w:div>
    <w:div w:id="1361710436">
      <w:bodyDiv w:val="1"/>
      <w:marLeft w:val="0"/>
      <w:marRight w:val="0"/>
      <w:marTop w:val="0"/>
      <w:marBottom w:val="0"/>
      <w:divBdr>
        <w:top w:val="none" w:sz="0" w:space="0" w:color="auto"/>
        <w:left w:val="none" w:sz="0" w:space="0" w:color="auto"/>
        <w:bottom w:val="none" w:sz="0" w:space="0" w:color="auto"/>
        <w:right w:val="none" w:sz="0" w:space="0" w:color="auto"/>
      </w:divBdr>
    </w:div>
    <w:div w:id="1391615057">
      <w:bodyDiv w:val="1"/>
      <w:marLeft w:val="0"/>
      <w:marRight w:val="0"/>
      <w:marTop w:val="0"/>
      <w:marBottom w:val="0"/>
      <w:divBdr>
        <w:top w:val="none" w:sz="0" w:space="0" w:color="auto"/>
        <w:left w:val="none" w:sz="0" w:space="0" w:color="auto"/>
        <w:bottom w:val="none" w:sz="0" w:space="0" w:color="auto"/>
        <w:right w:val="none" w:sz="0" w:space="0" w:color="auto"/>
      </w:divBdr>
    </w:div>
    <w:div w:id="1636059357">
      <w:bodyDiv w:val="1"/>
      <w:marLeft w:val="0"/>
      <w:marRight w:val="0"/>
      <w:marTop w:val="0"/>
      <w:marBottom w:val="0"/>
      <w:divBdr>
        <w:top w:val="none" w:sz="0" w:space="0" w:color="auto"/>
        <w:left w:val="none" w:sz="0" w:space="0" w:color="auto"/>
        <w:bottom w:val="none" w:sz="0" w:space="0" w:color="auto"/>
        <w:right w:val="none" w:sz="0" w:space="0" w:color="auto"/>
      </w:divBdr>
    </w:div>
    <w:div w:id="1669210302">
      <w:bodyDiv w:val="1"/>
      <w:marLeft w:val="0"/>
      <w:marRight w:val="0"/>
      <w:marTop w:val="0"/>
      <w:marBottom w:val="0"/>
      <w:divBdr>
        <w:top w:val="none" w:sz="0" w:space="0" w:color="auto"/>
        <w:left w:val="none" w:sz="0" w:space="0" w:color="auto"/>
        <w:bottom w:val="none" w:sz="0" w:space="0" w:color="auto"/>
        <w:right w:val="none" w:sz="0" w:space="0" w:color="auto"/>
      </w:divBdr>
    </w:div>
    <w:div w:id="1682967737">
      <w:bodyDiv w:val="1"/>
      <w:marLeft w:val="0"/>
      <w:marRight w:val="0"/>
      <w:marTop w:val="0"/>
      <w:marBottom w:val="0"/>
      <w:divBdr>
        <w:top w:val="none" w:sz="0" w:space="0" w:color="auto"/>
        <w:left w:val="none" w:sz="0" w:space="0" w:color="auto"/>
        <w:bottom w:val="none" w:sz="0" w:space="0" w:color="auto"/>
        <w:right w:val="none" w:sz="0" w:space="0" w:color="auto"/>
      </w:divBdr>
    </w:div>
    <w:div w:id="1730568167">
      <w:bodyDiv w:val="1"/>
      <w:marLeft w:val="0"/>
      <w:marRight w:val="0"/>
      <w:marTop w:val="0"/>
      <w:marBottom w:val="0"/>
      <w:divBdr>
        <w:top w:val="none" w:sz="0" w:space="0" w:color="auto"/>
        <w:left w:val="none" w:sz="0" w:space="0" w:color="auto"/>
        <w:bottom w:val="none" w:sz="0" w:space="0" w:color="auto"/>
        <w:right w:val="none" w:sz="0" w:space="0" w:color="auto"/>
      </w:divBdr>
    </w:div>
    <w:div w:id="1786998006">
      <w:bodyDiv w:val="1"/>
      <w:marLeft w:val="0"/>
      <w:marRight w:val="0"/>
      <w:marTop w:val="0"/>
      <w:marBottom w:val="0"/>
      <w:divBdr>
        <w:top w:val="none" w:sz="0" w:space="0" w:color="auto"/>
        <w:left w:val="none" w:sz="0" w:space="0" w:color="auto"/>
        <w:bottom w:val="none" w:sz="0" w:space="0" w:color="auto"/>
        <w:right w:val="none" w:sz="0" w:space="0" w:color="auto"/>
      </w:divBdr>
    </w:div>
    <w:div w:id="1855001051">
      <w:bodyDiv w:val="1"/>
      <w:marLeft w:val="0"/>
      <w:marRight w:val="0"/>
      <w:marTop w:val="0"/>
      <w:marBottom w:val="0"/>
      <w:divBdr>
        <w:top w:val="none" w:sz="0" w:space="0" w:color="auto"/>
        <w:left w:val="none" w:sz="0" w:space="0" w:color="auto"/>
        <w:bottom w:val="none" w:sz="0" w:space="0" w:color="auto"/>
        <w:right w:val="none" w:sz="0" w:space="0" w:color="auto"/>
      </w:divBdr>
    </w:div>
    <w:div w:id="1864856040">
      <w:bodyDiv w:val="1"/>
      <w:marLeft w:val="0"/>
      <w:marRight w:val="0"/>
      <w:marTop w:val="0"/>
      <w:marBottom w:val="0"/>
      <w:divBdr>
        <w:top w:val="none" w:sz="0" w:space="0" w:color="auto"/>
        <w:left w:val="none" w:sz="0" w:space="0" w:color="auto"/>
        <w:bottom w:val="none" w:sz="0" w:space="0" w:color="auto"/>
        <w:right w:val="none" w:sz="0" w:space="0" w:color="auto"/>
      </w:divBdr>
    </w:div>
    <w:div w:id="2013100791">
      <w:bodyDiv w:val="1"/>
      <w:marLeft w:val="0"/>
      <w:marRight w:val="0"/>
      <w:marTop w:val="0"/>
      <w:marBottom w:val="0"/>
      <w:divBdr>
        <w:top w:val="none" w:sz="0" w:space="0" w:color="auto"/>
        <w:left w:val="none" w:sz="0" w:space="0" w:color="auto"/>
        <w:bottom w:val="none" w:sz="0" w:space="0" w:color="auto"/>
        <w:right w:val="none" w:sz="0" w:space="0" w:color="auto"/>
      </w:divBdr>
    </w:div>
    <w:div w:id="2015913082">
      <w:bodyDiv w:val="1"/>
      <w:marLeft w:val="0"/>
      <w:marRight w:val="0"/>
      <w:marTop w:val="0"/>
      <w:marBottom w:val="0"/>
      <w:divBdr>
        <w:top w:val="none" w:sz="0" w:space="0" w:color="auto"/>
        <w:left w:val="none" w:sz="0" w:space="0" w:color="auto"/>
        <w:bottom w:val="none" w:sz="0" w:space="0" w:color="auto"/>
        <w:right w:val="none" w:sz="0" w:space="0" w:color="auto"/>
      </w:divBdr>
    </w:div>
    <w:div w:id="2053265893">
      <w:bodyDiv w:val="1"/>
      <w:marLeft w:val="0"/>
      <w:marRight w:val="0"/>
      <w:marTop w:val="0"/>
      <w:marBottom w:val="0"/>
      <w:divBdr>
        <w:top w:val="none" w:sz="0" w:space="0" w:color="auto"/>
        <w:left w:val="none" w:sz="0" w:space="0" w:color="auto"/>
        <w:bottom w:val="none" w:sz="0" w:space="0" w:color="auto"/>
        <w:right w:val="none" w:sz="0" w:space="0" w:color="auto"/>
      </w:divBdr>
      <w:divsChild>
        <w:div w:id="268044859">
          <w:marLeft w:val="0"/>
          <w:marRight w:val="0"/>
          <w:marTop w:val="0"/>
          <w:marBottom w:val="0"/>
          <w:divBdr>
            <w:top w:val="none" w:sz="0" w:space="0" w:color="auto"/>
            <w:left w:val="none" w:sz="0" w:space="0" w:color="auto"/>
            <w:bottom w:val="none" w:sz="0" w:space="0" w:color="auto"/>
            <w:right w:val="none" w:sz="0" w:space="0" w:color="auto"/>
          </w:divBdr>
        </w:div>
      </w:divsChild>
    </w:div>
    <w:div w:id="2063366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oleObject" Target="embeddings/oleObject2.bin"/><Relationship Id="rId39" Type="http://schemas.openxmlformats.org/officeDocument/2006/relationships/image" Target="media/image17.emf"/><Relationship Id="rId21" Type="http://schemas.openxmlformats.org/officeDocument/2006/relationships/footer" Target="footer3.xml"/><Relationship Id="rId34" Type="http://schemas.openxmlformats.org/officeDocument/2006/relationships/oleObject" Target="embeddings/oleObject6.bin"/><Relationship Id="rId42" Type="http://schemas.openxmlformats.org/officeDocument/2006/relationships/oleObject" Target="embeddings/oleObject10.bin"/><Relationship Id="rId47" Type="http://schemas.openxmlformats.org/officeDocument/2006/relationships/image" Target="media/image23.png"/><Relationship Id="rId50" Type="http://schemas.openxmlformats.org/officeDocument/2006/relationships/oleObject" Target="embeddings/oleObject11.bin"/><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oleObject" Target="embeddings/oleObject8.bin"/><Relationship Id="rId46"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image" Target="media/image12.emf"/><Relationship Id="rId41" Type="http://schemas.openxmlformats.org/officeDocument/2006/relationships/image" Target="media/image18.emf"/><Relationship Id="rId54" Type="http://schemas.openxmlformats.org/officeDocument/2006/relationships/oleObject" Target="embeddings/oleObject1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9.jpeg"/><Relationship Id="rId32" Type="http://schemas.openxmlformats.org/officeDocument/2006/relationships/oleObject" Target="embeddings/oleObject5.bin"/><Relationship Id="rId37" Type="http://schemas.openxmlformats.org/officeDocument/2006/relationships/image" Target="media/image16.emf"/><Relationship Id="rId40" Type="http://schemas.openxmlformats.org/officeDocument/2006/relationships/oleObject" Target="embeddings/oleObject9.bin"/><Relationship Id="rId45" Type="http://schemas.openxmlformats.org/officeDocument/2006/relationships/image" Target="media/image21.png"/><Relationship Id="rId53" Type="http://schemas.openxmlformats.org/officeDocument/2006/relationships/image" Target="media/image27.emf"/><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8.png"/><Relationship Id="rId28" Type="http://schemas.openxmlformats.org/officeDocument/2006/relationships/oleObject" Target="embeddings/oleObject3.bin"/><Relationship Id="rId36" Type="http://schemas.openxmlformats.org/officeDocument/2006/relationships/oleObject" Target="embeddings/oleObject7.bin"/><Relationship Id="rId49" Type="http://schemas.openxmlformats.org/officeDocument/2006/relationships/image" Target="media/image25.emf"/><Relationship Id="rId10" Type="http://schemas.openxmlformats.org/officeDocument/2006/relationships/image" Target="media/image2.png"/><Relationship Id="rId19" Type="http://schemas.openxmlformats.org/officeDocument/2006/relationships/footer" Target="footer2.xml"/><Relationship Id="rId31" Type="http://schemas.openxmlformats.org/officeDocument/2006/relationships/image" Target="media/image13.emf"/><Relationship Id="rId44" Type="http://schemas.openxmlformats.org/officeDocument/2006/relationships/image" Target="media/image20.png"/><Relationship Id="rId52" Type="http://schemas.openxmlformats.org/officeDocument/2006/relationships/oleObject" Target="embeddings/oleObject1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hyperlink" Target="http://hpc.uct.ac.za" TargetMode="External"/><Relationship Id="rId27" Type="http://schemas.openxmlformats.org/officeDocument/2006/relationships/image" Target="media/image11.emf"/><Relationship Id="rId30" Type="http://schemas.openxmlformats.org/officeDocument/2006/relationships/oleObject" Target="embeddings/oleObject4.bin"/><Relationship Id="rId35" Type="http://schemas.openxmlformats.org/officeDocument/2006/relationships/image" Target="media/image15.emf"/><Relationship Id="rId43" Type="http://schemas.openxmlformats.org/officeDocument/2006/relationships/image" Target="media/image19.png"/><Relationship Id="rId48" Type="http://schemas.openxmlformats.org/officeDocument/2006/relationships/image" Target="media/image24.png"/><Relationship Id="rId56" Type="http://schemas.openxmlformats.org/officeDocument/2006/relationships/theme" Target="theme/theme1.xml"/><Relationship Id="rId8" Type="http://schemas.openxmlformats.org/officeDocument/2006/relationships/image" Target="media/image1.emf"/><Relationship Id="rId51" Type="http://schemas.openxmlformats.org/officeDocument/2006/relationships/image" Target="media/image26.e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8E0814-D9E6-4269-9FCE-51768513E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48</Pages>
  <Words>25783</Words>
  <Characters>146968</Characters>
  <Application>Microsoft Office Word</Application>
  <DocSecurity>0</DocSecurity>
  <Lines>1224</Lines>
  <Paragraphs>344</Paragraphs>
  <ScaleCrop>false</ScaleCrop>
  <HeadingPairs>
    <vt:vector size="2" baseType="variant">
      <vt:variant>
        <vt:lpstr>Title</vt:lpstr>
      </vt:variant>
      <vt:variant>
        <vt:i4>1</vt:i4>
      </vt:variant>
    </vt:vector>
  </HeadingPairs>
  <TitlesOfParts>
    <vt:vector size="1" baseType="lpstr">
      <vt:lpstr/>
    </vt:vector>
  </TitlesOfParts>
  <Company>University of Cape Town</Company>
  <LinksUpToDate>false</LinksUpToDate>
  <CharactersWithSpaces>172407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Awine</dc:creator>
  <cp:keywords/>
  <dc:description/>
  <cp:lastModifiedBy>Timothy Awine</cp:lastModifiedBy>
  <cp:revision>6</cp:revision>
  <cp:lastPrinted>2019-02-20T12:24:00Z</cp:lastPrinted>
  <dcterms:created xsi:type="dcterms:W3CDTF">2020-04-09T08:28:00Z</dcterms:created>
  <dcterms:modified xsi:type="dcterms:W3CDTF">2020-04-20T08:10:00Z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zotero-version="5.0.82"&gt;&lt;session id="xbNHfsM8"/&gt;&lt;style id="http://www.zotero.org/styles/taylor-and-francis-national-library-of-medicine" hasBibliography="1" bibliographyStyleHasBeenSet="1"/&gt;&lt;prefs&gt;&lt;pref name="fieldType" value="Field</vt:lpwstr>
  </property>
  <property fmtid="{D5CDD505-2E9C-101B-9397-08002B2CF9AE}" pid="3" name="ZOTERO_PREF_2">
    <vt:lpwstr>"/&gt;&lt;pref name="storeReferences" value="true"/&gt;&lt;pref name="automaticJournalAbbreviations" value="true"/&gt;&lt;/prefs&gt;&lt;/data&gt;</vt:lpwstr>
  </property>
</Properties>
</file>