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6CBDDCFA" w14:textId="77777777" w:rsidR="000C72CE" w:rsidRPr="000C72CE" w:rsidRDefault="000C72CE" w:rsidP="000C72CE">
      <w:pPr>
        <w:keepNext/>
        <w:keepLines/>
        <w:spacing w:before="240" w:line="480" w:lineRule="auto"/>
        <w:outlineLvl w:val="0"/>
        <w:rPr>
          <w:rFonts w:ascii="Arial" w:eastAsiaTheme="majorEastAsia" w:hAnsi="Arial" w:cstheme="majorBidi"/>
          <w:b/>
          <w:sz w:val="24"/>
          <w:szCs w:val="32"/>
        </w:rPr>
      </w:pPr>
      <w:r w:rsidRPr="000C72CE">
        <w:rPr>
          <w:rFonts w:ascii="Arial" w:eastAsiaTheme="majorEastAsia" w:hAnsi="Arial" w:cstheme="majorBidi"/>
          <w:b/>
          <w:sz w:val="24"/>
          <w:szCs w:val="32"/>
        </w:rPr>
        <w:t>Towards implementing exercise into the prostate cancer care pathway: development of a theory and evidence-based intervention to change healthcare professional behaviour</w:t>
      </w:r>
    </w:p>
    <w:p w14:paraId="4AD361D3" w14:textId="77777777" w:rsidR="000C72CE" w:rsidRPr="000C72CE" w:rsidRDefault="000C72CE" w:rsidP="000C72CE">
      <w:pPr>
        <w:spacing w:after="160" w:line="259" w:lineRule="auto"/>
        <w:rPr>
          <w:rFonts w:ascii="Arial" w:hAnsi="Arial" w:cstheme="minorBidi"/>
          <w:sz w:val="2"/>
          <w:szCs w:val="2"/>
        </w:rPr>
      </w:pPr>
    </w:p>
    <w:p w14:paraId="2A5CB0FF" w14:textId="77777777" w:rsidR="000C72CE" w:rsidRPr="000C72CE" w:rsidRDefault="000C72CE" w:rsidP="000C72CE">
      <w:pPr>
        <w:spacing w:after="160" w:line="360" w:lineRule="auto"/>
        <w:rPr>
          <w:rFonts w:ascii="Arial" w:hAnsi="Arial" w:cstheme="minorBidi"/>
          <w:vertAlign w:val="superscript"/>
        </w:rPr>
      </w:pPr>
      <w:r w:rsidRPr="000C72CE">
        <w:rPr>
          <w:rFonts w:ascii="Arial" w:hAnsi="Arial" w:cstheme="minorBidi"/>
        </w:rPr>
        <w:t>Rebecca R Turner</w:t>
      </w:r>
      <w:r w:rsidRPr="000C72CE">
        <w:rPr>
          <w:rFonts w:ascii="Arial" w:hAnsi="Arial" w:cstheme="minorBidi"/>
          <w:vertAlign w:val="superscript"/>
        </w:rPr>
        <w:t>1</w:t>
      </w:r>
      <w:r w:rsidRPr="000C72CE">
        <w:rPr>
          <w:rFonts w:ascii="Arial" w:hAnsi="Arial" w:cstheme="minorBidi"/>
        </w:rPr>
        <w:t>, Madelynne A Arden</w:t>
      </w:r>
      <w:r w:rsidRPr="000C72CE">
        <w:rPr>
          <w:rFonts w:ascii="Arial" w:hAnsi="Arial" w:cstheme="minorBidi"/>
          <w:vertAlign w:val="superscript"/>
        </w:rPr>
        <w:t>2</w:t>
      </w:r>
      <w:r w:rsidRPr="000C72CE">
        <w:rPr>
          <w:rFonts w:ascii="Arial" w:hAnsi="Arial" w:cstheme="minorBidi"/>
          <w:vertAlign w:val="subscript"/>
        </w:rPr>
        <w:t xml:space="preserve">, </w:t>
      </w:r>
      <w:r w:rsidRPr="000C72CE">
        <w:rPr>
          <w:rFonts w:ascii="Arial" w:hAnsi="Arial" w:cstheme="minorBidi"/>
        </w:rPr>
        <w:t>Sophie Reale</w:t>
      </w:r>
      <w:r w:rsidRPr="000C72CE">
        <w:rPr>
          <w:rFonts w:ascii="Arial" w:hAnsi="Arial" w:cstheme="minorBidi"/>
          <w:vertAlign w:val="superscript"/>
        </w:rPr>
        <w:t>1</w:t>
      </w:r>
      <w:r w:rsidRPr="000C72CE">
        <w:rPr>
          <w:rFonts w:ascii="Arial" w:hAnsi="Arial" w:cstheme="minorBidi"/>
        </w:rPr>
        <w:t>, Eileen Sutton</w:t>
      </w:r>
      <w:r w:rsidRPr="000C72CE">
        <w:rPr>
          <w:rFonts w:ascii="Arial" w:hAnsi="Arial" w:cstheme="minorBidi"/>
          <w:vertAlign w:val="superscript"/>
        </w:rPr>
        <w:t>3</w:t>
      </w:r>
      <w:r w:rsidRPr="000C72CE">
        <w:rPr>
          <w:rFonts w:ascii="Arial" w:hAnsi="Arial" w:cstheme="minorBidi"/>
        </w:rPr>
        <w:t>, Stephanie J C Taylor</w:t>
      </w:r>
      <w:r w:rsidRPr="000C72CE">
        <w:rPr>
          <w:rFonts w:ascii="Arial" w:hAnsi="Arial" w:cstheme="minorBidi"/>
          <w:vertAlign w:val="superscript"/>
        </w:rPr>
        <w:t>4</w:t>
      </w:r>
      <w:r w:rsidRPr="000C72CE">
        <w:rPr>
          <w:rFonts w:ascii="Arial" w:hAnsi="Arial" w:cstheme="minorBidi"/>
        </w:rPr>
        <w:t>, Liam Bourke</w:t>
      </w:r>
      <w:r w:rsidRPr="000C72CE">
        <w:rPr>
          <w:rFonts w:ascii="Arial" w:hAnsi="Arial" w:cstheme="minorBidi"/>
          <w:vertAlign w:val="superscript"/>
        </w:rPr>
        <w:t>1</w:t>
      </w:r>
      <w:r w:rsidRPr="000C72CE">
        <w:rPr>
          <w:rFonts w:ascii="Arial" w:hAnsi="Arial" w:cstheme="minorBidi"/>
        </w:rPr>
        <w:t>, Diana M Greenfield</w:t>
      </w:r>
      <w:r w:rsidRPr="000C72CE">
        <w:rPr>
          <w:rFonts w:ascii="Arial" w:hAnsi="Arial" w:cstheme="minorBidi"/>
          <w:vertAlign w:val="superscript"/>
        </w:rPr>
        <w:t>5,8</w:t>
      </w:r>
      <w:r w:rsidRPr="000C72CE">
        <w:rPr>
          <w:rFonts w:ascii="Arial" w:hAnsi="Arial" w:cstheme="minorBidi"/>
        </w:rPr>
        <w:t>, Dylan Morrissey</w:t>
      </w:r>
      <w:r w:rsidRPr="000C72CE">
        <w:rPr>
          <w:rFonts w:ascii="Arial" w:hAnsi="Arial" w:cstheme="minorBidi"/>
          <w:vertAlign w:val="superscript"/>
        </w:rPr>
        <w:t>6,7</w:t>
      </w:r>
      <w:r w:rsidRPr="000C72CE">
        <w:rPr>
          <w:rFonts w:ascii="Arial" w:hAnsi="Arial" w:cstheme="minorBidi"/>
        </w:rPr>
        <w:t>, Janet Brown</w:t>
      </w:r>
      <w:r w:rsidRPr="000C72CE">
        <w:rPr>
          <w:rFonts w:ascii="Arial" w:hAnsi="Arial" w:cstheme="minorBidi"/>
          <w:vertAlign w:val="superscript"/>
        </w:rPr>
        <w:t>8</w:t>
      </w:r>
      <w:r w:rsidRPr="000C72CE">
        <w:rPr>
          <w:rFonts w:ascii="Arial" w:hAnsi="Arial" w:cstheme="minorBidi"/>
        </w:rPr>
        <w:t>, Patrick Doherty</w:t>
      </w:r>
      <w:r w:rsidRPr="000C72CE">
        <w:rPr>
          <w:rFonts w:ascii="Arial" w:hAnsi="Arial" w:cstheme="minorBidi"/>
          <w:vertAlign w:val="superscript"/>
        </w:rPr>
        <w:t>9</w:t>
      </w:r>
      <w:r w:rsidRPr="000C72CE">
        <w:rPr>
          <w:rFonts w:ascii="Arial" w:hAnsi="Arial" w:cstheme="minorBidi"/>
        </w:rPr>
        <w:t>, Derek J Rosario</w:t>
      </w:r>
      <w:r w:rsidRPr="000C72CE">
        <w:rPr>
          <w:rFonts w:ascii="Arial" w:hAnsi="Arial" w:cstheme="minorBidi"/>
          <w:vertAlign w:val="superscript"/>
        </w:rPr>
        <w:t xml:space="preserve">1,10 </w:t>
      </w:r>
      <w:r w:rsidRPr="000C72CE">
        <w:rPr>
          <w:rFonts w:ascii="Arial" w:hAnsi="Arial" w:cstheme="minorBidi"/>
        </w:rPr>
        <w:t>,Liz Steed</w:t>
      </w:r>
      <w:r w:rsidRPr="000C72CE">
        <w:rPr>
          <w:rFonts w:ascii="Arial" w:hAnsi="Arial" w:cstheme="minorBidi"/>
          <w:vertAlign w:val="superscript"/>
        </w:rPr>
        <w:t xml:space="preserve">4 </w:t>
      </w:r>
      <w:r w:rsidRPr="000C72CE">
        <w:rPr>
          <w:rFonts w:ascii="Arial" w:hAnsi="Arial" w:cstheme="minorBidi"/>
        </w:rPr>
        <w:t xml:space="preserve">and on behalf of the STAMINA co-investigators. </w:t>
      </w:r>
    </w:p>
    <w:p w14:paraId="40FEFC35" w14:textId="77777777" w:rsidR="000C72CE" w:rsidRPr="000C72CE" w:rsidRDefault="000C72CE" w:rsidP="000C72CE">
      <w:pPr>
        <w:spacing w:after="160" w:line="360" w:lineRule="auto"/>
        <w:rPr>
          <w:rFonts w:eastAsia="Times New Roman"/>
          <w:color w:val="000000"/>
          <w:lang w:eastAsia="en-GB"/>
        </w:rPr>
      </w:pPr>
      <w:r w:rsidRPr="000C72CE">
        <w:rPr>
          <w:rFonts w:ascii="Arial" w:hAnsi="Arial" w:cstheme="minorBidi"/>
          <w:vertAlign w:val="superscript"/>
        </w:rPr>
        <w:t>1</w:t>
      </w:r>
      <w:r w:rsidRPr="000C72CE">
        <w:rPr>
          <w:rFonts w:ascii="Arial" w:hAnsi="Arial" w:cstheme="minorBidi"/>
        </w:rPr>
        <w:t xml:space="preserve"> </w:t>
      </w:r>
      <w:r w:rsidRPr="000C72CE">
        <w:rPr>
          <w:rFonts w:ascii="Arial" w:hAnsi="Arial" w:cstheme="minorBidi"/>
          <w:lang w:eastAsia="en-GB"/>
        </w:rPr>
        <w:t>Allied Health Professionals, Radiotherapy and Oncology, Sheffield Hallam University, UK</w:t>
      </w:r>
    </w:p>
    <w:p w14:paraId="111E415E" w14:textId="77777777" w:rsidR="000C72CE" w:rsidRPr="000C72CE" w:rsidRDefault="000C72CE" w:rsidP="000C72CE">
      <w:pPr>
        <w:spacing w:after="160" w:line="360" w:lineRule="auto"/>
        <w:rPr>
          <w:rFonts w:ascii="Arial" w:hAnsi="Arial" w:cstheme="minorBidi"/>
        </w:rPr>
      </w:pPr>
      <w:r w:rsidRPr="000C72CE">
        <w:rPr>
          <w:rFonts w:ascii="Arial" w:hAnsi="Arial" w:cstheme="minorBidi"/>
          <w:vertAlign w:val="superscript"/>
        </w:rPr>
        <w:t xml:space="preserve">2 </w:t>
      </w:r>
      <w:r w:rsidRPr="000C72CE">
        <w:rPr>
          <w:rFonts w:ascii="Arial" w:hAnsi="Arial" w:cstheme="minorBidi"/>
        </w:rPr>
        <w:t>Centre for Behavioural Science and Applied Psychology (CeBSAP), Sheffield Hallam University, UK</w:t>
      </w:r>
    </w:p>
    <w:p w14:paraId="50BE6AE5" w14:textId="77777777" w:rsidR="000C72CE" w:rsidRPr="000C72CE" w:rsidRDefault="000C72CE" w:rsidP="000C72CE">
      <w:pPr>
        <w:spacing w:after="160" w:line="360" w:lineRule="auto"/>
        <w:rPr>
          <w:rFonts w:asciiTheme="majorBidi" w:hAnsiTheme="majorBidi" w:cstheme="majorBidi"/>
        </w:rPr>
      </w:pPr>
      <w:r w:rsidRPr="000C72CE">
        <w:rPr>
          <w:rFonts w:ascii="Arial" w:hAnsi="Arial" w:cstheme="minorBidi"/>
          <w:vertAlign w:val="superscript"/>
        </w:rPr>
        <w:t>3</w:t>
      </w:r>
      <w:r w:rsidRPr="000C72CE">
        <w:rPr>
          <w:rFonts w:ascii="Arial" w:hAnsi="Arial" w:cstheme="minorBidi"/>
        </w:rPr>
        <w:t xml:space="preserve"> Population Health Sciences, University of Bristol, UK</w:t>
      </w:r>
      <w:r w:rsidRPr="000C72CE">
        <w:rPr>
          <w:rFonts w:asciiTheme="majorBidi" w:hAnsiTheme="majorBidi" w:cstheme="majorBidi"/>
        </w:rPr>
        <w:t xml:space="preserve"> </w:t>
      </w:r>
    </w:p>
    <w:p w14:paraId="3417B26D" w14:textId="77777777" w:rsidR="000C72CE" w:rsidRPr="000C72CE" w:rsidRDefault="000C72CE" w:rsidP="000C72CE">
      <w:pPr>
        <w:spacing w:after="160" w:line="360" w:lineRule="auto"/>
        <w:rPr>
          <w:rFonts w:ascii="Arial" w:hAnsi="Arial" w:cstheme="minorBidi"/>
        </w:rPr>
      </w:pPr>
      <w:r w:rsidRPr="000C72CE">
        <w:rPr>
          <w:rFonts w:ascii="Arial" w:hAnsi="Arial" w:cstheme="minorBidi"/>
          <w:vertAlign w:val="superscript"/>
        </w:rPr>
        <w:t xml:space="preserve">4 </w:t>
      </w:r>
      <w:r w:rsidRPr="000C72CE">
        <w:rPr>
          <w:rFonts w:ascii="Arial" w:hAnsi="Arial" w:cstheme="minorBidi"/>
        </w:rPr>
        <w:t>Institute for Population Health Sciences, Queen Mary, University of London, UK</w:t>
      </w:r>
    </w:p>
    <w:p w14:paraId="0C24D445" w14:textId="77777777" w:rsidR="000C72CE" w:rsidRPr="000C72CE" w:rsidRDefault="000C72CE" w:rsidP="000C72CE">
      <w:pPr>
        <w:spacing w:after="160" w:line="360" w:lineRule="auto"/>
        <w:rPr>
          <w:rFonts w:ascii="Arial" w:hAnsi="Arial" w:cstheme="minorBidi"/>
          <w:lang w:eastAsia="en-GB"/>
        </w:rPr>
      </w:pPr>
      <w:r w:rsidRPr="000C72CE">
        <w:rPr>
          <w:rFonts w:ascii="Arial" w:hAnsi="Arial" w:cstheme="minorBidi"/>
          <w:vertAlign w:val="superscript"/>
          <w:lang w:eastAsia="en-GB"/>
        </w:rPr>
        <w:t>5</w:t>
      </w:r>
      <w:r w:rsidRPr="000C72CE">
        <w:rPr>
          <w:rFonts w:ascii="Arial" w:hAnsi="Arial" w:cstheme="minorBidi"/>
          <w:lang w:eastAsia="en-GB"/>
        </w:rPr>
        <w:t xml:space="preserve"> Specialised Cancer Services, Sheffield Teaching Hospital NHS Foundation Trust</w:t>
      </w:r>
    </w:p>
    <w:p w14:paraId="7BF01848" w14:textId="77777777" w:rsidR="000C72CE" w:rsidRPr="000C72CE" w:rsidRDefault="000C72CE" w:rsidP="000C72CE">
      <w:pPr>
        <w:spacing w:after="160" w:line="360" w:lineRule="auto"/>
        <w:rPr>
          <w:rFonts w:ascii="Arial" w:hAnsi="Arial" w:cstheme="minorBidi"/>
          <w:lang w:eastAsia="en-GB"/>
        </w:rPr>
      </w:pPr>
      <w:r w:rsidRPr="000C72CE">
        <w:rPr>
          <w:rFonts w:ascii="Arial" w:hAnsi="Arial" w:cstheme="minorBidi"/>
          <w:vertAlign w:val="superscript"/>
          <w:lang w:eastAsia="en-GB"/>
        </w:rPr>
        <w:t>6</w:t>
      </w:r>
      <w:r w:rsidRPr="000C72CE">
        <w:rPr>
          <w:rFonts w:ascii="Arial" w:hAnsi="Arial" w:cstheme="minorBidi"/>
          <w:lang w:eastAsia="en-GB"/>
        </w:rPr>
        <w:t xml:space="preserve"> Sports and Exercise Medicine, William Harvey Research Institute, School of Medicine and Dentistry, Queen Mary, University of London, London UK</w:t>
      </w:r>
    </w:p>
    <w:p w14:paraId="44E06B5B" w14:textId="77777777" w:rsidR="000C72CE" w:rsidRPr="000C72CE" w:rsidRDefault="000C72CE" w:rsidP="000C72CE">
      <w:pPr>
        <w:spacing w:after="160" w:line="360" w:lineRule="auto"/>
        <w:rPr>
          <w:rFonts w:ascii="Arial" w:hAnsi="Arial" w:cstheme="minorBidi"/>
          <w:lang w:eastAsia="en-GB"/>
        </w:rPr>
      </w:pPr>
      <w:r w:rsidRPr="000C72CE">
        <w:rPr>
          <w:rFonts w:ascii="Arial" w:hAnsi="Arial" w:cstheme="minorBidi"/>
          <w:vertAlign w:val="superscript"/>
          <w:lang w:eastAsia="en-GB"/>
        </w:rPr>
        <w:t>7</w:t>
      </w:r>
      <w:r w:rsidRPr="000C72CE">
        <w:rPr>
          <w:rFonts w:ascii="Arial" w:hAnsi="Arial" w:cstheme="minorBidi"/>
          <w:lang w:eastAsia="en-GB"/>
        </w:rPr>
        <w:t xml:space="preserve"> Physiotherapy Department, Barts Health NHS Trust, London, UK</w:t>
      </w:r>
    </w:p>
    <w:p w14:paraId="70835CCB" w14:textId="77777777" w:rsidR="000C72CE" w:rsidRPr="000C72CE" w:rsidRDefault="000C72CE" w:rsidP="000C72CE">
      <w:pPr>
        <w:spacing w:after="160" w:line="360" w:lineRule="auto"/>
        <w:rPr>
          <w:rFonts w:ascii="Arial" w:hAnsi="Arial" w:cstheme="minorBidi"/>
        </w:rPr>
      </w:pPr>
      <w:r w:rsidRPr="000C72CE">
        <w:rPr>
          <w:rFonts w:ascii="Arial" w:hAnsi="Arial" w:cstheme="minorBidi"/>
          <w:vertAlign w:val="superscript"/>
        </w:rPr>
        <w:t xml:space="preserve">8 </w:t>
      </w:r>
      <w:r w:rsidRPr="000C72CE">
        <w:rPr>
          <w:rFonts w:ascii="Arial" w:hAnsi="Arial" w:cstheme="minorBidi"/>
        </w:rPr>
        <w:t>Department of Oncology and Metabolism, University of Sheffield, UK</w:t>
      </w:r>
    </w:p>
    <w:p w14:paraId="7A8BD6AC" w14:textId="77777777" w:rsidR="000C72CE" w:rsidRPr="000C72CE" w:rsidRDefault="000C72CE" w:rsidP="000C72CE">
      <w:pPr>
        <w:spacing w:after="160" w:line="360" w:lineRule="auto"/>
        <w:rPr>
          <w:rFonts w:ascii="Arial" w:hAnsi="Arial" w:cstheme="minorBidi"/>
        </w:rPr>
      </w:pPr>
      <w:r w:rsidRPr="000C72CE">
        <w:rPr>
          <w:rFonts w:ascii="Arial" w:hAnsi="Arial" w:cstheme="minorBidi"/>
          <w:vertAlign w:val="superscript"/>
        </w:rPr>
        <w:t xml:space="preserve">9 </w:t>
      </w:r>
      <w:r w:rsidRPr="000C72CE">
        <w:rPr>
          <w:rFonts w:ascii="Arial" w:hAnsi="Arial" w:cstheme="minorBidi"/>
        </w:rPr>
        <w:t>Department of Health Sciences, University of York, UK</w:t>
      </w:r>
    </w:p>
    <w:p w14:paraId="61B7794C" w14:textId="77777777" w:rsidR="000C72CE" w:rsidRPr="000C72CE" w:rsidRDefault="000C72CE" w:rsidP="000C72CE">
      <w:pPr>
        <w:spacing w:after="160" w:line="360" w:lineRule="auto"/>
        <w:rPr>
          <w:rFonts w:ascii="Arial" w:hAnsi="Arial" w:cstheme="minorBidi"/>
        </w:rPr>
      </w:pPr>
      <w:r w:rsidRPr="000C72CE">
        <w:rPr>
          <w:rFonts w:ascii="Arial" w:hAnsi="Arial" w:cstheme="minorBidi"/>
          <w:vertAlign w:val="superscript"/>
        </w:rPr>
        <w:t>10</w:t>
      </w:r>
      <w:r w:rsidRPr="000C72CE">
        <w:rPr>
          <w:rFonts w:ascii="Arial" w:hAnsi="Arial" w:cstheme="minorBidi"/>
        </w:rPr>
        <w:t>Department of Urology, Sheffield Teaching Hospitals, UK</w:t>
      </w:r>
    </w:p>
    <w:p w14:paraId="56B53957" w14:textId="77777777" w:rsidR="000C72CE" w:rsidRPr="000C72CE" w:rsidRDefault="000C72CE" w:rsidP="000C72CE">
      <w:pPr>
        <w:spacing w:after="160" w:line="360" w:lineRule="auto"/>
        <w:rPr>
          <w:rFonts w:ascii="Arial" w:eastAsiaTheme="majorEastAsia" w:hAnsi="Arial" w:cstheme="majorBidi"/>
          <w:b/>
          <w:bCs/>
        </w:rPr>
      </w:pPr>
      <w:r w:rsidRPr="000C72CE">
        <w:rPr>
          <w:rFonts w:ascii="Arial" w:hAnsi="Arial" w:cstheme="minorBidi"/>
          <w:b/>
          <w:bCs/>
        </w:rPr>
        <w:t>Corresponding author:</w:t>
      </w:r>
      <w:r w:rsidRPr="000C72CE">
        <w:rPr>
          <w:rFonts w:ascii="Arial" w:hAnsi="Arial" w:cstheme="minorBidi"/>
        </w:rPr>
        <w:t xml:space="preserve"> Liz Steed (</w:t>
      </w:r>
      <w:hyperlink r:id="rId7" w:history="1">
        <w:r w:rsidRPr="000C72CE">
          <w:rPr>
            <w:rFonts w:ascii="Arial" w:hAnsi="Arial" w:cstheme="minorBidi"/>
          </w:rPr>
          <w:t>e.a.steed@qmul.ac.uk</w:t>
        </w:r>
      </w:hyperlink>
      <w:r w:rsidRPr="000C72CE">
        <w:rPr>
          <w:rFonts w:ascii="Arial" w:hAnsi="Arial" w:cstheme="minorBidi"/>
        </w:rPr>
        <w:t xml:space="preserve">) </w:t>
      </w:r>
    </w:p>
    <w:p w14:paraId="59999A84" w14:textId="77777777" w:rsidR="000C72CE" w:rsidRDefault="000C72CE" w:rsidP="000C72CE">
      <w:pPr>
        <w:keepNext/>
        <w:spacing w:before="200" w:line="360" w:lineRule="auto"/>
        <w:ind w:left="720"/>
        <w:rPr>
          <w:rFonts w:ascii="Arial" w:hAnsi="Arial" w:cs="Arial"/>
          <w:b/>
          <w:bCs/>
          <w:sz w:val="24"/>
          <w:szCs w:val="24"/>
        </w:rPr>
      </w:pPr>
    </w:p>
    <w:p w14:paraId="569EFEE9" w14:textId="77777777" w:rsidR="000C72CE" w:rsidRDefault="000C72CE" w:rsidP="000C72CE">
      <w:pPr>
        <w:keepNext/>
        <w:spacing w:before="200" w:line="360" w:lineRule="auto"/>
        <w:ind w:left="720"/>
        <w:rPr>
          <w:rFonts w:ascii="Arial" w:hAnsi="Arial" w:cs="Arial"/>
          <w:b/>
          <w:bCs/>
          <w:sz w:val="24"/>
          <w:szCs w:val="24"/>
        </w:rPr>
      </w:pPr>
    </w:p>
    <w:p w14:paraId="00891E4F" w14:textId="05101FC2" w:rsidR="000C72CE" w:rsidRDefault="000C72CE" w:rsidP="008453FD">
      <w:pPr>
        <w:keepNext/>
        <w:spacing w:before="200" w:line="360" w:lineRule="auto"/>
        <w:ind w:left="720"/>
        <w:rPr>
          <w:rFonts w:ascii="Arial" w:hAnsi="Arial" w:cs="Arial"/>
          <w:b/>
          <w:bCs/>
          <w:sz w:val="24"/>
          <w:szCs w:val="24"/>
        </w:rPr>
        <w:sectPr w:rsidR="000C72CE" w:rsidSect="000C72CE">
          <w:footerReference w:type="default" r:id="rId8"/>
          <w:pgSz w:w="11906" w:h="16838"/>
          <w:pgMar w:top="1440" w:right="1440" w:bottom="1440" w:left="1440" w:header="708" w:footer="708" w:gutter="0"/>
          <w:cols w:space="708"/>
          <w:docGrid w:linePitch="360"/>
        </w:sectPr>
      </w:pPr>
    </w:p>
    <w:p w14:paraId="6A0AFD74" w14:textId="77777777" w:rsidR="000E74CA" w:rsidRPr="000E74CA" w:rsidRDefault="000E74CA" w:rsidP="000E74CA">
      <w:pPr>
        <w:keepNext/>
        <w:spacing w:before="200" w:line="360" w:lineRule="auto"/>
        <w:ind w:left="720"/>
        <w:rPr>
          <w:rFonts w:ascii="Arial" w:hAnsi="Arial" w:cs="Arial"/>
          <w:b/>
          <w:bCs/>
          <w:sz w:val="24"/>
          <w:szCs w:val="24"/>
        </w:rPr>
      </w:pPr>
      <w:bookmarkStart w:id="0" w:name="_Ref40878894"/>
      <w:r w:rsidRPr="000E74CA">
        <w:rPr>
          <w:rFonts w:ascii="Arial" w:hAnsi="Arial" w:cs="Arial"/>
          <w:b/>
          <w:bCs/>
          <w:sz w:val="24"/>
          <w:szCs w:val="24"/>
        </w:rPr>
        <w:lastRenderedPageBreak/>
        <w:t xml:space="preserve">Additional file </w:t>
      </w:r>
      <w:bookmarkEnd w:id="0"/>
      <w:r w:rsidRPr="000E74CA">
        <w:rPr>
          <w:rFonts w:ascii="Arial" w:hAnsi="Arial" w:cs="Arial"/>
          <w:b/>
          <w:bCs/>
          <w:sz w:val="24"/>
          <w:szCs w:val="24"/>
        </w:rPr>
        <w:t xml:space="preserve">3: A summary of feedback on the healthcare professional intervention following the rehearsal delivery </w:t>
      </w:r>
    </w:p>
    <w:tbl>
      <w:tblPr>
        <w:tblW w:w="5000" w:type="pct"/>
        <w:tblCellMar>
          <w:left w:w="0" w:type="dxa"/>
          <w:right w:w="0" w:type="dxa"/>
        </w:tblCellMar>
        <w:tblLook w:val="04A0" w:firstRow="1" w:lastRow="0" w:firstColumn="1" w:lastColumn="0" w:noHBand="0" w:noVBand="1"/>
      </w:tblPr>
      <w:tblGrid>
        <w:gridCol w:w="1522"/>
        <w:gridCol w:w="2958"/>
        <w:gridCol w:w="4112"/>
        <w:gridCol w:w="1887"/>
        <w:gridCol w:w="3459"/>
      </w:tblGrid>
      <w:tr w:rsidR="008453FD" w14:paraId="011B2B5E" w14:textId="77777777" w:rsidTr="008453FD">
        <w:tc>
          <w:tcPr>
            <w:tcW w:w="546" w:type="pct"/>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hideMark/>
          </w:tcPr>
          <w:p w14:paraId="43BEB471" w14:textId="77777777" w:rsidR="008453FD" w:rsidRDefault="008453FD">
            <w:pPr>
              <w:rPr>
                <w:rFonts w:ascii="Arial" w:hAnsi="Arial" w:cs="Arial"/>
                <w:b/>
                <w:bCs/>
                <w:sz w:val="24"/>
                <w:szCs w:val="24"/>
                <w:lang w:eastAsia="ja-JP"/>
              </w:rPr>
            </w:pPr>
            <w:r>
              <w:rPr>
                <w:rFonts w:ascii="Arial" w:hAnsi="Arial" w:cs="Arial"/>
                <w:b/>
                <w:bCs/>
                <w:sz w:val="24"/>
                <w:szCs w:val="24"/>
                <w:lang w:eastAsia="ja-JP"/>
              </w:rPr>
              <w:t>Key theme</w:t>
            </w:r>
          </w:p>
        </w:tc>
        <w:tc>
          <w:tcPr>
            <w:tcW w:w="1061" w:type="pct"/>
            <w:tcBorders>
              <w:top w:val="single" w:sz="8" w:space="0" w:color="auto"/>
              <w:left w:val="nil"/>
              <w:bottom w:val="single" w:sz="8" w:space="0" w:color="auto"/>
              <w:right w:val="single" w:sz="8" w:space="0" w:color="auto"/>
            </w:tcBorders>
            <w:tcMar>
              <w:top w:w="0" w:type="dxa"/>
              <w:left w:w="108" w:type="dxa"/>
              <w:bottom w:w="0" w:type="dxa"/>
              <w:right w:w="108" w:type="dxa"/>
            </w:tcMar>
            <w:hideMark/>
          </w:tcPr>
          <w:p w14:paraId="061D2CAB" w14:textId="77777777" w:rsidR="008453FD" w:rsidRDefault="008453FD">
            <w:pPr>
              <w:rPr>
                <w:rFonts w:ascii="Arial" w:hAnsi="Arial" w:cs="Arial"/>
                <w:b/>
                <w:bCs/>
                <w:sz w:val="24"/>
                <w:szCs w:val="24"/>
                <w:lang w:eastAsia="ja-JP"/>
              </w:rPr>
            </w:pPr>
            <w:r>
              <w:rPr>
                <w:rFonts w:ascii="Arial" w:hAnsi="Arial" w:cs="Arial"/>
                <w:b/>
                <w:bCs/>
                <w:sz w:val="24"/>
                <w:szCs w:val="24"/>
                <w:lang w:eastAsia="ja-JP"/>
              </w:rPr>
              <w:t>Feedback</w:t>
            </w:r>
          </w:p>
        </w:tc>
        <w:tc>
          <w:tcPr>
            <w:tcW w:w="1475" w:type="pct"/>
            <w:tcBorders>
              <w:top w:val="single" w:sz="8" w:space="0" w:color="auto"/>
              <w:left w:val="nil"/>
              <w:bottom w:val="single" w:sz="8" w:space="0" w:color="auto"/>
              <w:right w:val="single" w:sz="8" w:space="0" w:color="auto"/>
            </w:tcBorders>
            <w:tcMar>
              <w:top w:w="0" w:type="dxa"/>
              <w:left w:w="108" w:type="dxa"/>
              <w:bottom w:w="0" w:type="dxa"/>
              <w:right w:w="108" w:type="dxa"/>
            </w:tcMar>
            <w:hideMark/>
          </w:tcPr>
          <w:p w14:paraId="284758E4" w14:textId="77777777" w:rsidR="008453FD" w:rsidRDefault="008453FD">
            <w:pPr>
              <w:rPr>
                <w:rFonts w:ascii="Arial" w:hAnsi="Arial" w:cs="Arial"/>
                <w:b/>
                <w:bCs/>
                <w:sz w:val="24"/>
                <w:szCs w:val="24"/>
                <w:lang w:eastAsia="ja-JP"/>
              </w:rPr>
            </w:pPr>
            <w:r>
              <w:rPr>
                <w:rFonts w:ascii="Arial" w:hAnsi="Arial" w:cs="Arial"/>
                <w:b/>
                <w:bCs/>
                <w:sz w:val="24"/>
                <w:szCs w:val="24"/>
                <w:lang w:eastAsia="ja-JP"/>
              </w:rPr>
              <w:t>Example quote</w:t>
            </w:r>
          </w:p>
        </w:tc>
        <w:tc>
          <w:tcPr>
            <w:tcW w:w="677" w:type="pct"/>
            <w:tcBorders>
              <w:top w:val="single" w:sz="8" w:space="0" w:color="auto"/>
              <w:left w:val="nil"/>
              <w:bottom w:val="single" w:sz="8" w:space="0" w:color="auto"/>
              <w:right w:val="single" w:sz="8" w:space="0" w:color="auto"/>
            </w:tcBorders>
            <w:tcMar>
              <w:top w:w="0" w:type="dxa"/>
              <w:left w:w="108" w:type="dxa"/>
              <w:bottom w:w="0" w:type="dxa"/>
              <w:right w:w="108" w:type="dxa"/>
            </w:tcMar>
            <w:hideMark/>
          </w:tcPr>
          <w:p w14:paraId="5429E237" w14:textId="77777777" w:rsidR="008453FD" w:rsidRDefault="008453FD">
            <w:pPr>
              <w:rPr>
                <w:rFonts w:ascii="Arial" w:hAnsi="Arial" w:cs="Arial"/>
                <w:b/>
                <w:bCs/>
                <w:sz w:val="24"/>
                <w:szCs w:val="24"/>
                <w:lang w:eastAsia="ja-JP"/>
              </w:rPr>
            </w:pPr>
            <w:r>
              <w:rPr>
                <w:rFonts w:ascii="Arial" w:hAnsi="Arial" w:cs="Arial"/>
                <w:b/>
                <w:bCs/>
                <w:sz w:val="24"/>
                <w:szCs w:val="24"/>
                <w:lang w:eastAsia="ja-JP"/>
              </w:rPr>
              <w:t>Is a change necessary?</w:t>
            </w:r>
          </w:p>
          <w:p w14:paraId="65D84B71" w14:textId="77777777" w:rsidR="008453FD" w:rsidRDefault="008453FD">
            <w:pPr>
              <w:rPr>
                <w:rFonts w:ascii="Arial" w:hAnsi="Arial" w:cs="Arial"/>
                <w:b/>
                <w:bCs/>
                <w:sz w:val="24"/>
                <w:szCs w:val="24"/>
                <w:lang w:eastAsia="ja-JP"/>
              </w:rPr>
            </w:pPr>
            <w:r>
              <w:rPr>
                <w:rFonts w:ascii="Arial" w:hAnsi="Arial" w:cs="Arial"/>
                <w:b/>
                <w:bCs/>
                <w:sz w:val="24"/>
                <w:szCs w:val="24"/>
                <w:lang w:eastAsia="ja-JP"/>
              </w:rPr>
              <w:t>Does it meet the APEASE criteria?</w:t>
            </w:r>
          </w:p>
        </w:tc>
        <w:tc>
          <w:tcPr>
            <w:tcW w:w="1241" w:type="pct"/>
            <w:tcBorders>
              <w:top w:val="single" w:sz="8" w:space="0" w:color="auto"/>
              <w:left w:val="nil"/>
              <w:bottom w:val="single" w:sz="8" w:space="0" w:color="auto"/>
              <w:right w:val="single" w:sz="8" w:space="0" w:color="auto"/>
            </w:tcBorders>
            <w:tcMar>
              <w:top w:w="0" w:type="dxa"/>
              <w:left w:w="108" w:type="dxa"/>
              <w:bottom w:w="0" w:type="dxa"/>
              <w:right w:w="108" w:type="dxa"/>
            </w:tcMar>
            <w:hideMark/>
          </w:tcPr>
          <w:p w14:paraId="35D32ABB" w14:textId="77777777" w:rsidR="008453FD" w:rsidRDefault="008453FD">
            <w:pPr>
              <w:rPr>
                <w:rFonts w:ascii="Arial" w:hAnsi="Arial" w:cs="Arial"/>
                <w:b/>
                <w:bCs/>
                <w:sz w:val="24"/>
                <w:szCs w:val="24"/>
                <w:lang w:eastAsia="ja-JP"/>
              </w:rPr>
            </w:pPr>
            <w:r>
              <w:rPr>
                <w:rFonts w:ascii="Arial" w:hAnsi="Arial" w:cs="Arial"/>
                <w:b/>
                <w:bCs/>
                <w:sz w:val="24"/>
                <w:szCs w:val="24"/>
                <w:lang w:eastAsia="ja-JP"/>
              </w:rPr>
              <w:t xml:space="preserve">Impact upon intervention </w:t>
            </w:r>
          </w:p>
        </w:tc>
      </w:tr>
      <w:tr w:rsidR="008453FD" w14:paraId="5A48D5D1" w14:textId="77777777" w:rsidTr="008453FD">
        <w:tc>
          <w:tcPr>
            <w:tcW w:w="546" w:type="pct"/>
            <w:vMerge w:val="restart"/>
            <w:tcBorders>
              <w:top w:val="nil"/>
              <w:left w:val="single" w:sz="8" w:space="0" w:color="auto"/>
              <w:bottom w:val="single" w:sz="8" w:space="0" w:color="auto"/>
              <w:right w:val="single" w:sz="8" w:space="0" w:color="auto"/>
            </w:tcBorders>
            <w:tcMar>
              <w:top w:w="0" w:type="dxa"/>
              <w:left w:w="108" w:type="dxa"/>
              <w:bottom w:w="0" w:type="dxa"/>
              <w:right w:w="108" w:type="dxa"/>
            </w:tcMar>
          </w:tcPr>
          <w:p w14:paraId="0A5B6A0D" w14:textId="77777777" w:rsidR="008453FD" w:rsidRDefault="008453FD">
            <w:pPr>
              <w:rPr>
                <w:rFonts w:ascii="Arial" w:hAnsi="Arial" w:cs="Arial"/>
                <w:color w:val="000000"/>
                <w:sz w:val="24"/>
                <w:szCs w:val="24"/>
                <w:lang w:eastAsia="ja-JP"/>
              </w:rPr>
            </w:pPr>
            <w:r>
              <w:rPr>
                <w:rFonts w:ascii="Arial" w:hAnsi="Arial" w:cs="Arial"/>
                <w:color w:val="000000"/>
                <w:sz w:val="24"/>
                <w:szCs w:val="24"/>
                <w:lang w:eastAsia="ja-JP"/>
              </w:rPr>
              <w:t>Content of the training package</w:t>
            </w:r>
          </w:p>
          <w:p w14:paraId="70003157" w14:textId="77777777" w:rsidR="008453FD" w:rsidRDefault="008453FD">
            <w:pPr>
              <w:rPr>
                <w:rFonts w:ascii="Arial" w:hAnsi="Arial" w:cs="Arial"/>
                <w:color w:val="000000"/>
                <w:sz w:val="24"/>
                <w:szCs w:val="24"/>
                <w:lang w:eastAsia="ja-JP"/>
              </w:rPr>
            </w:pPr>
          </w:p>
          <w:p w14:paraId="5271B9EC" w14:textId="77777777" w:rsidR="008453FD" w:rsidRDefault="008453FD">
            <w:pPr>
              <w:rPr>
                <w:rFonts w:ascii="Arial" w:hAnsi="Arial" w:cs="Arial"/>
                <w:color w:val="000000"/>
                <w:sz w:val="24"/>
                <w:szCs w:val="24"/>
                <w:lang w:eastAsia="ja-JP"/>
              </w:rPr>
            </w:pPr>
          </w:p>
          <w:p w14:paraId="6FF676C3" w14:textId="77777777" w:rsidR="008453FD" w:rsidRDefault="008453FD">
            <w:pPr>
              <w:rPr>
                <w:rFonts w:ascii="Arial" w:hAnsi="Arial" w:cs="Arial"/>
                <w:color w:val="000000"/>
                <w:sz w:val="24"/>
                <w:szCs w:val="24"/>
                <w:lang w:eastAsia="ja-JP"/>
              </w:rPr>
            </w:pPr>
          </w:p>
        </w:tc>
        <w:tc>
          <w:tcPr>
            <w:tcW w:w="1061" w:type="pct"/>
            <w:tcBorders>
              <w:top w:val="nil"/>
              <w:left w:val="nil"/>
              <w:bottom w:val="single" w:sz="8" w:space="0" w:color="auto"/>
              <w:right w:val="single" w:sz="8" w:space="0" w:color="auto"/>
            </w:tcBorders>
            <w:tcMar>
              <w:top w:w="0" w:type="dxa"/>
              <w:left w:w="108" w:type="dxa"/>
              <w:bottom w:w="0" w:type="dxa"/>
              <w:right w:w="108" w:type="dxa"/>
            </w:tcMar>
          </w:tcPr>
          <w:p w14:paraId="5D37037C" w14:textId="77777777" w:rsidR="008453FD" w:rsidRDefault="008453FD">
            <w:pPr>
              <w:rPr>
                <w:rFonts w:ascii="Arial" w:hAnsi="Arial" w:cs="Arial"/>
                <w:color w:val="000000"/>
                <w:sz w:val="24"/>
                <w:szCs w:val="24"/>
                <w:lang w:eastAsia="ja-JP"/>
              </w:rPr>
            </w:pPr>
            <w:r>
              <w:rPr>
                <w:rFonts w:ascii="Arial" w:hAnsi="Arial" w:cs="Arial"/>
                <w:color w:val="000000"/>
                <w:sz w:val="24"/>
                <w:szCs w:val="24"/>
                <w:lang w:eastAsia="ja-JP"/>
              </w:rPr>
              <w:t>1. Including patient case studies in the training was suggested.</w:t>
            </w:r>
          </w:p>
          <w:p w14:paraId="228D9493" w14:textId="77777777" w:rsidR="008453FD" w:rsidRDefault="008453FD">
            <w:pPr>
              <w:rPr>
                <w:rFonts w:ascii="Arial" w:hAnsi="Arial" w:cs="Arial"/>
                <w:color w:val="000000"/>
                <w:sz w:val="24"/>
                <w:szCs w:val="24"/>
                <w:lang w:eastAsia="ja-JP"/>
              </w:rPr>
            </w:pPr>
          </w:p>
        </w:tc>
        <w:tc>
          <w:tcPr>
            <w:tcW w:w="1475" w:type="pct"/>
            <w:tcBorders>
              <w:top w:val="nil"/>
              <w:left w:val="nil"/>
              <w:bottom w:val="single" w:sz="8" w:space="0" w:color="auto"/>
              <w:right w:val="single" w:sz="8" w:space="0" w:color="auto"/>
            </w:tcBorders>
            <w:tcMar>
              <w:top w:w="0" w:type="dxa"/>
              <w:left w:w="108" w:type="dxa"/>
              <w:bottom w:w="0" w:type="dxa"/>
              <w:right w:w="108" w:type="dxa"/>
            </w:tcMar>
          </w:tcPr>
          <w:p w14:paraId="2C898DCA" w14:textId="77777777" w:rsidR="008453FD" w:rsidRDefault="008453FD">
            <w:pPr>
              <w:rPr>
                <w:rFonts w:ascii="Arial" w:hAnsi="Arial" w:cs="Arial"/>
                <w:b/>
                <w:bCs/>
                <w:i/>
                <w:iCs/>
                <w:color w:val="000000"/>
                <w:sz w:val="24"/>
                <w:szCs w:val="24"/>
                <w:lang w:eastAsia="ja-JP"/>
              </w:rPr>
            </w:pPr>
            <w:r>
              <w:rPr>
                <w:rFonts w:ascii="Arial" w:hAnsi="Arial" w:cs="Arial"/>
                <w:i/>
                <w:iCs/>
                <w:color w:val="000000"/>
                <w:sz w:val="24"/>
                <w:szCs w:val="24"/>
                <w:lang w:eastAsia="ja-JP"/>
              </w:rPr>
              <w:t xml:space="preserve">"You want us to tell clinicians, patients, if we can picture what we’re prescribing in talking to them, then we’re much more animated, much more bought into it." </w:t>
            </w:r>
            <w:r>
              <w:rPr>
                <w:rFonts w:ascii="Arial" w:hAnsi="Arial" w:cs="Arial"/>
                <w:b/>
                <w:bCs/>
                <w:color w:val="000000"/>
                <w:sz w:val="24"/>
                <w:szCs w:val="24"/>
                <w:lang w:eastAsia="ja-JP"/>
              </w:rPr>
              <w:t>FG3</w:t>
            </w:r>
          </w:p>
          <w:p w14:paraId="341155AD" w14:textId="77777777" w:rsidR="008453FD" w:rsidRDefault="008453FD">
            <w:pPr>
              <w:rPr>
                <w:rFonts w:ascii="Arial" w:hAnsi="Arial" w:cs="Arial"/>
                <w:color w:val="000000"/>
                <w:sz w:val="24"/>
                <w:szCs w:val="24"/>
                <w:lang w:eastAsia="ja-JP"/>
              </w:rPr>
            </w:pPr>
          </w:p>
        </w:tc>
        <w:tc>
          <w:tcPr>
            <w:tcW w:w="677" w:type="pct"/>
            <w:tcBorders>
              <w:top w:val="nil"/>
              <w:left w:val="nil"/>
              <w:bottom w:val="single" w:sz="8" w:space="0" w:color="auto"/>
              <w:right w:val="single" w:sz="8" w:space="0" w:color="auto"/>
            </w:tcBorders>
            <w:tcMar>
              <w:top w:w="0" w:type="dxa"/>
              <w:left w:w="108" w:type="dxa"/>
              <w:bottom w:w="0" w:type="dxa"/>
              <w:right w:w="108" w:type="dxa"/>
            </w:tcMar>
            <w:hideMark/>
          </w:tcPr>
          <w:p w14:paraId="181098C7" w14:textId="77777777" w:rsidR="008453FD" w:rsidRDefault="008453FD">
            <w:pPr>
              <w:rPr>
                <w:rFonts w:ascii="Arial" w:hAnsi="Arial" w:cs="Arial"/>
                <w:color w:val="000000"/>
                <w:sz w:val="24"/>
                <w:szCs w:val="24"/>
                <w:lang w:eastAsia="ja-JP"/>
              </w:rPr>
            </w:pPr>
            <w:r>
              <w:rPr>
                <w:rFonts w:ascii="Arial" w:hAnsi="Arial" w:cs="Arial"/>
                <w:color w:val="000000"/>
                <w:sz w:val="24"/>
                <w:szCs w:val="24"/>
                <w:lang w:eastAsia="ja-JP"/>
              </w:rPr>
              <w:t>Yes, meets APEASE criteria.</w:t>
            </w:r>
          </w:p>
        </w:tc>
        <w:tc>
          <w:tcPr>
            <w:tcW w:w="1241" w:type="pct"/>
            <w:tcBorders>
              <w:top w:val="nil"/>
              <w:left w:val="nil"/>
              <w:bottom w:val="single" w:sz="8" w:space="0" w:color="auto"/>
              <w:right w:val="single" w:sz="8" w:space="0" w:color="auto"/>
            </w:tcBorders>
            <w:tcMar>
              <w:top w:w="0" w:type="dxa"/>
              <w:left w:w="108" w:type="dxa"/>
              <w:bottom w:w="0" w:type="dxa"/>
              <w:right w:w="108" w:type="dxa"/>
            </w:tcMar>
            <w:hideMark/>
          </w:tcPr>
          <w:p w14:paraId="4FC1D658" w14:textId="77777777" w:rsidR="008453FD" w:rsidRDefault="008453FD">
            <w:pPr>
              <w:rPr>
                <w:rFonts w:ascii="Arial" w:hAnsi="Arial" w:cs="Arial"/>
                <w:color w:val="000000"/>
                <w:sz w:val="24"/>
                <w:szCs w:val="24"/>
                <w:lang w:eastAsia="ja-JP"/>
              </w:rPr>
            </w:pPr>
            <w:r>
              <w:rPr>
                <w:rFonts w:ascii="Arial" w:hAnsi="Arial" w:cs="Arial"/>
                <w:color w:val="000000"/>
                <w:sz w:val="24"/>
                <w:szCs w:val="24"/>
                <w:lang w:eastAsia="ja-JP"/>
              </w:rPr>
              <w:t>Patient case studies and scenarios will be used throughout the training session.</w:t>
            </w:r>
          </w:p>
        </w:tc>
      </w:tr>
      <w:tr w:rsidR="008453FD" w14:paraId="49FA1858" w14:textId="77777777" w:rsidTr="008453FD">
        <w:tc>
          <w:tcPr>
            <w:tcW w:w="0" w:type="auto"/>
            <w:vMerge/>
            <w:tcBorders>
              <w:top w:val="nil"/>
              <w:left w:val="single" w:sz="8" w:space="0" w:color="auto"/>
              <w:bottom w:val="single" w:sz="8" w:space="0" w:color="auto"/>
              <w:right w:val="single" w:sz="8" w:space="0" w:color="auto"/>
            </w:tcBorders>
            <w:vAlign w:val="center"/>
            <w:hideMark/>
          </w:tcPr>
          <w:p w14:paraId="373FA9B0" w14:textId="77777777" w:rsidR="008453FD" w:rsidRDefault="008453FD">
            <w:pPr>
              <w:rPr>
                <w:rFonts w:ascii="Arial" w:hAnsi="Arial" w:cs="Arial"/>
                <w:color w:val="000000"/>
                <w:sz w:val="24"/>
                <w:szCs w:val="24"/>
                <w:lang w:eastAsia="ja-JP"/>
              </w:rPr>
            </w:pPr>
          </w:p>
        </w:tc>
        <w:tc>
          <w:tcPr>
            <w:tcW w:w="1061" w:type="pct"/>
            <w:tcBorders>
              <w:top w:val="nil"/>
              <w:left w:val="nil"/>
              <w:bottom w:val="single" w:sz="8" w:space="0" w:color="auto"/>
              <w:right w:val="single" w:sz="8" w:space="0" w:color="auto"/>
            </w:tcBorders>
            <w:tcMar>
              <w:top w:w="0" w:type="dxa"/>
              <w:left w:w="108" w:type="dxa"/>
              <w:bottom w:w="0" w:type="dxa"/>
              <w:right w:w="108" w:type="dxa"/>
            </w:tcMar>
            <w:hideMark/>
          </w:tcPr>
          <w:p w14:paraId="205D9AF5" w14:textId="77777777" w:rsidR="008453FD" w:rsidRDefault="008453FD">
            <w:pPr>
              <w:rPr>
                <w:rFonts w:ascii="Arial" w:hAnsi="Arial" w:cs="Arial"/>
                <w:color w:val="000000"/>
                <w:sz w:val="24"/>
                <w:szCs w:val="24"/>
                <w:lang w:eastAsia="ja-JP"/>
              </w:rPr>
            </w:pPr>
            <w:r>
              <w:rPr>
                <w:rFonts w:ascii="Arial" w:hAnsi="Arial" w:cs="Arial"/>
                <w:color w:val="000000"/>
                <w:sz w:val="24"/>
                <w:szCs w:val="24"/>
                <w:lang w:eastAsia="ja-JP"/>
              </w:rPr>
              <w:t xml:space="preserve">2. To include more task-orientated activities  </w:t>
            </w:r>
          </w:p>
        </w:tc>
        <w:tc>
          <w:tcPr>
            <w:tcW w:w="1475" w:type="pct"/>
            <w:tcBorders>
              <w:top w:val="nil"/>
              <w:left w:val="nil"/>
              <w:bottom w:val="single" w:sz="8" w:space="0" w:color="auto"/>
              <w:right w:val="single" w:sz="8" w:space="0" w:color="auto"/>
            </w:tcBorders>
            <w:tcMar>
              <w:top w:w="0" w:type="dxa"/>
              <w:left w:w="108" w:type="dxa"/>
              <w:bottom w:w="0" w:type="dxa"/>
              <w:right w:w="108" w:type="dxa"/>
            </w:tcMar>
            <w:hideMark/>
          </w:tcPr>
          <w:p w14:paraId="420E7090" w14:textId="77777777" w:rsidR="008453FD" w:rsidRDefault="008453FD">
            <w:pPr>
              <w:rPr>
                <w:rFonts w:ascii="Arial" w:hAnsi="Arial" w:cs="Arial"/>
                <w:color w:val="000000"/>
                <w:sz w:val="24"/>
                <w:szCs w:val="24"/>
                <w:lang w:eastAsia="ja-JP"/>
              </w:rPr>
            </w:pPr>
            <w:r>
              <w:rPr>
                <w:rFonts w:ascii="Arial" w:hAnsi="Arial" w:cs="Arial"/>
                <w:i/>
                <w:iCs/>
                <w:color w:val="000000"/>
                <w:sz w:val="24"/>
                <w:szCs w:val="24"/>
                <w:lang w:eastAsia="ja-JP"/>
              </w:rPr>
              <w:t xml:space="preserve">"So, we’re task orientated, but if we don’t have an outlet or an outcome that improves it, we tend to ignore it, which is probably a bad thing.” </w:t>
            </w:r>
            <w:r>
              <w:rPr>
                <w:rFonts w:ascii="Arial" w:hAnsi="Arial" w:cs="Arial"/>
                <w:b/>
                <w:bCs/>
                <w:color w:val="000000"/>
                <w:sz w:val="24"/>
                <w:szCs w:val="24"/>
                <w:lang w:eastAsia="ja-JP"/>
              </w:rPr>
              <w:t>FG3</w:t>
            </w:r>
          </w:p>
        </w:tc>
        <w:tc>
          <w:tcPr>
            <w:tcW w:w="677" w:type="pct"/>
            <w:tcBorders>
              <w:top w:val="nil"/>
              <w:left w:val="nil"/>
              <w:bottom w:val="single" w:sz="8" w:space="0" w:color="auto"/>
              <w:right w:val="single" w:sz="8" w:space="0" w:color="auto"/>
            </w:tcBorders>
            <w:tcMar>
              <w:top w:w="0" w:type="dxa"/>
              <w:left w:w="108" w:type="dxa"/>
              <w:bottom w:w="0" w:type="dxa"/>
              <w:right w:w="108" w:type="dxa"/>
            </w:tcMar>
            <w:hideMark/>
          </w:tcPr>
          <w:p w14:paraId="3F0109B2" w14:textId="77777777" w:rsidR="008453FD" w:rsidRDefault="008453FD">
            <w:pPr>
              <w:rPr>
                <w:rFonts w:ascii="Arial" w:hAnsi="Arial" w:cs="Arial"/>
                <w:color w:val="000000"/>
                <w:sz w:val="24"/>
                <w:szCs w:val="24"/>
                <w:lang w:eastAsia="ja-JP"/>
              </w:rPr>
            </w:pPr>
            <w:r>
              <w:rPr>
                <w:rFonts w:ascii="Arial" w:hAnsi="Arial" w:cs="Arial"/>
                <w:color w:val="000000"/>
                <w:sz w:val="24"/>
                <w:szCs w:val="24"/>
                <w:lang w:eastAsia="ja-JP"/>
              </w:rPr>
              <w:t>Yes, meets APEASE criteria.</w:t>
            </w:r>
          </w:p>
        </w:tc>
        <w:tc>
          <w:tcPr>
            <w:tcW w:w="1241" w:type="pct"/>
            <w:tcBorders>
              <w:top w:val="nil"/>
              <w:left w:val="nil"/>
              <w:bottom w:val="single" w:sz="8" w:space="0" w:color="auto"/>
              <w:right w:val="single" w:sz="8" w:space="0" w:color="auto"/>
            </w:tcBorders>
            <w:tcMar>
              <w:top w:w="0" w:type="dxa"/>
              <w:left w:w="108" w:type="dxa"/>
              <w:bottom w:w="0" w:type="dxa"/>
              <w:right w:w="108" w:type="dxa"/>
            </w:tcMar>
            <w:hideMark/>
          </w:tcPr>
          <w:p w14:paraId="25DDD326" w14:textId="77777777" w:rsidR="008453FD" w:rsidRDefault="008453FD">
            <w:pPr>
              <w:rPr>
                <w:rFonts w:ascii="Arial" w:hAnsi="Arial" w:cs="Arial"/>
                <w:color w:val="000000"/>
                <w:sz w:val="24"/>
                <w:szCs w:val="24"/>
                <w:lang w:eastAsia="ja-JP"/>
              </w:rPr>
            </w:pPr>
            <w:r>
              <w:rPr>
                <w:rFonts w:ascii="Arial" w:hAnsi="Arial" w:cs="Arial"/>
                <w:color w:val="000000"/>
                <w:sz w:val="24"/>
                <w:szCs w:val="24"/>
                <w:lang w:eastAsia="ja-JP"/>
              </w:rPr>
              <w:t xml:space="preserve">The inclusion of task-orientated activities will be used throughout the training session. </w:t>
            </w:r>
          </w:p>
        </w:tc>
      </w:tr>
      <w:tr w:rsidR="008453FD" w14:paraId="26F3FE09" w14:textId="77777777" w:rsidTr="008453FD">
        <w:tc>
          <w:tcPr>
            <w:tcW w:w="0" w:type="auto"/>
            <w:vMerge/>
            <w:tcBorders>
              <w:top w:val="nil"/>
              <w:left w:val="single" w:sz="8" w:space="0" w:color="auto"/>
              <w:bottom w:val="single" w:sz="8" w:space="0" w:color="auto"/>
              <w:right w:val="single" w:sz="8" w:space="0" w:color="auto"/>
            </w:tcBorders>
            <w:vAlign w:val="center"/>
            <w:hideMark/>
          </w:tcPr>
          <w:p w14:paraId="1A84C302" w14:textId="77777777" w:rsidR="008453FD" w:rsidRDefault="008453FD">
            <w:pPr>
              <w:rPr>
                <w:rFonts w:ascii="Arial" w:hAnsi="Arial" w:cs="Arial"/>
                <w:color w:val="000000"/>
                <w:sz w:val="24"/>
                <w:szCs w:val="24"/>
                <w:lang w:eastAsia="ja-JP"/>
              </w:rPr>
            </w:pPr>
          </w:p>
        </w:tc>
        <w:tc>
          <w:tcPr>
            <w:tcW w:w="1061" w:type="pct"/>
            <w:tcBorders>
              <w:top w:val="nil"/>
              <w:left w:val="nil"/>
              <w:bottom w:val="single" w:sz="8" w:space="0" w:color="auto"/>
              <w:right w:val="single" w:sz="8" w:space="0" w:color="auto"/>
            </w:tcBorders>
            <w:tcMar>
              <w:top w:w="0" w:type="dxa"/>
              <w:left w:w="108" w:type="dxa"/>
              <w:bottom w:w="0" w:type="dxa"/>
              <w:right w:w="108" w:type="dxa"/>
            </w:tcMar>
            <w:hideMark/>
          </w:tcPr>
          <w:p w14:paraId="7239F1CD" w14:textId="77777777" w:rsidR="008453FD" w:rsidRDefault="008453FD">
            <w:pPr>
              <w:rPr>
                <w:rFonts w:ascii="Arial" w:hAnsi="Arial" w:cs="Arial"/>
                <w:color w:val="000000"/>
                <w:sz w:val="24"/>
                <w:szCs w:val="24"/>
                <w:lang w:eastAsia="ja-JP"/>
              </w:rPr>
            </w:pPr>
            <w:r>
              <w:rPr>
                <w:rFonts w:ascii="Arial" w:hAnsi="Arial" w:cs="Arial"/>
                <w:color w:val="000000"/>
                <w:sz w:val="24"/>
                <w:szCs w:val="24"/>
                <w:lang w:eastAsia="ja-JP"/>
              </w:rPr>
              <w:t xml:space="preserve">3. A simple message needs to be conveyed to the HCPs about what is expected of them and what is required for the study. </w:t>
            </w:r>
          </w:p>
        </w:tc>
        <w:tc>
          <w:tcPr>
            <w:tcW w:w="1475" w:type="pct"/>
            <w:tcBorders>
              <w:top w:val="nil"/>
              <w:left w:val="nil"/>
              <w:bottom w:val="single" w:sz="8" w:space="0" w:color="auto"/>
              <w:right w:val="single" w:sz="8" w:space="0" w:color="auto"/>
            </w:tcBorders>
            <w:tcMar>
              <w:top w:w="0" w:type="dxa"/>
              <w:left w:w="108" w:type="dxa"/>
              <w:bottom w:w="0" w:type="dxa"/>
              <w:right w:w="108" w:type="dxa"/>
            </w:tcMar>
            <w:hideMark/>
          </w:tcPr>
          <w:p w14:paraId="33FE29A7" w14:textId="77777777" w:rsidR="008453FD" w:rsidRDefault="008453FD">
            <w:pPr>
              <w:rPr>
                <w:rFonts w:ascii="Arial" w:hAnsi="Arial" w:cs="Arial"/>
                <w:color w:val="000000"/>
                <w:sz w:val="24"/>
                <w:szCs w:val="24"/>
                <w:lang w:eastAsia="ja-JP"/>
              </w:rPr>
            </w:pPr>
            <w:r>
              <w:rPr>
                <w:rFonts w:ascii="Arial" w:hAnsi="Arial" w:cs="Arial"/>
                <w:i/>
                <w:iCs/>
                <w:color w:val="000000"/>
                <w:sz w:val="24"/>
                <w:szCs w:val="24"/>
                <w:lang w:eastAsia="ja-JP"/>
              </w:rPr>
              <w:t>"Because the classic NHS, which is the environment we are working in all the time, is we want you to do something different. This is what we want you to do. So, we are quite open at having our pathways turned upside down overnight by someone telling us to do something different, so we don’t have a problem with that. We just want to know what we’ve got to do basically."</w:t>
            </w:r>
            <w:r>
              <w:rPr>
                <w:rFonts w:ascii="Arial" w:hAnsi="Arial" w:cs="Arial"/>
                <w:color w:val="000000"/>
                <w:sz w:val="24"/>
                <w:szCs w:val="24"/>
                <w:lang w:eastAsia="ja-JP"/>
              </w:rPr>
              <w:t xml:space="preserve"> </w:t>
            </w:r>
            <w:r>
              <w:rPr>
                <w:rFonts w:ascii="Arial" w:hAnsi="Arial" w:cs="Arial"/>
                <w:b/>
                <w:bCs/>
                <w:color w:val="000000"/>
                <w:sz w:val="24"/>
                <w:szCs w:val="24"/>
                <w:lang w:eastAsia="ja-JP"/>
              </w:rPr>
              <w:t>FG3</w:t>
            </w:r>
          </w:p>
        </w:tc>
        <w:tc>
          <w:tcPr>
            <w:tcW w:w="677" w:type="pct"/>
            <w:tcBorders>
              <w:top w:val="nil"/>
              <w:left w:val="nil"/>
              <w:bottom w:val="single" w:sz="8" w:space="0" w:color="auto"/>
              <w:right w:val="single" w:sz="8" w:space="0" w:color="auto"/>
            </w:tcBorders>
            <w:tcMar>
              <w:top w:w="0" w:type="dxa"/>
              <w:left w:w="108" w:type="dxa"/>
              <w:bottom w:w="0" w:type="dxa"/>
              <w:right w:w="108" w:type="dxa"/>
            </w:tcMar>
            <w:hideMark/>
          </w:tcPr>
          <w:p w14:paraId="3890BFF7" w14:textId="77777777" w:rsidR="008453FD" w:rsidRDefault="008453FD">
            <w:pPr>
              <w:rPr>
                <w:rFonts w:ascii="Arial" w:hAnsi="Arial" w:cs="Arial"/>
                <w:color w:val="000000"/>
                <w:sz w:val="24"/>
                <w:szCs w:val="24"/>
                <w:lang w:eastAsia="ja-JP"/>
              </w:rPr>
            </w:pPr>
            <w:r>
              <w:rPr>
                <w:rFonts w:ascii="Arial" w:hAnsi="Arial" w:cs="Arial"/>
                <w:color w:val="000000"/>
                <w:sz w:val="24"/>
                <w:szCs w:val="24"/>
                <w:lang w:eastAsia="ja-JP"/>
              </w:rPr>
              <w:t>Yes, meets APEASE criteria.</w:t>
            </w:r>
          </w:p>
        </w:tc>
        <w:tc>
          <w:tcPr>
            <w:tcW w:w="1241" w:type="pct"/>
            <w:tcBorders>
              <w:top w:val="nil"/>
              <w:left w:val="nil"/>
              <w:bottom w:val="single" w:sz="8" w:space="0" w:color="auto"/>
              <w:right w:val="single" w:sz="8" w:space="0" w:color="auto"/>
            </w:tcBorders>
            <w:tcMar>
              <w:top w:w="0" w:type="dxa"/>
              <w:left w:w="108" w:type="dxa"/>
              <w:bottom w:w="0" w:type="dxa"/>
              <w:right w:w="108" w:type="dxa"/>
            </w:tcMar>
            <w:hideMark/>
          </w:tcPr>
          <w:p w14:paraId="24212778" w14:textId="77777777" w:rsidR="008453FD" w:rsidRDefault="008453FD">
            <w:pPr>
              <w:rPr>
                <w:rFonts w:ascii="Arial" w:hAnsi="Arial" w:cs="Arial"/>
                <w:color w:val="000000"/>
                <w:sz w:val="24"/>
                <w:szCs w:val="24"/>
                <w:lang w:eastAsia="ja-JP"/>
              </w:rPr>
            </w:pPr>
            <w:r>
              <w:rPr>
                <w:rFonts w:ascii="Arial" w:hAnsi="Arial" w:cs="Arial"/>
                <w:color w:val="000000"/>
                <w:sz w:val="24"/>
                <w:szCs w:val="24"/>
                <w:lang w:eastAsia="ja-JP"/>
              </w:rPr>
              <w:t>A clear message of the HCP's roles will be presented in the training session. This will be referred to throughout the training, to ensure HCPs are clear about their new roles.</w:t>
            </w:r>
          </w:p>
        </w:tc>
      </w:tr>
      <w:tr w:rsidR="008453FD" w14:paraId="10868560" w14:textId="77777777" w:rsidTr="008453FD">
        <w:tc>
          <w:tcPr>
            <w:tcW w:w="0" w:type="auto"/>
            <w:vMerge/>
            <w:tcBorders>
              <w:top w:val="nil"/>
              <w:left w:val="single" w:sz="8" w:space="0" w:color="auto"/>
              <w:bottom w:val="single" w:sz="8" w:space="0" w:color="auto"/>
              <w:right w:val="single" w:sz="8" w:space="0" w:color="auto"/>
            </w:tcBorders>
            <w:vAlign w:val="center"/>
            <w:hideMark/>
          </w:tcPr>
          <w:p w14:paraId="79657822" w14:textId="77777777" w:rsidR="008453FD" w:rsidRDefault="008453FD">
            <w:pPr>
              <w:rPr>
                <w:rFonts w:ascii="Arial" w:hAnsi="Arial" w:cs="Arial"/>
                <w:color w:val="000000"/>
                <w:sz w:val="24"/>
                <w:szCs w:val="24"/>
                <w:lang w:eastAsia="ja-JP"/>
              </w:rPr>
            </w:pPr>
          </w:p>
        </w:tc>
        <w:tc>
          <w:tcPr>
            <w:tcW w:w="1061" w:type="pct"/>
            <w:tcBorders>
              <w:top w:val="nil"/>
              <w:left w:val="nil"/>
              <w:bottom w:val="single" w:sz="8" w:space="0" w:color="auto"/>
              <w:right w:val="single" w:sz="8" w:space="0" w:color="auto"/>
            </w:tcBorders>
            <w:tcMar>
              <w:top w:w="0" w:type="dxa"/>
              <w:left w:w="108" w:type="dxa"/>
              <w:bottom w:w="0" w:type="dxa"/>
              <w:right w:w="108" w:type="dxa"/>
            </w:tcMar>
            <w:hideMark/>
          </w:tcPr>
          <w:p w14:paraId="44BE9A86" w14:textId="77777777" w:rsidR="008453FD" w:rsidRDefault="008453FD">
            <w:pPr>
              <w:rPr>
                <w:rFonts w:ascii="Arial" w:hAnsi="Arial" w:cs="Arial"/>
                <w:color w:val="000000"/>
                <w:sz w:val="24"/>
                <w:szCs w:val="24"/>
                <w:lang w:eastAsia="ja-JP"/>
              </w:rPr>
            </w:pPr>
            <w:r>
              <w:rPr>
                <w:rFonts w:ascii="Arial" w:hAnsi="Arial" w:cs="Arial"/>
                <w:color w:val="000000"/>
                <w:sz w:val="24"/>
                <w:szCs w:val="24"/>
                <w:lang w:eastAsia="ja-JP"/>
              </w:rPr>
              <w:t>4. There were mixed opinions on including role play within the training session, as some found it 'intimidating', whereas others enjoyed taking part in role play activities as part of training.</w:t>
            </w:r>
          </w:p>
        </w:tc>
        <w:tc>
          <w:tcPr>
            <w:tcW w:w="1475" w:type="pct"/>
            <w:tcBorders>
              <w:top w:val="nil"/>
              <w:left w:val="nil"/>
              <w:bottom w:val="single" w:sz="8" w:space="0" w:color="auto"/>
              <w:right w:val="single" w:sz="8" w:space="0" w:color="auto"/>
            </w:tcBorders>
            <w:tcMar>
              <w:top w:w="0" w:type="dxa"/>
              <w:left w:w="108" w:type="dxa"/>
              <w:bottom w:w="0" w:type="dxa"/>
              <w:right w:w="108" w:type="dxa"/>
            </w:tcMar>
          </w:tcPr>
          <w:p w14:paraId="5F3AEF5A" w14:textId="77777777" w:rsidR="008453FD" w:rsidRDefault="008453FD">
            <w:pPr>
              <w:rPr>
                <w:rFonts w:ascii="Arial" w:hAnsi="Arial" w:cs="Arial"/>
                <w:color w:val="000000"/>
                <w:sz w:val="24"/>
                <w:szCs w:val="24"/>
                <w:lang w:eastAsia="ja-JP"/>
              </w:rPr>
            </w:pPr>
            <w:r>
              <w:rPr>
                <w:rFonts w:ascii="Arial" w:hAnsi="Arial" w:cs="Arial"/>
                <w:i/>
                <w:iCs/>
                <w:color w:val="000000"/>
                <w:sz w:val="24"/>
                <w:szCs w:val="24"/>
                <w:lang w:eastAsia="ja-JP"/>
              </w:rPr>
              <w:t>"Yeah, especially if it’s in front of your colleagues (role play), it is quite intimidating. It does not make it very easy."</w:t>
            </w:r>
            <w:r>
              <w:rPr>
                <w:rFonts w:ascii="Arial" w:hAnsi="Arial" w:cs="Arial"/>
                <w:color w:val="000000"/>
                <w:sz w:val="24"/>
                <w:szCs w:val="24"/>
                <w:lang w:eastAsia="ja-JP"/>
              </w:rPr>
              <w:t xml:space="preserve"> </w:t>
            </w:r>
            <w:r>
              <w:rPr>
                <w:rFonts w:ascii="Arial" w:hAnsi="Arial" w:cs="Arial"/>
                <w:b/>
                <w:bCs/>
                <w:color w:val="000000"/>
                <w:sz w:val="24"/>
                <w:szCs w:val="24"/>
                <w:lang w:eastAsia="ja-JP"/>
              </w:rPr>
              <w:t>FG1</w:t>
            </w:r>
          </w:p>
          <w:p w14:paraId="72FD4661" w14:textId="77777777" w:rsidR="008453FD" w:rsidRDefault="008453FD">
            <w:pPr>
              <w:rPr>
                <w:rFonts w:ascii="Arial" w:hAnsi="Arial" w:cs="Arial"/>
                <w:color w:val="000000"/>
                <w:sz w:val="24"/>
                <w:szCs w:val="24"/>
                <w:lang w:eastAsia="ja-JP"/>
              </w:rPr>
            </w:pPr>
          </w:p>
          <w:p w14:paraId="7981ECA6" w14:textId="77777777" w:rsidR="008453FD" w:rsidRDefault="008453FD">
            <w:pPr>
              <w:rPr>
                <w:rFonts w:ascii="Arial" w:hAnsi="Arial" w:cs="Arial"/>
                <w:color w:val="000000"/>
                <w:sz w:val="24"/>
                <w:szCs w:val="24"/>
                <w:lang w:eastAsia="ja-JP"/>
              </w:rPr>
            </w:pPr>
            <w:r>
              <w:rPr>
                <w:rFonts w:ascii="Arial" w:hAnsi="Arial" w:cs="Arial"/>
                <w:i/>
                <w:iCs/>
                <w:color w:val="000000"/>
                <w:sz w:val="24"/>
                <w:szCs w:val="24"/>
                <w:lang w:eastAsia="ja-JP"/>
              </w:rPr>
              <w:t>"So yeah, I get very much in it. I get that for some people roleplay, they get nervous about being up in front of people. But I personally think it adds a bit of fun to it."</w:t>
            </w:r>
            <w:r>
              <w:rPr>
                <w:rFonts w:ascii="Arial" w:hAnsi="Arial" w:cs="Arial"/>
                <w:color w:val="000000"/>
                <w:sz w:val="24"/>
                <w:szCs w:val="24"/>
                <w:lang w:eastAsia="ja-JP"/>
              </w:rPr>
              <w:t xml:space="preserve"> </w:t>
            </w:r>
            <w:r>
              <w:rPr>
                <w:rFonts w:ascii="Arial" w:hAnsi="Arial" w:cs="Arial"/>
                <w:b/>
                <w:bCs/>
                <w:color w:val="000000"/>
                <w:sz w:val="24"/>
                <w:szCs w:val="24"/>
                <w:lang w:eastAsia="ja-JP"/>
              </w:rPr>
              <w:t>FG2</w:t>
            </w:r>
          </w:p>
        </w:tc>
        <w:tc>
          <w:tcPr>
            <w:tcW w:w="677" w:type="pct"/>
            <w:tcBorders>
              <w:top w:val="nil"/>
              <w:left w:val="nil"/>
              <w:bottom w:val="single" w:sz="8" w:space="0" w:color="auto"/>
              <w:right w:val="single" w:sz="8" w:space="0" w:color="auto"/>
            </w:tcBorders>
            <w:tcMar>
              <w:top w:w="0" w:type="dxa"/>
              <w:left w:w="108" w:type="dxa"/>
              <w:bottom w:w="0" w:type="dxa"/>
              <w:right w:w="108" w:type="dxa"/>
            </w:tcMar>
            <w:hideMark/>
          </w:tcPr>
          <w:p w14:paraId="08608E6D" w14:textId="77777777" w:rsidR="008453FD" w:rsidRDefault="008453FD">
            <w:pPr>
              <w:rPr>
                <w:rFonts w:ascii="Arial" w:hAnsi="Arial" w:cs="Arial"/>
                <w:color w:val="000000"/>
                <w:sz w:val="24"/>
                <w:szCs w:val="24"/>
                <w:lang w:eastAsia="ja-JP"/>
              </w:rPr>
            </w:pPr>
            <w:r>
              <w:rPr>
                <w:rFonts w:ascii="Arial" w:hAnsi="Arial" w:cs="Arial"/>
                <w:color w:val="000000"/>
                <w:sz w:val="24"/>
                <w:szCs w:val="24"/>
                <w:lang w:eastAsia="ja-JP"/>
              </w:rPr>
              <w:t>Yes, meets APEASE criteria.</w:t>
            </w:r>
          </w:p>
        </w:tc>
        <w:tc>
          <w:tcPr>
            <w:tcW w:w="1241" w:type="pct"/>
            <w:tcBorders>
              <w:top w:val="nil"/>
              <w:left w:val="nil"/>
              <w:bottom w:val="single" w:sz="8" w:space="0" w:color="auto"/>
              <w:right w:val="single" w:sz="8" w:space="0" w:color="auto"/>
            </w:tcBorders>
            <w:tcMar>
              <w:top w:w="0" w:type="dxa"/>
              <w:left w:w="108" w:type="dxa"/>
              <w:bottom w:w="0" w:type="dxa"/>
              <w:right w:w="108" w:type="dxa"/>
            </w:tcMar>
            <w:hideMark/>
          </w:tcPr>
          <w:p w14:paraId="7B449149" w14:textId="77777777" w:rsidR="008453FD" w:rsidRDefault="008453FD">
            <w:pPr>
              <w:rPr>
                <w:rFonts w:ascii="Arial" w:hAnsi="Arial" w:cs="Arial"/>
                <w:color w:val="000000"/>
                <w:sz w:val="24"/>
                <w:szCs w:val="24"/>
                <w:lang w:eastAsia="ja-JP"/>
              </w:rPr>
            </w:pPr>
            <w:r>
              <w:rPr>
                <w:rFonts w:ascii="Arial" w:hAnsi="Arial" w:cs="Arial"/>
                <w:color w:val="000000"/>
                <w:sz w:val="24"/>
                <w:szCs w:val="24"/>
                <w:lang w:eastAsia="ja-JP"/>
              </w:rPr>
              <w:t>Whilst there was concerns about role play, using role play is a useful tool for skill-based learning. Therefore, the training will include aspects of role play.</w:t>
            </w:r>
          </w:p>
        </w:tc>
      </w:tr>
      <w:tr w:rsidR="008453FD" w14:paraId="6BB67D15" w14:textId="77777777" w:rsidTr="008453FD">
        <w:tc>
          <w:tcPr>
            <w:tcW w:w="546" w:type="pct"/>
            <w:vMerge w:val="restart"/>
            <w:tcBorders>
              <w:top w:val="nil"/>
              <w:left w:val="single" w:sz="8" w:space="0" w:color="auto"/>
              <w:bottom w:val="single" w:sz="8" w:space="0" w:color="auto"/>
              <w:right w:val="single" w:sz="8" w:space="0" w:color="auto"/>
            </w:tcBorders>
            <w:tcMar>
              <w:top w:w="0" w:type="dxa"/>
              <w:left w:w="108" w:type="dxa"/>
              <w:bottom w:w="0" w:type="dxa"/>
              <w:right w:w="108" w:type="dxa"/>
            </w:tcMar>
          </w:tcPr>
          <w:p w14:paraId="13B75E10" w14:textId="77777777" w:rsidR="008453FD" w:rsidRDefault="008453FD">
            <w:pPr>
              <w:rPr>
                <w:rFonts w:ascii="Arial" w:hAnsi="Arial" w:cs="Arial"/>
                <w:color w:val="000000"/>
                <w:sz w:val="24"/>
                <w:szCs w:val="24"/>
                <w:lang w:eastAsia="ja-JP"/>
              </w:rPr>
            </w:pPr>
            <w:r>
              <w:rPr>
                <w:rFonts w:ascii="Arial" w:hAnsi="Arial" w:cs="Arial"/>
                <w:color w:val="000000"/>
                <w:sz w:val="24"/>
                <w:szCs w:val="24"/>
                <w:lang w:eastAsia="ja-JP"/>
              </w:rPr>
              <w:t>Duration of training package</w:t>
            </w:r>
          </w:p>
          <w:p w14:paraId="7CA04966" w14:textId="77777777" w:rsidR="008453FD" w:rsidRDefault="008453FD">
            <w:pPr>
              <w:rPr>
                <w:rFonts w:ascii="Arial" w:hAnsi="Arial" w:cs="Arial"/>
                <w:color w:val="000000"/>
                <w:sz w:val="24"/>
                <w:szCs w:val="24"/>
                <w:lang w:eastAsia="ja-JP"/>
              </w:rPr>
            </w:pPr>
          </w:p>
        </w:tc>
        <w:tc>
          <w:tcPr>
            <w:tcW w:w="1061" w:type="pct"/>
            <w:tcBorders>
              <w:top w:val="nil"/>
              <w:left w:val="nil"/>
              <w:bottom w:val="single" w:sz="8" w:space="0" w:color="auto"/>
              <w:right w:val="single" w:sz="8" w:space="0" w:color="auto"/>
            </w:tcBorders>
            <w:tcMar>
              <w:top w:w="0" w:type="dxa"/>
              <w:left w:w="108" w:type="dxa"/>
              <w:bottom w:w="0" w:type="dxa"/>
              <w:right w:w="108" w:type="dxa"/>
            </w:tcMar>
            <w:hideMark/>
          </w:tcPr>
          <w:p w14:paraId="2C2CDA19" w14:textId="77777777" w:rsidR="008453FD" w:rsidRDefault="008453FD">
            <w:pPr>
              <w:rPr>
                <w:rFonts w:ascii="Arial" w:hAnsi="Arial" w:cs="Arial"/>
                <w:color w:val="000000"/>
                <w:sz w:val="24"/>
                <w:szCs w:val="24"/>
                <w:lang w:eastAsia="ja-JP"/>
              </w:rPr>
            </w:pPr>
            <w:r>
              <w:rPr>
                <w:rFonts w:ascii="Arial" w:hAnsi="Arial" w:cs="Arial"/>
                <w:color w:val="000000"/>
                <w:sz w:val="24"/>
                <w:szCs w:val="24"/>
                <w:lang w:eastAsia="ja-JP"/>
              </w:rPr>
              <w:t>The training was posed as being too long and would be difficult to have HCPs to attend.</w:t>
            </w:r>
          </w:p>
        </w:tc>
        <w:tc>
          <w:tcPr>
            <w:tcW w:w="1475" w:type="pct"/>
            <w:tcBorders>
              <w:top w:val="nil"/>
              <w:left w:val="nil"/>
              <w:bottom w:val="single" w:sz="8" w:space="0" w:color="auto"/>
              <w:right w:val="single" w:sz="8" w:space="0" w:color="auto"/>
            </w:tcBorders>
            <w:tcMar>
              <w:top w:w="0" w:type="dxa"/>
              <w:left w:w="108" w:type="dxa"/>
              <w:bottom w:w="0" w:type="dxa"/>
              <w:right w:w="108" w:type="dxa"/>
            </w:tcMar>
            <w:hideMark/>
          </w:tcPr>
          <w:p w14:paraId="4FB7B74A" w14:textId="77777777" w:rsidR="008453FD" w:rsidRDefault="008453FD">
            <w:pPr>
              <w:rPr>
                <w:rFonts w:ascii="Arial" w:hAnsi="Arial" w:cs="Arial"/>
                <w:color w:val="000000"/>
                <w:sz w:val="24"/>
                <w:szCs w:val="24"/>
                <w:lang w:eastAsia="ja-JP"/>
              </w:rPr>
            </w:pPr>
            <w:r>
              <w:rPr>
                <w:rFonts w:ascii="Arial" w:hAnsi="Arial" w:cs="Arial"/>
                <w:i/>
                <w:iCs/>
                <w:color w:val="000000"/>
                <w:sz w:val="24"/>
                <w:szCs w:val="24"/>
                <w:lang w:eastAsia="ja-JP"/>
              </w:rPr>
              <w:t>"It was good. If I am honest it’s too slow and too long for busy people over here. But you want, as urologists you have got two basically, so if you want to get more people."</w:t>
            </w:r>
            <w:r>
              <w:rPr>
                <w:rFonts w:ascii="Arial" w:hAnsi="Arial" w:cs="Arial"/>
                <w:color w:val="000000"/>
                <w:sz w:val="24"/>
                <w:szCs w:val="24"/>
                <w:lang w:eastAsia="ja-JP"/>
              </w:rPr>
              <w:t xml:space="preserve"> </w:t>
            </w:r>
            <w:r>
              <w:rPr>
                <w:rFonts w:ascii="Arial" w:hAnsi="Arial" w:cs="Arial"/>
                <w:b/>
                <w:bCs/>
                <w:color w:val="000000"/>
                <w:sz w:val="24"/>
                <w:szCs w:val="24"/>
                <w:lang w:eastAsia="ja-JP"/>
              </w:rPr>
              <w:t>FG3</w:t>
            </w:r>
          </w:p>
        </w:tc>
        <w:tc>
          <w:tcPr>
            <w:tcW w:w="677" w:type="pct"/>
            <w:tcBorders>
              <w:top w:val="nil"/>
              <w:left w:val="nil"/>
              <w:bottom w:val="single" w:sz="8" w:space="0" w:color="auto"/>
              <w:right w:val="single" w:sz="8" w:space="0" w:color="auto"/>
            </w:tcBorders>
            <w:tcMar>
              <w:top w:w="0" w:type="dxa"/>
              <w:left w:w="108" w:type="dxa"/>
              <w:bottom w:w="0" w:type="dxa"/>
              <w:right w:w="108" w:type="dxa"/>
            </w:tcMar>
            <w:hideMark/>
          </w:tcPr>
          <w:p w14:paraId="55FF734A" w14:textId="77777777" w:rsidR="008453FD" w:rsidRDefault="008453FD">
            <w:pPr>
              <w:rPr>
                <w:rFonts w:ascii="Arial" w:hAnsi="Arial" w:cs="Arial"/>
                <w:color w:val="000000"/>
                <w:sz w:val="24"/>
                <w:szCs w:val="24"/>
                <w:lang w:eastAsia="ja-JP"/>
              </w:rPr>
            </w:pPr>
            <w:r>
              <w:rPr>
                <w:rFonts w:ascii="Arial" w:hAnsi="Arial" w:cs="Arial"/>
                <w:color w:val="000000"/>
                <w:sz w:val="24"/>
                <w:szCs w:val="24"/>
                <w:lang w:eastAsia="ja-JP"/>
              </w:rPr>
              <w:t>Yes, meets APEASE criteria.</w:t>
            </w:r>
          </w:p>
        </w:tc>
        <w:tc>
          <w:tcPr>
            <w:tcW w:w="1241" w:type="pct"/>
            <w:vMerge w:val="restart"/>
            <w:tcBorders>
              <w:top w:val="nil"/>
              <w:left w:val="nil"/>
              <w:bottom w:val="single" w:sz="8" w:space="0" w:color="auto"/>
              <w:right w:val="single" w:sz="8" w:space="0" w:color="auto"/>
            </w:tcBorders>
            <w:tcMar>
              <w:top w:w="0" w:type="dxa"/>
              <w:left w:w="108" w:type="dxa"/>
              <w:bottom w:w="0" w:type="dxa"/>
              <w:right w:w="108" w:type="dxa"/>
            </w:tcMar>
            <w:hideMark/>
          </w:tcPr>
          <w:p w14:paraId="43F6BCD1" w14:textId="77777777" w:rsidR="008453FD" w:rsidRDefault="008453FD">
            <w:pPr>
              <w:rPr>
                <w:rFonts w:ascii="Arial" w:hAnsi="Arial" w:cs="Arial"/>
                <w:color w:val="000000"/>
                <w:sz w:val="24"/>
                <w:szCs w:val="24"/>
                <w:lang w:eastAsia="ja-JP"/>
              </w:rPr>
            </w:pPr>
            <w:r>
              <w:rPr>
                <w:rFonts w:ascii="Arial" w:hAnsi="Arial" w:cs="Arial"/>
                <w:color w:val="000000"/>
                <w:sz w:val="24"/>
                <w:szCs w:val="24"/>
                <w:lang w:eastAsia="ja-JP"/>
              </w:rPr>
              <w:t>A Level one introductory session (60 minutes) will be offered for all the clinical team and a Level two advanced (2.5 hours) will be offered to the all the clinical team but essential for the keyworkers.</w:t>
            </w:r>
          </w:p>
        </w:tc>
      </w:tr>
      <w:tr w:rsidR="008453FD" w14:paraId="042A1CE0" w14:textId="77777777" w:rsidTr="008453FD">
        <w:tc>
          <w:tcPr>
            <w:tcW w:w="0" w:type="auto"/>
            <w:vMerge/>
            <w:tcBorders>
              <w:top w:val="nil"/>
              <w:left w:val="single" w:sz="8" w:space="0" w:color="auto"/>
              <w:bottom w:val="single" w:sz="8" w:space="0" w:color="auto"/>
              <w:right w:val="single" w:sz="8" w:space="0" w:color="auto"/>
            </w:tcBorders>
            <w:vAlign w:val="center"/>
            <w:hideMark/>
          </w:tcPr>
          <w:p w14:paraId="52E982B1" w14:textId="77777777" w:rsidR="008453FD" w:rsidRDefault="008453FD">
            <w:pPr>
              <w:rPr>
                <w:rFonts w:ascii="Arial" w:hAnsi="Arial" w:cs="Arial"/>
                <w:color w:val="000000"/>
                <w:sz w:val="24"/>
                <w:szCs w:val="24"/>
                <w:lang w:eastAsia="ja-JP"/>
              </w:rPr>
            </w:pPr>
          </w:p>
        </w:tc>
        <w:tc>
          <w:tcPr>
            <w:tcW w:w="1061" w:type="pct"/>
            <w:tcBorders>
              <w:top w:val="nil"/>
              <w:left w:val="nil"/>
              <w:bottom w:val="single" w:sz="8" w:space="0" w:color="auto"/>
              <w:right w:val="single" w:sz="8" w:space="0" w:color="auto"/>
            </w:tcBorders>
            <w:tcMar>
              <w:top w:w="0" w:type="dxa"/>
              <w:left w:w="108" w:type="dxa"/>
              <w:bottom w:w="0" w:type="dxa"/>
              <w:right w:w="108" w:type="dxa"/>
            </w:tcMar>
            <w:hideMark/>
          </w:tcPr>
          <w:p w14:paraId="6347A813" w14:textId="77777777" w:rsidR="008453FD" w:rsidRDefault="008453FD">
            <w:pPr>
              <w:rPr>
                <w:rFonts w:ascii="Arial" w:hAnsi="Arial" w:cs="Arial"/>
                <w:color w:val="000000"/>
                <w:sz w:val="24"/>
                <w:szCs w:val="24"/>
                <w:lang w:eastAsia="ja-JP"/>
              </w:rPr>
            </w:pPr>
            <w:r>
              <w:rPr>
                <w:rFonts w:ascii="Arial" w:hAnsi="Arial" w:cs="Arial"/>
                <w:color w:val="000000"/>
                <w:sz w:val="24"/>
                <w:szCs w:val="24"/>
                <w:lang w:eastAsia="ja-JP"/>
              </w:rPr>
              <w:t>However, it was perceived that if training were reduced, HCPs would not engage.</w:t>
            </w:r>
          </w:p>
        </w:tc>
        <w:tc>
          <w:tcPr>
            <w:tcW w:w="1475" w:type="pct"/>
            <w:tcBorders>
              <w:top w:val="nil"/>
              <w:left w:val="nil"/>
              <w:bottom w:val="single" w:sz="8" w:space="0" w:color="auto"/>
              <w:right w:val="single" w:sz="8" w:space="0" w:color="auto"/>
            </w:tcBorders>
            <w:tcMar>
              <w:top w:w="0" w:type="dxa"/>
              <w:left w:w="108" w:type="dxa"/>
              <w:bottom w:w="0" w:type="dxa"/>
              <w:right w:w="108" w:type="dxa"/>
            </w:tcMar>
            <w:hideMark/>
          </w:tcPr>
          <w:p w14:paraId="4F07D0B2" w14:textId="77777777" w:rsidR="008453FD" w:rsidRDefault="008453FD">
            <w:pPr>
              <w:rPr>
                <w:rFonts w:ascii="Arial" w:hAnsi="Arial" w:cs="Arial"/>
                <w:color w:val="000000"/>
                <w:sz w:val="24"/>
                <w:szCs w:val="24"/>
                <w:lang w:eastAsia="ja-JP"/>
              </w:rPr>
            </w:pPr>
            <w:r>
              <w:rPr>
                <w:rFonts w:ascii="Arial" w:hAnsi="Arial" w:cs="Arial"/>
                <w:i/>
                <w:iCs/>
                <w:color w:val="000000"/>
                <w:sz w:val="24"/>
                <w:szCs w:val="24"/>
                <w:lang w:eastAsia="ja-JP"/>
              </w:rPr>
              <w:t>"Yeah, 20 minutes long, you won’t have people on board."</w:t>
            </w:r>
            <w:r>
              <w:rPr>
                <w:rFonts w:ascii="Arial" w:hAnsi="Arial" w:cs="Arial"/>
                <w:color w:val="000000"/>
                <w:sz w:val="24"/>
                <w:szCs w:val="24"/>
                <w:lang w:eastAsia="ja-JP"/>
              </w:rPr>
              <w:t xml:space="preserve"> </w:t>
            </w:r>
            <w:r>
              <w:rPr>
                <w:rFonts w:ascii="Arial" w:hAnsi="Arial" w:cs="Arial"/>
                <w:b/>
                <w:bCs/>
                <w:color w:val="000000"/>
                <w:sz w:val="24"/>
                <w:szCs w:val="24"/>
                <w:lang w:eastAsia="ja-JP"/>
              </w:rPr>
              <w:t>FG1</w:t>
            </w:r>
          </w:p>
        </w:tc>
        <w:tc>
          <w:tcPr>
            <w:tcW w:w="677" w:type="pct"/>
            <w:tcBorders>
              <w:top w:val="nil"/>
              <w:left w:val="nil"/>
              <w:bottom w:val="single" w:sz="8" w:space="0" w:color="auto"/>
              <w:right w:val="single" w:sz="8" w:space="0" w:color="auto"/>
            </w:tcBorders>
            <w:tcMar>
              <w:top w:w="0" w:type="dxa"/>
              <w:left w:w="108" w:type="dxa"/>
              <w:bottom w:w="0" w:type="dxa"/>
              <w:right w:w="108" w:type="dxa"/>
            </w:tcMar>
            <w:hideMark/>
          </w:tcPr>
          <w:p w14:paraId="79DE16CD" w14:textId="77777777" w:rsidR="008453FD" w:rsidRDefault="008453FD">
            <w:pPr>
              <w:rPr>
                <w:rFonts w:ascii="Arial" w:hAnsi="Arial" w:cs="Arial"/>
                <w:color w:val="000000"/>
                <w:sz w:val="24"/>
                <w:szCs w:val="24"/>
                <w:lang w:eastAsia="ja-JP"/>
              </w:rPr>
            </w:pPr>
            <w:r>
              <w:rPr>
                <w:rFonts w:ascii="Arial" w:hAnsi="Arial" w:cs="Arial"/>
                <w:color w:val="000000"/>
                <w:sz w:val="24"/>
                <w:szCs w:val="24"/>
                <w:lang w:eastAsia="ja-JP"/>
              </w:rPr>
              <w:t>Yes, meets APEASE criteria.</w:t>
            </w:r>
          </w:p>
        </w:tc>
        <w:tc>
          <w:tcPr>
            <w:tcW w:w="0" w:type="auto"/>
            <w:vMerge/>
            <w:tcBorders>
              <w:top w:val="nil"/>
              <w:left w:val="nil"/>
              <w:bottom w:val="single" w:sz="8" w:space="0" w:color="auto"/>
              <w:right w:val="single" w:sz="8" w:space="0" w:color="auto"/>
            </w:tcBorders>
            <w:vAlign w:val="center"/>
            <w:hideMark/>
          </w:tcPr>
          <w:p w14:paraId="581DA404" w14:textId="77777777" w:rsidR="008453FD" w:rsidRDefault="008453FD">
            <w:pPr>
              <w:rPr>
                <w:rFonts w:ascii="Arial" w:hAnsi="Arial" w:cs="Arial"/>
                <w:color w:val="000000"/>
                <w:sz w:val="24"/>
                <w:szCs w:val="24"/>
                <w:lang w:eastAsia="ja-JP"/>
              </w:rPr>
            </w:pPr>
          </w:p>
        </w:tc>
      </w:tr>
      <w:tr w:rsidR="008453FD" w14:paraId="7AC8E275" w14:textId="77777777" w:rsidTr="008453FD">
        <w:tc>
          <w:tcPr>
            <w:tcW w:w="546" w:type="pct"/>
            <w:tcBorders>
              <w:top w:val="nil"/>
              <w:left w:val="single" w:sz="8" w:space="0" w:color="auto"/>
              <w:bottom w:val="single" w:sz="8" w:space="0" w:color="auto"/>
              <w:right w:val="single" w:sz="8" w:space="0" w:color="auto"/>
            </w:tcBorders>
            <w:tcMar>
              <w:top w:w="0" w:type="dxa"/>
              <w:left w:w="108" w:type="dxa"/>
              <w:bottom w:w="0" w:type="dxa"/>
              <w:right w:w="108" w:type="dxa"/>
            </w:tcMar>
            <w:hideMark/>
          </w:tcPr>
          <w:p w14:paraId="5EA274AC" w14:textId="77777777" w:rsidR="008453FD" w:rsidRDefault="008453FD">
            <w:pPr>
              <w:rPr>
                <w:rFonts w:ascii="Arial" w:hAnsi="Arial" w:cs="Arial"/>
                <w:color w:val="000000"/>
                <w:sz w:val="24"/>
                <w:szCs w:val="24"/>
                <w:lang w:eastAsia="ja-JP"/>
              </w:rPr>
            </w:pPr>
            <w:r>
              <w:rPr>
                <w:rFonts w:ascii="Arial" w:hAnsi="Arial" w:cs="Arial"/>
                <w:color w:val="000000"/>
                <w:sz w:val="24"/>
                <w:szCs w:val="24"/>
                <w:lang w:eastAsia="ja-JP"/>
              </w:rPr>
              <w:t>Mode of delivery of training</w:t>
            </w:r>
          </w:p>
        </w:tc>
        <w:tc>
          <w:tcPr>
            <w:tcW w:w="1061" w:type="pct"/>
            <w:tcBorders>
              <w:top w:val="nil"/>
              <w:left w:val="nil"/>
              <w:bottom w:val="single" w:sz="8" w:space="0" w:color="auto"/>
              <w:right w:val="single" w:sz="8" w:space="0" w:color="auto"/>
            </w:tcBorders>
            <w:tcMar>
              <w:top w:w="0" w:type="dxa"/>
              <w:left w:w="108" w:type="dxa"/>
              <w:bottom w:w="0" w:type="dxa"/>
              <w:right w:w="108" w:type="dxa"/>
            </w:tcMar>
            <w:hideMark/>
          </w:tcPr>
          <w:p w14:paraId="1962C646" w14:textId="77777777" w:rsidR="008453FD" w:rsidRDefault="008453FD">
            <w:pPr>
              <w:rPr>
                <w:rFonts w:ascii="Arial" w:hAnsi="Arial" w:cs="Arial"/>
                <w:color w:val="000000"/>
                <w:sz w:val="24"/>
                <w:szCs w:val="24"/>
                <w:lang w:eastAsia="ja-JP"/>
              </w:rPr>
            </w:pPr>
            <w:r>
              <w:rPr>
                <w:rFonts w:ascii="Arial" w:hAnsi="Arial" w:cs="Arial"/>
                <w:color w:val="000000"/>
                <w:sz w:val="24"/>
                <w:szCs w:val="24"/>
                <w:lang w:eastAsia="ja-JP"/>
              </w:rPr>
              <w:t>Face-to-face training was preferred over online training as questions can be asked face-to-face. It was also stated online training tends to get left till the last minute.</w:t>
            </w:r>
          </w:p>
        </w:tc>
        <w:tc>
          <w:tcPr>
            <w:tcW w:w="1475" w:type="pct"/>
            <w:tcBorders>
              <w:top w:val="nil"/>
              <w:left w:val="nil"/>
              <w:bottom w:val="single" w:sz="8" w:space="0" w:color="auto"/>
              <w:right w:val="single" w:sz="8" w:space="0" w:color="auto"/>
            </w:tcBorders>
            <w:tcMar>
              <w:top w:w="0" w:type="dxa"/>
              <w:left w:w="108" w:type="dxa"/>
              <w:bottom w:w="0" w:type="dxa"/>
              <w:right w:w="108" w:type="dxa"/>
            </w:tcMar>
          </w:tcPr>
          <w:p w14:paraId="7D5D3275" w14:textId="77777777" w:rsidR="008453FD" w:rsidRDefault="008453FD">
            <w:pPr>
              <w:rPr>
                <w:rFonts w:ascii="Arial" w:hAnsi="Arial" w:cs="Arial"/>
                <w:b/>
                <w:bCs/>
                <w:color w:val="000000"/>
                <w:sz w:val="24"/>
                <w:szCs w:val="24"/>
                <w:lang w:eastAsia="ja-JP"/>
              </w:rPr>
            </w:pPr>
            <w:r>
              <w:rPr>
                <w:rFonts w:ascii="Arial" w:hAnsi="Arial" w:cs="Arial"/>
                <w:i/>
                <w:iCs/>
                <w:color w:val="000000"/>
                <w:sz w:val="24"/>
                <w:szCs w:val="24"/>
                <w:lang w:eastAsia="ja-JP"/>
              </w:rPr>
              <w:t>"I’m a bit old school, I like face-to-face things, but that’s because I’ve always got questions. I’ve always got to ask questions."</w:t>
            </w:r>
            <w:r>
              <w:rPr>
                <w:rFonts w:ascii="Arial" w:hAnsi="Arial" w:cs="Arial"/>
                <w:color w:val="000000"/>
                <w:sz w:val="24"/>
                <w:szCs w:val="24"/>
                <w:lang w:eastAsia="ja-JP"/>
              </w:rPr>
              <w:t xml:space="preserve"> </w:t>
            </w:r>
            <w:r>
              <w:rPr>
                <w:rFonts w:ascii="Arial" w:hAnsi="Arial" w:cs="Arial"/>
                <w:b/>
                <w:bCs/>
                <w:color w:val="000000"/>
                <w:sz w:val="24"/>
                <w:szCs w:val="24"/>
                <w:lang w:eastAsia="ja-JP"/>
              </w:rPr>
              <w:t>FG2</w:t>
            </w:r>
          </w:p>
          <w:p w14:paraId="7B65BA32" w14:textId="77777777" w:rsidR="008453FD" w:rsidRDefault="008453FD">
            <w:pPr>
              <w:rPr>
                <w:rFonts w:ascii="Arial" w:hAnsi="Arial" w:cs="Arial"/>
                <w:color w:val="000000"/>
                <w:sz w:val="24"/>
                <w:szCs w:val="24"/>
                <w:lang w:eastAsia="ja-JP"/>
              </w:rPr>
            </w:pPr>
          </w:p>
          <w:p w14:paraId="08A50E92" w14:textId="77777777" w:rsidR="008453FD" w:rsidRDefault="008453FD">
            <w:pPr>
              <w:rPr>
                <w:rFonts w:ascii="Arial" w:hAnsi="Arial" w:cs="Arial"/>
                <w:color w:val="000000"/>
                <w:sz w:val="24"/>
                <w:szCs w:val="24"/>
                <w:lang w:eastAsia="ja-JP"/>
              </w:rPr>
            </w:pPr>
            <w:r>
              <w:rPr>
                <w:rFonts w:ascii="Arial" w:hAnsi="Arial" w:cs="Arial"/>
                <w:i/>
                <w:iCs/>
                <w:color w:val="000000"/>
                <w:sz w:val="24"/>
                <w:szCs w:val="24"/>
                <w:lang w:eastAsia="ja-JP"/>
              </w:rPr>
              <w:t>"Whenever we get anything online, bearing in mind the number of emails we get every day, it tends to get left. A bit like when we do mandatory training, we leave it until when you have to do it."</w:t>
            </w:r>
            <w:r>
              <w:rPr>
                <w:rFonts w:ascii="Arial" w:hAnsi="Arial" w:cs="Arial"/>
                <w:color w:val="000000"/>
                <w:sz w:val="24"/>
                <w:szCs w:val="24"/>
                <w:lang w:eastAsia="ja-JP"/>
              </w:rPr>
              <w:t xml:space="preserve"> </w:t>
            </w:r>
            <w:r>
              <w:rPr>
                <w:rFonts w:ascii="Arial" w:hAnsi="Arial" w:cs="Arial"/>
                <w:b/>
                <w:bCs/>
                <w:color w:val="000000"/>
                <w:sz w:val="24"/>
                <w:szCs w:val="24"/>
                <w:lang w:eastAsia="ja-JP"/>
              </w:rPr>
              <w:t>FG1</w:t>
            </w:r>
          </w:p>
        </w:tc>
        <w:tc>
          <w:tcPr>
            <w:tcW w:w="677" w:type="pct"/>
            <w:tcBorders>
              <w:top w:val="nil"/>
              <w:left w:val="nil"/>
              <w:bottom w:val="single" w:sz="8" w:space="0" w:color="auto"/>
              <w:right w:val="single" w:sz="8" w:space="0" w:color="auto"/>
            </w:tcBorders>
            <w:tcMar>
              <w:top w:w="0" w:type="dxa"/>
              <w:left w:w="108" w:type="dxa"/>
              <w:bottom w:w="0" w:type="dxa"/>
              <w:right w:w="108" w:type="dxa"/>
            </w:tcMar>
            <w:hideMark/>
          </w:tcPr>
          <w:p w14:paraId="3F2CBB00" w14:textId="77777777" w:rsidR="008453FD" w:rsidRDefault="008453FD">
            <w:pPr>
              <w:rPr>
                <w:rFonts w:ascii="Arial" w:hAnsi="Arial" w:cs="Arial"/>
                <w:color w:val="000000"/>
                <w:sz w:val="24"/>
                <w:szCs w:val="24"/>
                <w:lang w:eastAsia="ja-JP"/>
              </w:rPr>
            </w:pPr>
            <w:r>
              <w:rPr>
                <w:rFonts w:ascii="Arial" w:hAnsi="Arial" w:cs="Arial"/>
                <w:color w:val="000000"/>
                <w:sz w:val="24"/>
                <w:szCs w:val="24"/>
                <w:lang w:eastAsia="ja-JP"/>
              </w:rPr>
              <w:t>Yes, meets APEASE criteria.</w:t>
            </w:r>
          </w:p>
        </w:tc>
        <w:tc>
          <w:tcPr>
            <w:tcW w:w="1241" w:type="pct"/>
            <w:tcBorders>
              <w:top w:val="nil"/>
              <w:left w:val="nil"/>
              <w:bottom w:val="single" w:sz="8" w:space="0" w:color="auto"/>
              <w:right w:val="single" w:sz="8" w:space="0" w:color="auto"/>
            </w:tcBorders>
            <w:tcMar>
              <w:top w:w="0" w:type="dxa"/>
              <w:left w:w="108" w:type="dxa"/>
              <w:bottom w:w="0" w:type="dxa"/>
              <w:right w:w="108" w:type="dxa"/>
            </w:tcMar>
            <w:hideMark/>
          </w:tcPr>
          <w:p w14:paraId="320EBF2D" w14:textId="77777777" w:rsidR="008453FD" w:rsidRDefault="008453FD">
            <w:pPr>
              <w:rPr>
                <w:rFonts w:ascii="Arial" w:hAnsi="Arial" w:cs="Arial"/>
                <w:color w:val="000000"/>
                <w:sz w:val="24"/>
                <w:szCs w:val="24"/>
                <w:lang w:eastAsia="ja-JP"/>
              </w:rPr>
            </w:pPr>
            <w:r>
              <w:rPr>
                <w:rFonts w:ascii="Arial" w:hAnsi="Arial" w:cs="Arial"/>
                <w:color w:val="000000"/>
                <w:sz w:val="24"/>
                <w:szCs w:val="24"/>
                <w:lang w:eastAsia="ja-JP"/>
              </w:rPr>
              <w:t>The training will ideally be delivered face-to-face for interactive skills-based learning.</w:t>
            </w:r>
          </w:p>
        </w:tc>
      </w:tr>
      <w:tr w:rsidR="008453FD" w14:paraId="76510453" w14:textId="77777777" w:rsidTr="008453FD">
        <w:tc>
          <w:tcPr>
            <w:tcW w:w="546" w:type="pct"/>
            <w:tcBorders>
              <w:top w:val="nil"/>
              <w:left w:val="single" w:sz="8" w:space="0" w:color="auto"/>
              <w:bottom w:val="single" w:sz="8" w:space="0" w:color="auto"/>
              <w:right w:val="single" w:sz="8" w:space="0" w:color="auto"/>
            </w:tcBorders>
            <w:tcMar>
              <w:top w:w="0" w:type="dxa"/>
              <w:left w:w="108" w:type="dxa"/>
              <w:bottom w:w="0" w:type="dxa"/>
              <w:right w:w="108" w:type="dxa"/>
            </w:tcMar>
            <w:hideMark/>
          </w:tcPr>
          <w:p w14:paraId="07A49CCA" w14:textId="77777777" w:rsidR="008453FD" w:rsidRDefault="008453FD">
            <w:pPr>
              <w:rPr>
                <w:rFonts w:ascii="Arial" w:hAnsi="Arial" w:cs="Arial"/>
                <w:color w:val="000000"/>
                <w:sz w:val="24"/>
                <w:szCs w:val="24"/>
                <w:lang w:eastAsia="ja-JP"/>
              </w:rPr>
            </w:pPr>
            <w:r>
              <w:rPr>
                <w:rFonts w:ascii="Arial" w:hAnsi="Arial" w:cs="Arial"/>
                <w:color w:val="000000"/>
                <w:sz w:val="24"/>
                <w:szCs w:val="24"/>
                <w:lang w:eastAsia="ja-JP"/>
              </w:rPr>
              <w:lastRenderedPageBreak/>
              <w:t>Barriers to the intervention</w:t>
            </w:r>
          </w:p>
        </w:tc>
        <w:tc>
          <w:tcPr>
            <w:tcW w:w="1061" w:type="pct"/>
            <w:tcBorders>
              <w:top w:val="nil"/>
              <w:left w:val="nil"/>
              <w:bottom w:val="single" w:sz="8" w:space="0" w:color="auto"/>
              <w:right w:val="single" w:sz="8" w:space="0" w:color="auto"/>
            </w:tcBorders>
            <w:tcMar>
              <w:top w:w="0" w:type="dxa"/>
              <w:left w:w="108" w:type="dxa"/>
              <w:bottom w:w="0" w:type="dxa"/>
              <w:right w:w="108" w:type="dxa"/>
            </w:tcMar>
            <w:hideMark/>
          </w:tcPr>
          <w:p w14:paraId="511FB5A4" w14:textId="77777777" w:rsidR="008453FD" w:rsidRDefault="008453FD">
            <w:pPr>
              <w:rPr>
                <w:rFonts w:ascii="Arial" w:hAnsi="Arial" w:cs="Arial"/>
                <w:color w:val="000000"/>
                <w:sz w:val="24"/>
                <w:szCs w:val="24"/>
                <w:lang w:eastAsia="ja-JP"/>
              </w:rPr>
            </w:pPr>
            <w:r>
              <w:rPr>
                <w:rFonts w:ascii="Arial" w:hAnsi="Arial" w:cs="Arial"/>
                <w:color w:val="000000"/>
                <w:sz w:val="24"/>
                <w:szCs w:val="24"/>
                <w:lang w:eastAsia="ja-JP"/>
              </w:rPr>
              <w:t>Difficulties were identified in being able to release HCPs, particularly staff nurses, was discussed.</w:t>
            </w:r>
          </w:p>
        </w:tc>
        <w:tc>
          <w:tcPr>
            <w:tcW w:w="1475" w:type="pct"/>
            <w:tcBorders>
              <w:top w:val="nil"/>
              <w:left w:val="nil"/>
              <w:bottom w:val="single" w:sz="8" w:space="0" w:color="auto"/>
              <w:right w:val="single" w:sz="8" w:space="0" w:color="auto"/>
            </w:tcBorders>
            <w:tcMar>
              <w:top w:w="0" w:type="dxa"/>
              <w:left w:w="108" w:type="dxa"/>
              <w:bottom w:w="0" w:type="dxa"/>
              <w:right w:w="108" w:type="dxa"/>
            </w:tcMar>
            <w:hideMark/>
          </w:tcPr>
          <w:p w14:paraId="488840A0" w14:textId="77777777" w:rsidR="008453FD" w:rsidRDefault="008453FD">
            <w:pPr>
              <w:rPr>
                <w:rFonts w:ascii="Arial" w:hAnsi="Arial" w:cs="Arial"/>
                <w:color w:val="000000"/>
                <w:sz w:val="24"/>
                <w:szCs w:val="24"/>
                <w:lang w:eastAsia="ja-JP"/>
              </w:rPr>
            </w:pPr>
            <w:r>
              <w:rPr>
                <w:rFonts w:ascii="Arial" w:hAnsi="Arial" w:cs="Arial"/>
                <w:i/>
                <w:iCs/>
                <w:color w:val="000000"/>
                <w:sz w:val="24"/>
                <w:szCs w:val="24"/>
                <w:lang w:eastAsia="ja-JP"/>
              </w:rPr>
              <w:t>"I think like I said before, from a band 5 perspective I think you’re going to find that really difficult. I do not think we can afford that amount of time out of clinical duties for one trial. From a research nurse point of view that is fine, but from a clinical staff nurse, band 5 point of view I don’t think we can be spared, especially with winter pressures at the moment."</w:t>
            </w:r>
            <w:r>
              <w:rPr>
                <w:rFonts w:ascii="Arial" w:hAnsi="Arial" w:cs="Arial"/>
                <w:color w:val="000000"/>
                <w:sz w:val="24"/>
                <w:szCs w:val="24"/>
                <w:lang w:eastAsia="ja-JP"/>
              </w:rPr>
              <w:t xml:space="preserve">  </w:t>
            </w:r>
            <w:r>
              <w:rPr>
                <w:rFonts w:ascii="Arial" w:hAnsi="Arial" w:cs="Arial"/>
                <w:b/>
                <w:bCs/>
                <w:color w:val="000000"/>
                <w:sz w:val="24"/>
                <w:szCs w:val="24"/>
                <w:lang w:eastAsia="ja-JP"/>
              </w:rPr>
              <w:t>FG4</w:t>
            </w:r>
          </w:p>
        </w:tc>
        <w:tc>
          <w:tcPr>
            <w:tcW w:w="677" w:type="pct"/>
            <w:tcBorders>
              <w:top w:val="nil"/>
              <w:left w:val="nil"/>
              <w:bottom w:val="single" w:sz="8" w:space="0" w:color="auto"/>
              <w:right w:val="single" w:sz="8" w:space="0" w:color="auto"/>
            </w:tcBorders>
            <w:tcMar>
              <w:top w:w="0" w:type="dxa"/>
              <w:left w:w="108" w:type="dxa"/>
              <w:bottom w:w="0" w:type="dxa"/>
              <w:right w:w="108" w:type="dxa"/>
            </w:tcMar>
            <w:hideMark/>
          </w:tcPr>
          <w:p w14:paraId="2E24111E" w14:textId="77777777" w:rsidR="008453FD" w:rsidRDefault="008453FD">
            <w:pPr>
              <w:rPr>
                <w:rFonts w:ascii="Arial" w:hAnsi="Arial" w:cs="Arial"/>
                <w:color w:val="000000"/>
                <w:sz w:val="24"/>
                <w:szCs w:val="24"/>
                <w:lang w:eastAsia="ja-JP"/>
              </w:rPr>
            </w:pPr>
            <w:r>
              <w:rPr>
                <w:rFonts w:ascii="Arial" w:hAnsi="Arial" w:cs="Arial"/>
                <w:color w:val="000000"/>
                <w:sz w:val="24"/>
                <w:szCs w:val="24"/>
                <w:lang w:eastAsia="ja-JP"/>
              </w:rPr>
              <w:t>Yes, meets APEASE criteria.</w:t>
            </w:r>
          </w:p>
        </w:tc>
        <w:tc>
          <w:tcPr>
            <w:tcW w:w="1241" w:type="pct"/>
            <w:tcBorders>
              <w:top w:val="nil"/>
              <w:left w:val="nil"/>
              <w:bottom w:val="single" w:sz="8" w:space="0" w:color="auto"/>
              <w:right w:val="single" w:sz="8" w:space="0" w:color="auto"/>
            </w:tcBorders>
            <w:tcMar>
              <w:top w:w="0" w:type="dxa"/>
              <w:left w:w="108" w:type="dxa"/>
              <w:bottom w:w="0" w:type="dxa"/>
              <w:right w:w="108" w:type="dxa"/>
            </w:tcMar>
            <w:hideMark/>
          </w:tcPr>
          <w:p w14:paraId="38B18151" w14:textId="77777777" w:rsidR="008453FD" w:rsidRDefault="008453FD">
            <w:pPr>
              <w:rPr>
                <w:rFonts w:ascii="Arial" w:hAnsi="Arial" w:cs="Arial"/>
                <w:color w:val="000000"/>
                <w:sz w:val="24"/>
                <w:szCs w:val="24"/>
                <w:lang w:eastAsia="ja-JP"/>
              </w:rPr>
            </w:pPr>
            <w:r>
              <w:rPr>
                <w:rFonts w:ascii="Arial" w:hAnsi="Arial" w:cs="Arial"/>
                <w:color w:val="000000"/>
                <w:sz w:val="24"/>
                <w:szCs w:val="24"/>
                <w:lang w:eastAsia="ja-JP"/>
              </w:rPr>
              <w:t xml:space="preserve">Difficulties in HCPs attending the training sessions were discussed due to the pressures of the NHS. Therefore, possibly offering the following alternatives may help to resolve some of these issues. </w:t>
            </w:r>
          </w:p>
          <w:p w14:paraId="0CBADCF7" w14:textId="77777777" w:rsidR="008453FD" w:rsidRDefault="008453FD" w:rsidP="00146205">
            <w:pPr>
              <w:numPr>
                <w:ilvl w:val="0"/>
                <w:numId w:val="1"/>
              </w:numPr>
              <w:rPr>
                <w:rFonts w:ascii="Arial" w:eastAsia="Times New Roman" w:hAnsi="Arial" w:cs="Arial"/>
                <w:color w:val="000000"/>
                <w:sz w:val="24"/>
                <w:szCs w:val="24"/>
                <w:lang w:eastAsia="ja-JP"/>
              </w:rPr>
            </w:pPr>
            <w:r>
              <w:rPr>
                <w:rFonts w:ascii="Arial" w:eastAsia="Times New Roman" w:hAnsi="Arial" w:cs="Arial"/>
                <w:color w:val="000000"/>
                <w:sz w:val="24"/>
                <w:szCs w:val="24"/>
                <w:lang w:eastAsia="ja-JP"/>
              </w:rPr>
              <w:t>Offer at least 8-12 weeks' notice for the clinical team.</w:t>
            </w:r>
          </w:p>
          <w:p w14:paraId="77BBAFB7" w14:textId="77777777" w:rsidR="008453FD" w:rsidRDefault="008453FD" w:rsidP="00146205">
            <w:pPr>
              <w:numPr>
                <w:ilvl w:val="0"/>
                <w:numId w:val="1"/>
              </w:numPr>
              <w:rPr>
                <w:rFonts w:ascii="Arial" w:eastAsia="Times New Roman" w:hAnsi="Arial" w:cs="Arial"/>
                <w:color w:val="000000"/>
                <w:sz w:val="24"/>
                <w:szCs w:val="24"/>
                <w:lang w:eastAsia="ja-JP"/>
              </w:rPr>
            </w:pPr>
            <w:r>
              <w:rPr>
                <w:rFonts w:ascii="Arial" w:eastAsia="Times New Roman" w:hAnsi="Arial" w:cs="Arial"/>
                <w:color w:val="000000"/>
                <w:sz w:val="24"/>
                <w:szCs w:val="24"/>
                <w:lang w:eastAsia="ja-JP"/>
              </w:rPr>
              <w:t xml:space="preserve">Ensure senior managers and clinicians are bought into the concept and support the project. </w:t>
            </w:r>
          </w:p>
        </w:tc>
      </w:tr>
    </w:tbl>
    <w:p w14:paraId="1D1FE64E" w14:textId="77777777" w:rsidR="008453FD" w:rsidRDefault="008453FD" w:rsidP="008453FD">
      <w:pPr>
        <w:spacing w:after="200" w:line="360" w:lineRule="auto"/>
        <w:rPr>
          <w:rFonts w:ascii="Arial" w:hAnsi="Arial" w:cs="Arial"/>
          <w:color w:val="000000"/>
          <w:sz w:val="24"/>
          <w:szCs w:val="24"/>
          <w:lang w:eastAsia="ja-JP"/>
        </w:rPr>
      </w:pPr>
    </w:p>
    <w:p w14:paraId="6BD30571" w14:textId="77777777" w:rsidR="008453FD" w:rsidRDefault="008453FD" w:rsidP="008453FD">
      <w:pPr>
        <w:spacing w:after="200" w:line="360" w:lineRule="auto"/>
        <w:rPr>
          <w:color w:val="000000"/>
          <w:sz w:val="24"/>
          <w:szCs w:val="24"/>
          <w:lang w:eastAsia="ja-JP"/>
        </w:rPr>
      </w:pPr>
    </w:p>
    <w:p w14:paraId="1984A85B" w14:textId="77777777" w:rsidR="008453FD" w:rsidRDefault="008453FD" w:rsidP="008453FD"/>
    <w:p w14:paraId="7FBD06CF" w14:textId="77777777" w:rsidR="008453FD" w:rsidRDefault="008453FD"/>
    <w:sectPr w:rsidR="008453FD" w:rsidSect="008453FD">
      <w:pgSz w:w="16838" w:h="11906" w:orient="landscape"/>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11AB8757" w14:textId="77777777" w:rsidR="00F34E81" w:rsidRDefault="00F34E81" w:rsidP="00BE04DD">
      <w:r>
        <w:separator/>
      </w:r>
    </w:p>
  </w:endnote>
  <w:endnote w:type="continuationSeparator" w:id="0">
    <w:p w14:paraId="00DB1ECA" w14:textId="77777777" w:rsidR="00F34E81" w:rsidRDefault="00F34E81" w:rsidP="00BE04DD">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Calibri">
    <w:panose1 w:val="020F0502020204030204"/>
    <w:charset w:val="00"/>
    <w:family w:val="swiss"/>
    <w:pitch w:val="variable"/>
    <w:sig w:usb0="E0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sdt>
    <w:sdtPr>
      <w:id w:val="906270580"/>
      <w:docPartObj>
        <w:docPartGallery w:val="Page Numbers (Bottom of Page)"/>
        <w:docPartUnique/>
      </w:docPartObj>
    </w:sdtPr>
    <w:sdtEndPr>
      <w:rPr>
        <w:noProof/>
      </w:rPr>
    </w:sdtEndPr>
    <w:sdtContent>
      <w:p w14:paraId="7140DF37" w14:textId="48E52D2A" w:rsidR="00BE04DD" w:rsidRDefault="00BE04DD">
        <w:pPr>
          <w:pStyle w:val="Footer"/>
          <w:jc w:val="center"/>
        </w:pPr>
        <w:r>
          <w:fldChar w:fldCharType="begin"/>
        </w:r>
        <w:r>
          <w:instrText xml:space="preserve"> PAGE   \* MERGEFORMAT </w:instrText>
        </w:r>
        <w:r>
          <w:fldChar w:fldCharType="separate"/>
        </w:r>
        <w:r>
          <w:rPr>
            <w:noProof/>
          </w:rPr>
          <w:t>2</w:t>
        </w:r>
        <w:r>
          <w:rPr>
            <w:noProof/>
          </w:rPr>
          <w:fldChar w:fldCharType="end"/>
        </w:r>
      </w:p>
    </w:sdtContent>
  </w:sdt>
  <w:p w14:paraId="77EDBB5A" w14:textId="77777777" w:rsidR="00BE04DD" w:rsidRDefault="00BE04DD">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76D8A545" w14:textId="77777777" w:rsidR="00F34E81" w:rsidRDefault="00F34E81" w:rsidP="00BE04DD">
      <w:r>
        <w:separator/>
      </w:r>
    </w:p>
  </w:footnote>
  <w:footnote w:type="continuationSeparator" w:id="0">
    <w:p w14:paraId="47520635" w14:textId="77777777" w:rsidR="00F34E81" w:rsidRDefault="00F34E81" w:rsidP="00BE04DD">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1D0D22D4"/>
    <w:multiLevelType w:val="hybridMultilevel"/>
    <w:tmpl w:val="ABE8746A"/>
    <w:lvl w:ilvl="0" w:tplc="0809000F">
      <w:start w:val="1"/>
      <w:numFmt w:val="decimal"/>
      <w:lvlText w:val="%1."/>
      <w:lvlJc w:val="left"/>
      <w:pPr>
        <w:ind w:left="720" w:hanging="360"/>
      </w:pPr>
    </w:lvl>
    <w:lvl w:ilvl="1" w:tplc="08090019">
      <w:start w:val="1"/>
      <w:numFmt w:val="lowerLetter"/>
      <w:lvlText w:val="%2."/>
      <w:lvlJc w:val="left"/>
      <w:pPr>
        <w:ind w:left="1440" w:hanging="360"/>
      </w:pPr>
    </w:lvl>
    <w:lvl w:ilvl="2" w:tplc="0809001B">
      <w:start w:val="1"/>
      <w:numFmt w:val="lowerRoman"/>
      <w:lvlText w:val="%3."/>
      <w:lvlJc w:val="right"/>
      <w:pPr>
        <w:ind w:left="2160" w:hanging="180"/>
      </w:pPr>
    </w:lvl>
    <w:lvl w:ilvl="3" w:tplc="0809000F">
      <w:start w:val="1"/>
      <w:numFmt w:val="decimal"/>
      <w:lvlText w:val="%4."/>
      <w:lvlJc w:val="left"/>
      <w:pPr>
        <w:ind w:left="2880" w:hanging="360"/>
      </w:pPr>
    </w:lvl>
    <w:lvl w:ilvl="4" w:tplc="08090019">
      <w:start w:val="1"/>
      <w:numFmt w:val="lowerLetter"/>
      <w:lvlText w:val="%5."/>
      <w:lvlJc w:val="left"/>
      <w:pPr>
        <w:ind w:left="3600" w:hanging="360"/>
      </w:pPr>
    </w:lvl>
    <w:lvl w:ilvl="5" w:tplc="0809001B">
      <w:start w:val="1"/>
      <w:numFmt w:val="lowerRoman"/>
      <w:lvlText w:val="%6."/>
      <w:lvlJc w:val="right"/>
      <w:pPr>
        <w:ind w:left="4320" w:hanging="180"/>
      </w:pPr>
    </w:lvl>
    <w:lvl w:ilvl="6" w:tplc="0809000F">
      <w:start w:val="1"/>
      <w:numFmt w:val="decimal"/>
      <w:lvlText w:val="%7."/>
      <w:lvlJc w:val="left"/>
      <w:pPr>
        <w:ind w:left="5040" w:hanging="360"/>
      </w:pPr>
    </w:lvl>
    <w:lvl w:ilvl="7" w:tplc="08090019">
      <w:start w:val="1"/>
      <w:numFmt w:val="lowerLetter"/>
      <w:lvlText w:val="%8."/>
      <w:lvlJc w:val="left"/>
      <w:pPr>
        <w:ind w:left="5760" w:hanging="360"/>
      </w:pPr>
    </w:lvl>
    <w:lvl w:ilvl="8" w:tplc="0809001B">
      <w:start w:val="1"/>
      <w:numFmt w:val="lowerRoman"/>
      <w:lvlText w:val="%9."/>
      <w:lvlJc w:val="right"/>
      <w:pPr>
        <w:ind w:left="6480" w:hanging="180"/>
      </w:pPr>
    </w:lvl>
  </w:abstractNum>
  <w:num w:numId="1">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453FD"/>
    <w:rsid w:val="000C72CE"/>
    <w:rsid w:val="000E74CA"/>
    <w:rsid w:val="00435CC9"/>
    <w:rsid w:val="0076702B"/>
    <w:rsid w:val="008453FD"/>
    <w:rsid w:val="00875AAA"/>
    <w:rsid w:val="009630B7"/>
    <w:rsid w:val="00AC028F"/>
    <w:rsid w:val="00BE04DD"/>
    <w:rsid w:val="00C51DB3"/>
    <w:rsid w:val="00F34E81"/>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7DA8F21"/>
  <w15:chartTrackingRefBased/>
  <w15:docId w15:val="{97AD5CCC-CCF9-4F63-8328-F5E7F41F5A7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8453FD"/>
    <w:pPr>
      <w:spacing w:after="0" w:line="240" w:lineRule="auto"/>
    </w:pPr>
    <w:rPr>
      <w:rFonts w:ascii="Calibri" w:hAnsi="Calibri" w:cs="Calibri"/>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BE04DD"/>
    <w:pPr>
      <w:tabs>
        <w:tab w:val="center" w:pos="4513"/>
        <w:tab w:val="right" w:pos="9026"/>
      </w:tabs>
    </w:pPr>
  </w:style>
  <w:style w:type="character" w:customStyle="1" w:styleId="HeaderChar">
    <w:name w:val="Header Char"/>
    <w:basedOn w:val="DefaultParagraphFont"/>
    <w:link w:val="Header"/>
    <w:uiPriority w:val="99"/>
    <w:rsid w:val="00BE04DD"/>
    <w:rPr>
      <w:rFonts w:ascii="Calibri" w:hAnsi="Calibri" w:cs="Calibri"/>
    </w:rPr>
  </w:style>
  <w:style w:type="paragraph" w:styleId="Footer">
    <w:name w:val="footer"/>
    <w:basedOn w:val="Normal"/>
    <w:link w:val="FooterChar"/>
    <w:uiPriority w:val="99"/>
    <w:unhideWhenUsed/>
    <w:rsid w:val="00BE04DD"/>
    <w:pPr>
      <w:tabs>
        <w:tab w:val="center" w:pos="4513"/>
        <w:tab w:val="right" w:pos="9026"/>
      </w:tabs>
    </w:pPr>
  </w:style>
  <w:style w:type="character" w:customStyle="1" w:styleId="FooterChar">
    <w:name w:val="Footer Char"/>
    <w:basedOn w:val="DefaultParagraphFont"/>
    <w:link w:val="Footer"/>
    <w:uiPriority w:val="99"/>
    <w:rsid w:val="00BE04DD"/>
    <w:rPr>
      <w:rFonts w:ascii="Calibri" w:hAnsi="Calibri" w:cs="Calibri"/>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538590341">
      <w:bodyDiv w:val="1"/>
      <w:marLeft w:val="0"/>
      <w:marRight w:val="0"/>
      <w:marTop w:val="0"/>
      <w:marBottom w:val="0"/>
      <w:divBdr>
        <w:top w:val="none" w:sz="0" w:space="0" w:color="auto"/>
        <w:left w:val="none" w:sz="0" w:space="0" w:color="auto"/>
        <w:bottom w:val="none" w:sz="0" w:space="0" w:color="auto"/>
        <w:right w:val="none" w:sz="0" w:space="0" w:color="auto"/>
      </w:divBdr>
    </w:div>
    <w:div w:id="745107454">
      <w:bodyDiv w:val="1"/>
      <w:marLeft w:val="0"/>
      <w:marRight w:val="0"/>
      <w:marTop w:val="0"/>
      <w:marBottom w:val="0"/>
      <w:divBdr>
        <w:top w:val="none" w:sz="0" w:space="0" w:color="auto"/>
        <w:left w:val="none" w:sz="0" w:space="0" w:color="auto"/>
        <w:bottom w:val="none" w:sz="0" w:space="0" w:color="auto"/>
        <w:right w:val="none" w:sz="0" w:space="0" w:color="auto"/>
      </w:divBdr>
    </w:div>
    <w:div w:id="75386663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yperlink" Target="mailto:e.a.steed@qmul.ac.uk"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TotalTime>
  <Pages>4</Pages>
  <Words>883</Words>
  <Characters>5034</Characters>
  <Application>Microsoft Office Word</Application>
  <DocSecurity>0</DocSecurity>
  <Lines>41</Lines>
  <Paragraphs>11</Paragraphs>
  <ScaleCrop>false</ScaleCrop>
  <Company/>
  <LinksUpToDate>false</LinksUpToDate>
  <CharactersWithSpaces>5906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Reale, Sophie</dc:creator>
  <cp:keywords/>
  <dc:description/>
  <cp:lastModifiedBy>Turner, Rebecca</cp:lastModifiedBy>
  <cp:revision>7</cp:revision>
  <dcterms:created xsi:type="dcterms:W3CDTF">2020-12-15T10:13:00Z</dcterms:created>
  <dcterms:modified xsi:type="dcterms:W3CDTF">2020-12-17T10:51:00Z</dcterms:modified>
</cp:coreProperties>
</file>