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tblpY="-209"/>
        <w:tblW w:w="12888" w:type="dxa"/>
        <w:tblLayout w:type="fixed"/>
        <w:tblLook w:val="04A0" w:firstRow="1" w:lastRow="0" w:firstColumn="1" w:lastColumn="0" w:noHBand="0" w:noVBand="1"/>
      </w:tblPr>
      <w:tblGrid>
        <w:gridCol w:w="3528"/>
        <w:gridCol w:w="9288"/>
        <w:gridCol w:w="72"/>
      </w:tblGrid>
      <w:tr w:rsidR="00690662" w:rsidRPr="00285DEA" w14:paraId="10E262B4" w14:textId="77777777" w:rsidTr="00690662">
        <w:trPr>
          <w:gridAfter w:val="1"/>
          <w:wAfter w:w="72" w:type="dxa"/>
        </w:trPr>
        <w:tc>
          <w:tcPr>
            <w:tcW w:w="12816" w:type="dxa"/>
            <w:gridSpan w:val="2"/>
            <w:tcBorders>
              <w:top w:val="nil"/>
              <w:left w:val="nil"/>
              <w:right w:val="nil"/>
            </w:tcBorders>
          </w:tcPr>
          <w:p w14:paraId="05CC7CF4" w14:textId="77777777" w:rsidR="00690662" w:rsidRPr="00285DEA" w:rsidRDefault="00690662" w:rsidP="0069066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Appe</w:t>
            </w:r>
            <w:bookmarkStart w:id="0" w:name="_GoBack"/>
            <w:bookmarkEnd w:id="0"/>
            <w:r>
              <w:rPr>
                <w:b/>
                <w:sz w:val="22"/>
                <w:szCs w:val="22"/>
              </w:rPr>
              <w:t>ndix</w:t>
            </w:r>
            <w:r w:rsidRPr="00285DEA">
              <w:rPr>
                <w:b/>
                <w:sz w:val="22"/>
                <w:szCs w:val="22"/>
              </w:rPr>
              <w:t xml:space="preserve">. PIPT Training Course Content </w:t>
            </w:r>
            <w:r>
              <w:rPr>
                <w:b/>
                <w:sz w:val="22"/>
                <w:szCs w:val="22"/>
              </w:rPr>
              <w:t>Details</w:t>
            </w:r>
            <w:r w:rsidRPr="00285DEA">
              <w:rPr>
                <w:b/>
                <w:sz w:val="22"/>
                <w:szCs w:val="22"/>
              </w:rPr>
              <w:t>.</w:t>
            </w:r>
          </w:p>
        </w:tc>
      </w:tr>
      <w:tr w:rsidR="00690662" w:rsidRPr="00285DEA" w14:paraId="1BD7EE7A" w14:textId="77777777" w:rsidTr="00690662">
        <w:tc>
          <w:tcPr>
            <w:tcW w:w="3528" w:type="dxa"/>
          </w:tcPr>
          <w:p w14:paraId="57F1407F" w14:textId="77777777" w:rsidR="00690662" w:rsidRPr="00285DEA" w:rsidRDefault="00690662" w:rsidP="00690662">
            <w:pPr>
              <w:rPr>
                <w:sz w:val="22"/>
                <w:szCs w:val="22"/>
              </w:rPr>
            </w:pPr>
          </w:p>
        </w:tc>
        <w:tc>
          <w:tcPr>
            <w:tcW w:w="9360" w:type="dxa"/>
            <w:gridSpan w:val="2"/>
          </w:tcPr>
          <w:p w14:paraId="5D442F50" w14:textId="77777777" w:rsidR="00690662" w:rsidRPr="0092377A" w:rsidRDefault="00690662" w:rsidP="0069066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Content Description</w:t>
            </w:r>
          </w:p>
        </w:tc>
      </w:tr>
      <w:tr w:rsidR="00690662" w:rsidRPr="00285DEA" w14:paraId="76B5617A" w14:textId="77777777" w:rsidTr="00690662">
        <w:tc>
          <w:tcPr>
            <w:tcW w:w="3528" w:type="dxa"/>
            <w:shd w:val="clear" w:color="auto" w:fill="D9D9D9" w:themeFill="background1" w:themeFillShade="D9"/>
          </w:tcPr>
          <w:p w14:paraId="45E46CB3" w14:textId="77777777" w:rsidR="00690662" w:rsidRPr="00285DEA" w:rsidRDefault="00690662" w:rsidP="00690662">
            <w:pPr>
              <w:rPr>
                <w:b/>
                <w:sz w:val="22"/>
                <w:szCs w:val="22"/>
              </w:rPr>
            </w:pPr>
            <w:r w:rsidRPr="00285DEA">
              <w:rPr>
                <w:b/>
                <w:sz w:val="22"/>
                <w:szCs w:val="22"/>
              </w:rPr>
              <w:t>Overview</w:t>
            </w:r>
          </w:p>
        </w:tc>
        <w:tc>
          <w:tcPr>
            <w:tcW w:w="9360" w:type="dxa"/>
            <w:gridSpan w:val="2"/>
            <w:shd w:val="clear" w:color="auto" w:fill="D9D9D9" w:themeFill="background1" w:themeFillShade="D9"/>
          </w:tcPr>
          <w:p w14:paraId="672AF993" w14:textId="77777777" w:rsidR="00690662" w:rsidRPr="00285DEA" w:rsidRDefault="00690662" w:rsidP="00690662">
            <w:pPr>
              <w:rPr>
                <w:sz w:val="22"/>
                <w:szCs w:val="22"/>
              </w:rPr>
            </w:pPr>
          </w:p>
        </w:tc>
      </w:tr>
      <w:tr w:rsidR="00690662" w:rsidRPr="00285DEA" w14:paraId="3EE9593A" w14:textId="77777777" w:rsidTr="00690662">
        <w:tc>
          <w:tcPr>
            <w:tcW w:w="3528" w:type="dxa"/>
          </w:tcPr>
          <w:p w14:paraId="276986CC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Pain Science Update</w:t>
            </w:r>
          </w:p>
        </w:tc>
        <w:tc>
          <w:tcPr>
            <w:tcW w:w="9360" w:type="dxa"/>
            <w:gridSpan w:val="2"/>
            <w:vAlign w:val="center"/>
          </w:tcPr>
          <w:p w14:paraId="16651528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Variability as</w:t>
            </w:r>
            <w:r w:rsidRPr="00210BEA">
              <w:rPr>
                <w:sz w:val="22"/>
                <w:szCs w:val="22"/>
              </w:rPr>
              <w:t xml:space="preserve"> an inherent feature of the pain experience</w:t>
            </w:r>
            <w:r>
              <w:rPr>
                <w:sz w:val="22"/>
                <w:szCs w:val="22"/>
              </w:rPr>
              <w:t xml:space="preserve">; psychological factors as indicators to provide explanation of </w:t>
            </w:r>
            <w:r w:rsidRPr="00210BE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pain related patient differences</w:t>
            </w:r>
          </w:p>
        </w:tc>
      </w:tr>
      <w:tr w:rsidR="00690662" w:rsidRPr="00285DEA" w14:paraId="6DF96B77" w14:textId="77777777" w:rsidTr="00690662">
        <w:tc>
          <w:tcPr>
            <w:tcW w:w="3528" w:type="dxa"/>
          </w:tcPr>
          <w:p w14:paraId="1910DAAB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PIPT Overview</w:t>
            </w:r>
          </w:p>
        </w:tc>
        <w:tc>
          <w:tcPr>
            <w:tcW w:w="9360" w:type="dxa"/>
            <w:gridSpan w:val="2"/>
            <w:vAlign w:val="center"/>
          </w:tcPr>
          <w:p w14:paraId="36A1885F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</w:t>
            </w:r>
            <w:r w:rsidRPr="00B236DB">
              <w:rPr>
                <w:sz w:val="22"/>
                <w:szCs w:val="22"/>
              </w:rPr>
              <w:t>dentification of pain associated psychological distress and use of targeted treatment approaches as key tenets of PIPT; preventing transition to chronic back pain is a primary outcome goal for PIPT</w:t>
            </w:r>
          </w:p>
        </w:tc>
      </w:tr>
      <w:tr w:rsidR="00690662" w:rsidRPr="00285DEA" w14:paraId="03D7D002" w14:textId="77777777" w:rsidTr="00690662">
        <w:tc>
          <w:tcPr>
            <w:tcW w:w="3528" w:type="dxa"/>
          </w:tcPr>
          <w:p w14:paraId="149CB4F6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Risk Stratification</w:t>
            </w:r>
          </w:p>
        </w:tc>
        <w:tc>
          <w:tcPr>
            <w:tcW w:w="9360" w:type="dxa"/>
            <w:gridSpan w:val="2"/>
            <w:vAlign w:val="center"/>
          </w:tcPr>
          <w:p w14:paraId="5AD6F73D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Patient subgrouping; prognostic risk stratification; </w:t>
            </w:r>
            <w:proofErr w:type="spellStart"/>
            <w:r>
              <w:rPr>
                <w:sz w:val="22"/>
                <w:szCs w:val="22"/>
              </w:rPr>
              <w:t>STarT</w:t>
            </w:r>
            <w:proofErr w:type="spellEnd"/>
            <w:r>
              <w:rPr>
                <w:sz w:val="22"/>
                <w:szCs w:val="22"/>
              </w:rPr>
              <w:t xml:space="preserve"> Back Screening Tool</w:t>
            </w:r>
          </w:p>
        </w:tc>
      </w:tr>
      <w:tr w:rsidR="00690662" w:rsidRPr="00285DEA" w14:paraId="617006D9" w14:textId="77777777" w:rsidTr="00690662">
        <w:tc>
          <w:tcPr>
            <w:tcW w:w="3528" w:type="dxa"/>
          </w:tcPr>
          <w:p w14:paraId="09537EF9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Targeted Treatment</w:t>
            </w:r>
          </w:p>
        </w:tc>
        <w:tc>
          <w:tcPr>
            <w:tcW w:w="9360" w:type="dxa"/>
            <w:gridSpan w:val="2"/>
            <w:vAlign w:val="center"/>
          </w:tcPr>
          <w:p w14:paraId="633ACA4E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General overview of recommended treatment pathways for </w:t>
            </w:r>
            <w:proofErr w:type="spellStart"/>
            <w:r>
              <w:rPr>
                <w:sz w:val="22"/>
                <w:szCs w:val="22"/>
              </w:rPr>
              <w:t>STarT</w:t>
            </w:r>
            <w:proofErr w:type="spellEnd"/>
            <w:r>
              <w:rPr>
                <w:sz w:val="22"/>
                <w:szCs w:val="22"/>
              </w:rPr>
              <w:t xml:space="preserve"> Back low, medium, and high risk</w:t>
            </w:r>
          </w:p>
        </w:tc>
      </w:tr>
      <w:tr w:rsidR="00690662" w:rsidRPr="00285DEA" w14:paraId="091688AB" w14:textId="77777777" w:rsidTr="00690662">
        <w:tc>
          <w:tcPr>
            <w:tcW w:w="3528" w:type="dxa"/>
          </w:tcPr>
          <w:p w14:paraId="21C39DFB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Cognitive Behavioral Therapy</w:t>
            </w:r>
          </w:p>
        </w:tc>
        <w:tc>
          <w:tcPr>
            <w:tcW w:w="9360" w:type="dxa"/>
            <w:gridSpan w:val="2"/>
            <w:vAlign w:val="center"/>
          </w:tcPr>
          <w:p w14:paraId="68907648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Principal CBT assumptions (e.g., treatment to address cognitive, emotional, and behavioral dimensions); CBT components (e.g., goal setting, skill development, monitoring, maintenance); distinction between CBT and PIPT</w:t>
            </w:r>
          </w:p>
        </w:tc>
      </w:tr>
      <w:tr w:rsidR="00690662" w:rsidRPr="00285DEA" w14:paraId="57E1DFA0" w14:textId="77777777" w:rsidTr="00690662">
        <w:tc>
          <w:tcPr>
            <w:tcW w:w="3528" w:type="dxa"/>
          </w:tcPr>
          <w:p w14:paraId="4085B9CD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Self-reflection</w:t>
            </w:r>
          </w:p>
        </w:tc>
        <w:tc>
          <w:tcPr>
            <w:tcW w:w="9360" w:type="dxa"/>
            <w:gridSpan w:val="2"/>
            <w:vAlign w:val="center"/>
          </w:tcPr>
          <w:p w14:paraId="6535B15B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Reflection on working with patient who is challenging to therapist (recognizing own thoughts, moods, sensations); empowerment through awareness; challenges and opportunities for physical therapist</w:t>
            </w:r>
          </w:p>
        </w:tc>
      </w:tr>
      <w:tr w:rsidR="00690662" w:rsidRPr="00285DEA" w14:paraId="6056B7E5" w14:textId="77777777" w:rsidTr="00690662">
        <w:tc>
          <w:tcPr>
            <w:tcW w:w="3528" w:type="dxa"/>
            <w:shd w:val="clear" w:color="auto" w:fill="D9D9D9" w:themeFill="background1" w:themeFillShade="D9"/>
          </w:tcPr>
          <w:p w14:paraId="0F4CE8BA" w14:textId="77777777" w:rsidR="00690662" w:rsidRPr="00285DEA" w:rsidRDefault="00690662" w:rsidP="00690662">
            <w:pPr>
              <w:rPr>
                <w:b/>
                <w:sz w:val="22"/>
                <w:szCs w:val="22"/>
              </w:rPr>
            </w:pPr>
            <w:r w:rsidRPr="00285DEA">
              <w:rPr>
                <w:b/>
                <w:sz w:val="22"/>
                <w:szCs w:val="22"/>
              </w:rPr>
              <w:t>PIPT Management</w:t>
            </w:r>
          </w:p>
        </w:tc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1488D4C1" w14:textId="77777777" w:rsidR="00690662" w:rsidRPr="00285DEA" w:rsidRDefault="00690662" w:rsidP="00690662">
            <w:pPr>
              <w:rPr>
                <w:sz w:val="22"/>
                <w:szCs w:val="22"/>
              </w:rPr>
            </w:pPr>
          </w:p>
        </w:tc>
      </w:tr>
      <w:tr w:rsidR="00690662" w:rsidRPr="00285DEA" w14:paraId="4EEA4C80" w14:textId="77777777" w:rsidTr="00690662">
        <w:tc>
          <w:tcPr>
            <w:tcW w:w="3528" w:type="dxa"/>
            <w:shd w:val="clear" w:color="auto" w:fill="B8CCE4" w:themeFill="accent1" w:themeFillTint="66"/>
          </w:tcPr>
          <w:p w14:paraId="79D9A67A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Patient-Centered Communication</w:t>
            </w:r>
          </w:p>
        </w:tc>
        <w:tc>
          <w:tcPr>
            <w:tcW w:w="9360" w:type="dxa"/>
            <w:gridSpan w:val="2"/>
            <w:vAlign w:val="center"/>
          </w:tcPr>
          <w:p w14:paraId="2DD491CE" w14:textId="77777777" w:rsidR="00690662" w:rsidRPr="00285DEA" w:rsidRDefault="00690662" w:rsidP="00690662">
            <w:pPr>
              <w:rPr>
                <w:sz w:val="22"/>
                <w:szCs w:val="22"/>
              </w:rPr>
            </w:pPr>
          </w:p>
        </w:tc>
      </w:tr>
      <w:tr w:rsidR="00690662" w:rsidRPr="00285DEA" w14:paraId="159E1BDA" w14:textId="77777777" w:rsidTr="00690662">
        <w:tc>
          <w:tcPr>
            <w:tcW w:w="3528" w:type="dxa"/>
          </w:tcPr>
          <w:p w14:paraId="0D859AFA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Active Listening</w:t>
            </w:r>
          </w:p>
        </w:tc>
        <w:tc>
          <w:tcPr>
            <w:tcW w:w="9360" w:type="dxa"/>
            <w:gridSpan w:val="2"/>
            <w:vAlign w:val="center"/>
          </w:tcPr>
          <w:p w14:paraId="59971F71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Examples, roadblocks, strategies</w:t>
            </w:r>
          </w:p>
        </w:tc>
      </w:tr>
      <w:tr w:rsidR="00690662" w:rsidRPr="00285DEA" w14:paraId="76F85264" w14:textId="77777777" w:rsidTr="00690662">
        <w:tc>
          <w:tcPr>
            <w:tcW w:w="3528" w:type="dxa"/>
          </w:tcPr>
          <w:p w14:paraId="6D9F3FF3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Motivational Interviewing</w:t>
            </w:r>
          </w:p>
        </w:tc>
        <w:tc>
          <w:tcPr>
            <w:tcW w:w="9360" w:type="dxa"/>
            <w:gridSpan w:val="2"/>
            <w:vAlign w:val="center"/>
          </w:tcPr>
          <w:p w14:paraId="1165519B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Components (acceptance, compassion, evocation, partnership); strategies (open-ended questions, affirmations, reflections, summary)</w:t>
            </w:r>
          </w:p>
        </w:tc>
      </w:tr>
      <w:tr w:rsidR="00690662" w:rsidRPr="00285DEA" w14:paraId="7E41B28E" w14:textId="77777777" w:rsidTr="00690662">
        <w:tc>
          <w:tcPr>
            <w:tcW w:w="3528" w:type="dxa"/>
          </w:tcPr>
          <w:p w14:paraId="2F7DB12D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Goal-setting</w:t>
            </w:r>
          </w:p>
        </w:tc>
        <w:tc>
          <w:tcPr>
            <w:tcW w:w="9360" w:type="dxa"/>
            <w:gridSpan w:val="2"/>
            <w:vAlign w:val="center"/>
          </w:tcPr>
          <w:p w14:paraId="0402E617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Collaborative process; assessing patient confidence, commitment, and barriers; SMART goals (specific, measureable, attainable, relevant, time-based)</w:t>
            </w:r>
          </w:p>
        </w:tc>
      </w:tr>
      <w:tr w:rsidR="00690662" w:rsidRPr="00285DEA" w14:paraId="1E74B330" w14:textId="77777777" w:rsidTr="00690662">
        <w:tc>
          <w:tcPr>
            <w:tcW w:w="3528" w:type="dxa"/>
            <w:shd w:val="clear" w:color="auto" w:fill="B8CCE4" w:themeFill="accent1" w:themeFillTint="66"/>
          </w:tcPr>
          <w:p w14:paraId="396BE640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Pain Coping Skills</w:t>
            </w:r>
          </w:p>
        </w:tc>
        <w:tc>
          <w:tcPr>
            <w:tcW w:w="9360" w:type="dxa"/>
            <w:gridSpan w:val="2"/>
            <w:vAlign w:val="center"/>
          </w:tcPr>
          <w:p w14:paraId="7B6CF80B" w14:textId="77777777" w:rsidR="00690662" w:rsidRPr="00285DEA" w:rsidRDefault="00690662" w:rsidP="00690662">
            <w:pPr>
              <w:rPr>
                <w:sz w:val="22"/>
                <w:szCs w:val="22"/>
              </w:rPr>
            </w:pPr>
          </w:p>
        </w:tc>
      </w:tr>
      <w:tr w:rsidR="00690662" w:rsidRPr="00285DEA" w14:paraId="6643BCF0" w14:textId="77777777" w:rsidTr="00690662">
        <w:tc>
          <w:tcPr>
            <w:tcW w:w="3528" w:type="dxa"/>
          </w:tcPr>
          <w:p w14:paraId="7E0AEF35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 xml:space="preserve">Physiologic Relaxation </w:t>
            </w:r>
          </w:p>
        </w:tc>
        <w:tc>
          <w:tcPr>
            <w:tcW w:w="9360" w:type="dxa"/>
            <w:gridSpan w:val="2"/>
            <w:vAlign w:val="center"/>
          </w:tcPr>
          <w:p w14:paraId="0487BBFE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Diaphragmatic breathing methods, progressive muscle relaxation</w:t>
            </w:r>
          </w:p>
        </w:tc>
      </w:tr>
      <w:tr w:rsidR="00690662" w:rsidRPr="00285DEA" w14:paraId="4DF054ED" w14:textId="77777777" w:rsidTr="00690662">
        <w:tc>
          <w:tcPr>
            <w:tcW w:w="3528" w:type="dxa"/>
          </w:tcPr>
          <w:p w14:paraId="4FB42FD5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Imagery</w:t>
            </w:r>
          </w:p>
        </w:tc>
        <w:tc>
          <w:tcPr>
            <w:tcW w:w="9360" w:type="dxa"/>
            <w:gridSpan w:val="2"/>
            <w:vAlign w:val="center"/>
          </w:tcPr>
          <w:p w14:paraId="4E9BE6C1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Pleasant place imagery</w:t>
            </w:r>
          </w:p>
        </w:tc>
      </w:tr>
      <w:tr w:rsidR="00690662" w:rsidRPr="00285DEA" w14:paraId="6A719200" w14:textId="77777777" w:rsidTr="00690662">
        <w:tc>
          <w:tcPr>
            <w:tcW w:w="3528" w:type="dxa"/>
          </w:tcPr>
          <w:p w14:paraId="17F6E7A2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 xml:space="preserve">Replacing cognitive distortions </w:t>
            </w:r>
          </w:p>
        </w:tc>
        <w:tc>
          <w:tcPr>
            <w:tcW w:w="9360" w:type="dxa"/>
            <w:gridSpan w:val="2"/>
            <w:vAlign w:val="center"/>
          </w:tcPr>
          <w:p w14:paraId="7620FC07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Using </w:t>
            </w:r>
            <w:proofErr w:type="spellStart"/>
            <w:r>
              <w:rPr>
                <w:sz w:val="22"/>
                <w:szCs w:val="22"/>
              </w:rPr>
              <w:t>STarT</w:t>
            </w:r>
            <w:proofErr w:type="spellEnd"/>
            <w:r>
              <w:rPr>
                <w:sz w:val="22"/>
                <w:szCs w:val="22"/>
              </w:rPr>
              <w:t xml:space="preserve"> Back Tool responses to identify and replace unhelpful thinking; treatment time efficiency</w:t>
            </w:r>
          </w:p>
        </w:tc>
      </w:tr>
      <w:tr w:rsidR="00690662" w:rsidRPr="00285DEA" w14:paraId="4899A6F9" w14:textId="77777777" w:rsidTr="00690662">
        <w:tc>
          <w:tcPr>
            <w:tcW w:w="3528" w:type="dxa"/>
            <w:shd w:val="clear" w:color="auto" w:fill="B8CCE4" w:themeFill="accent1" w:themeFillTint="66"/>
          </w:tcPr>
          <w:p w14:paraId="21FAF4C6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Patient Education</w:t>
            </w:r>
          </w:p>
        </w:tc>
        <w:tc>
          <w:tcPr>
            <w:tcW w:w="9360" w:type="dxa"/>
            <w:gridSpan w:val="2"/>
            <w:vAlign w:val="center"/>
          </w:tcPr>
          <w:p w14:paraId="338D238D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</w:t>
            </w:r>
            <w:r w:rsidRPr="009A122C">
              <w:rPr>
                <w:sz w:val="22"/>
                <w:szCs w:val="22"/>
              </w:rPr>
              <w:t>nteractive, online program to help individuals manage pain following an injury</w:t>
            </w:r>
          </w:p>
        </w:tc>
      </w:tr>
      <w:tr w:rsidR="00690662" w:rsidRPr="00285DEA" w14:paraId="6F5BD7E7" w14:textId="77777777" w:rsidTr="00690662">
        <w:tc>
          <w:tcPr>
            <w:tcW w:w="3528" w:type="dxa"/>
            <w:shd w:val="clear" w:color="auto" w:fill="B8CCE4" w:themeFill="accent1" w:themeFillTint="66"/>
          </w:tcPr>
          <w:p w14:paraId="49A774A0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Activity Based</w:t>
            </w:r>
          </w:p>
        </w:tc>
        <w:tc>
          <w:tcPr>
            <w:tcW w:w="9360" w:type="dxa"/>
            <w:gridSpan w:val="2"/>
            <w:vAlign w:val="center"/>
          </w:tcPr>
          <w:p w14:paraId="3831F39E" w14:textId="77777777" w:rsidR="00690662" w:rsidRPr="00285DEA" w:rsidRDefault="00690662" w:rsidP="00690662">
            <w:pPr>
              <w:rPr>
                <w:sz w:val="22"/>
                <w:szCs w:val="22"/>
              </w:rPr>
            </w:pPr>
          </w:p>
        </w:tc>
      </w:tr>
      <w:tr w:rsidR="00690662" w:rsidRPr="00285DEA" w14:paraId="3DD634D2" w14:textId="77777777" w:rsidTr="00690662">
        <w:tc>
          <w:tcPr>
            <w:tcW w:w="3528" w:type="dxa"/>
          </w:tcPr>
          <w:p w14:paraId="31769B26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Graded Exercise</w:t>
            </w:r>
          </w:p>
        </w:tc>
        <w:tc>
          <w:tcPr>
            <w:tcW w:w="9360" w:type="dxa"/>
            <w:gridSpan w:val="2"/>
            <w:vAlign w:val="center"/>
          </w:tcPr>
          <w:p w14:paraId="2E2ADFBE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Operant-conditioning model; quota-based dosage system; progression; reward strategies</w:t>
            </w:r>
          </w:p>
        </w:tc>
      </w:tr>
      <w:tr w:rsidR="00690662" w:rsidRPr="00285DEA" w14:paraId="7122677E" w14:textId="77777777" w:rsidTr="00690662">
        <w:tc>
          <w:tcPr>
            <w:tcW w:w="3528" w:type="dxa"/>
          </w:tcPr>
          <w:p w14:paraId="5DB529FD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Graded Exposure</w:t>
            </w:r>
          </w:p>
        </w:tc>
        <w:tc>
          <w:tcPr>
            <w:tcW w:w="9360" w:type="dxa"/>
            <w:gridSpan w:val="2"/>
            <w:vAlign w:val="center"/>
          </w:tcPr>
          <w:p w14:paraId="0A18B69D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Phobia model; </w:t>
            </w:r>
            <w:r w:rsidRPr="009F54C8">
              <w:rPr>
                <w:sz w:val="22"/>
                <w:szCs w:val="22"/>
              </w:rPr>
              <w:t>hierarchical exposure approach</w:t>
            </w:r>
            <w:r>
              <w:rPr>
                <w:sz w:val="22"/>
                <w:szCs w:val="22"/>
              </w:rPr>
              <w:t>; progression based on decreased fear of activity</w:t>
            </w:r>
          </w:p>
        </w:tc>
      </w:tr>
      <w:tr w:rsidR="00690662" w:rsidRPr="00285DEA" w14:paraId="0C9CB675" w14:textId="77777777" w:rsidTr="00690662">
        <w:tc>
          <w:tcPr>
            <w:tcW w:w="3528" w:type="dxa"/>
            <w:shd w:val="clear" w:color="auto" w:fill="B8CCE4" w:themeFill="accent1" w:themeFillTint="66"/>
          </w:tcPr>
          <w:p w14:paraId="4FE95165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Impairment Based</w:t>
            </w:r>
          </w:p>
        </w:tc>
        <w:tc>
          <w:tcPr>
            <w:tcW w:w="9360" w:type="dxa"/>
            <w:gridSpan w:val="2"/>
            <w:vAlign w:val="center"/>
          </w:tcPr>
          <w:p w14:paraId="44E47D03" w14:textId="77777777" w:rsidR="00690662" w:rsidRPr="00285DEA" w:rsidRDefault="00690662" w:rsidP="00690662">
            <w:pPr>
              <w:rPr>
                <w:sz w:val="22"/>
                <w:szCs w:val="22"/>
              </w:rPr>
            </w:pPr>
          </w:p>
        </w:tc>
      </w:tr>
      <w:tr w:rsidR="00690662" w:rsidRPr="00285DEA" w14:paraId="359EEAAB" w14:textId="77777777" w:rsidTr="00690662">
        <w:tc>
          <w:tcPr>
            <w:tcW w:w="3528" w:type="dxa"/>
          </w:tcPr>
          <w:p w14:paraId="73105C3A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Clinical Practice Guidelines</w:t>
            </w:r>
          </w:p>
        </w:tc>
        <w:tc>
          <w:tcPr>
            <w:tcW w:w="9360" w:type="dxa"/>
            <w:gridSpan w:val="2"/>
            <w:vAlign w:val="center"/>
          </w:tcPr>
          <w:p w14:paraId="55AEFFFA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Review of </w:t>
            </w:r>
            <w:proofErr w:type="spellStart"/>
            <w:r>
              <w:rPr>
                <w:sz w:val="22"/>
                <w:szCs w:val="22"/>
              </w:rPr>
              <w:t>Orthopaedic</w:t>
            </w:r>
            <w:proofErr w:type="spellEnd"/>
            <w:r>
              <w:rPr>
                <w:sz w:val="22"/>
                <w:szCs w:val="22"/>
              </w:rPr>
              <w:t xml:space="preserve"> Section of the APTA Low Back Pain Clinical Practice Guidelines</w:t>
            </w:r>
          </w:p>
        </w:tc>
      </w:tr>
      <w:tr w:rsidR="00690662" w:rsidRPr="00285DEA" w14:paraId="45296D92" w14:textId="77777777" w:rsidTr="00690662">
        <w:tc>
          <w:tcPr>
            <w:tcW w:w="3528" w:type="dxa"/>
            <w:shd w:val="clear" w:color="auto" w:fill="B8CCE4" w:themeFill="accent1" w:themeFillTint="66"/>
          </w:tcPr>
          <w:p w14:paraId="2C9D7B96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Treatment Monitoring</w:t>
            </w:r>
          </w:p>
        </w:tc>
        <w:tc>
          <w:tcPr>
            <w:tcW w:w="9360" w:type="dxa"/>
            <w:gridSpan w:val="2"/>
            <w:vAlign w:val="center"/>
          </w:tcPr>
          <w:p w14:paraId="309AFEB0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Treatment monitoring concept and suggested methods</w:t>
            </w:r>
          </w:p>
        </w:tc>
      </w:tr>
      <w:tr w:rsidR="00690662" w:rsidRPr="00285DEA" w14:paraId="1F651138" w14:textId="77777777" w:rsidTr="00690662">
        <w:tc>
          <w:tcPr>
            <w:tcW w:w="3528" w:type="dxa"/>
            <w:shd w:val="clear" w:color="auto" w:fill="B8CCE4" w:themeFill="accent1" w:themeFillTint="66"/>
          </w:tcPr>
          <w:p w14:paraId="615D4664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 w:rsidRPr="00285DEA">
              <w:rPr>
                <w:sz w:val="22"/>
                <w:szCs w:val="22"/>
              </w:rPr>
              <w:t>Challenges and Opportunities</w:t>
            </w:r>
          </w:p>
        </w:tc>
        <w:tc>
          <w:tcPr>
            <w:tcW w:w="9360" w:type="dxa"/>
            <w:gridSpan w:val="2"/>
            <w:vAlign w:val="center"/>
          </w:tcPr>
          <w:p w14:paraId="526247B0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discussion with reference to peer-reviewed literature surrounding topic</w:t>
            </w:r>
          </w:p>
        </w:tc>
      </w:tr>
      <w:tr w:rsidR="00690662" w:rsidRPr="00285DEA" w14:paraId="05CDE1F9" w14:textId="77777777" w:rsidTr="00690662">
        <w:tc>
          <w:tcPr>
            <w:tcW w:w="12888" w:type="dxa"/>
            <w:gridSpan w:val="3"/>
            <w:tcBorders>
              <w:left w:val="nil"/>
              <w:bottom w:val="nil"/>
              <w:right w:val="nil"/>
            </w:tcBorders>
          </w:tcPr>
          <w:p w14:paraId="03524280" w14:textId="77777777" w:rsidR="00690662" w:rsidRPr="00285DEA" w:rsidRDefault="00690662" w:rsidP="006906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PIPT = Psychologically Informed Physical Therapy; CBT = Cognitive Behavioral Therapy; APTA = American Physical Therapy Association </w:t>
            </w:r>
          </w:p>
        </w:tc>
      </w:tr>
    </w:tbl>
    <w:p w14:paraId="23CD17D2" w14:textId="77777777" w:rsidR="006F7A94" w:rsidRDefault="006F7A94" w:rsidP="00041784"/>
    <w:p w14:paraId="475B6CF7" w14:textId="77777777" w:rsidR="00031131" w:rsidRPr="005D3331" w:rsidRDefault="00031131" w:rsidP="005D3331"/>
    <w:sectPr w:rsidR="00031131" w:rsidRPr="005D3331" w:rsidSect="00DF2821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53FA23B" w16cid:durableId="20166C49"/>
  <w16cid:commentId w16cid:paraId="03BBBC87" w16cid:durableId="20166D9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BB3990"/>
    <w:multiLevelType w:val="hybridMultilevel"/>
    <w:tmpl w:val="FC54C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326BCF"/>
    <w:multiLevelType w:val="hybridMultilevel"/>
    <w:tmpl w:val="6B10A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A66179"/>
    <w:multiLevelType w:val="hybridMultilevel"/>
    <w:tmpl w:val="97CAA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4E3F62"/>
    <w:multiLevelType w:val="hybridMultilevel"/>
    <w:tmpl w:val="5232B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rawingGridHorizontalSpacing w:val="18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263"/>
    <w:rsid w:val="00000CA6"/>
    <w:rsid w:val="00005924"/>
    <w:rsid w:val="00010468"/>
    <w:rsid w:val="00010E93"/>
    <w:rsid w:val="00010F89"/>
    <w:rsid w:val="0001329B"/>
    <w:rsid w:val="000165C3"/>
    <w:rsid w:val="00017C2E"/>
    <w:rsid w:val="0002201E"/>
    <w:rsid w:val="000275AE"/>
    <w:rsid w:val="00031131"/>
    <w:rsid w:val="00032D87"/>
    <w:rsid w:val="00033809"/>
    <w:rsid w:val="00033F2E"/>
    <w:rsid w:val="00034BF9"/>
    <w:rsid w:val="00041784"/>
    <w:rsid w:val="00046305"/>
    <w:rsid w:val="00051670"/>
    <w:rsid w:val="000522A0"/>
    <w:rsid w:val="00056105"/>
    <w:rsid w:val="0005768F"/>
    <w:rsid w:val="000612FA"/>
    <w:rsid w:val="00061E2B"/>
    <w:rsid w:val="00062736"/>
    <w:rsid w:val="000637DC"/>
    <w:rsid w:val="00067D01"/>
    <w:rsid w:val="000712DE"/>
    <w:rsid w:val="00072383"/>
    <w:rsid w:val="0007451B"/>
    <w:rsid w:val="0007639C"/>
    <w:rsid w:val="00076F71"/>
    <w:rsid w:val="00080BEC"/>
    <w:rsid w:val="000964BD"/>
    <w:rsid w:val="000A0CB0"/>
    <w:rsid w:val="000A3A44"/>
    <w:rsid w:val="000A599F"/>
    <w:rsid w:val="000A68EB"/>
    <w:rsid w:val="000A6FE6"/>
    <w:rsid w:val="000A70A8"/>
    <w:rsid w:val="000B6766"/>
    <w:rsid w:val="000C6F1F"/>
    <w:rsid w:val="000D0AE2"/>
    <w:rsid w:val="000D3D50"/>
    <w:rsid w:val="000D45E5"/>
    <w:rsid w:val="000D6433"/>
    <w:rsid w:val="000D78B6"/>
    <w:rsid w:val="000D78DF"/>
    <w:rsid w:val="000D7CBE"/>
    <w:rsid w:val="000E4A42"/>
    <w:rsid w:val="000E58FC"/>
    <w:rsid w:val="000E6A11"/>
    <w:rsid w:val="000E6D8F"/>
    <w:rsid w:val="000F10EA"/>
    <w:rsid w:val="000F43E7"/>
    <w:rsid w:val="000F6348"/>
    <w:rsid w:val="00100A67"/>
    <w:rsid w:val="00120019"/>
    <w:rsid w:val="0012259E"/>
    <w:rsid w:val="001231A0"/>
    <w:rsid w:val="00124E95"/>
    <w:rsid w:val="001349AE"/>
    <w:rsid w:val="00137AD2"/>
    <w:rsid w:val="00140B4C"/>
    <w:rsid w:val="001424EE"/>
    <w:rsid w:val="00145459"/>
    <w:rsid w:val="00145BD4"/>
    <w:rsid w:val="0014716D"/>
    <w:rsid w:val="00150EB9"/>
    <w:rsid w:val="00155590"/>
    <w:rsid w:val="00156C9E"/>
    <w:rsid w:val="00156E88"/>
    <w:rsid w:val="00163842"/>
    <w:rsid w:val="00163C99"/>
    <w:rsid w:val="00165FB5"/>
    <w:rsid w:val="00173303"/>
    <w:rsid w:val="00173A03"/>
    <w:rsid w:val="00175892"/>
    <w:rsid w:val="001763A3"/>
    <w:rsid w:val="00176A63"/>
    <w:rsid w:val="00176DBE"/>
    <w:rsid w:val="00176E6B"/>
    <w:rsid w:val="001816B5"/>
    <w:rsid w:val="001874A7"/>
    <w:rsid w:val="00191411"/>
    <w:rsid w:val="00193412"/>
    <w:rsid w:val="00195891"/>
    <w:rsid w:val="001A0AEA"/>
    <w:rsid w:val="001A4263"/>
    <w:rsid w:val="001A7162"/>
    <w:rsid w:val="001A7A43"/>
    <w:rsid w:val="001B032F"/>
    <w:rsid w:val="001B1A9D"/>
    <w:rsid w:val="001C0548"/>
    <w:rsid w:val="001C5A4F"/>
    <w:rsid w:val="001C5CA5"/>
    <w:rsid w:val="001D0EF7"/>
    <w:rsid w:val="001D242C"/>
    <w:rsid w:val="001D297D"/>
    <w:rsid w:val="001D3CAB"/>
    <w:rsid w:val="001D3FDC"/>
    <w:rsid w:val="001D5E6C"/>
    <w:rsid w:val="001D701A"/>
    <w:rsid w:val="001E0DCC"/>
    <w:rsid w:val="001E33C3"/>
    <w:rsid w:val="001E3E2B"/>
    <w:rsid w:val="001E53F4"/>
    <w:rsid w:val="001E75F7"/>
    <w:rsid w:val="001E7D4D"/>
    <w:rsid w:val="001F1785"/>
    <w:rsid w:val="002051BB"/>
    <w:rsid w:val="00207F61"/>
    <w:rsid w:val="00210BEA"/>
    <w:rsid w:val="0021211A"/>
    <w:rsid w:val="0021331B"/>
    <w:rsid w:val="00215D9C"/>
    <w:rsid w:val="00222271"/>
    <w:rsid w:val="002228EF"/>
    <w:rsid w:val="00222F7C"/>
    <w:rsid w:val="00223EB9"/>
    <w:rsid w:val="00227DA7"/>
    <w:rsid w:val="00233E9E"/>
    <w:rsid w:val="00233F93"/>
    <w:rsid w:val="002348DC"/>
    <w:rsid w:val="00235AB4"/>
    <w:rsid w:val="00241D91"/>
    <w:rsid w:val="00241ED2"/>
    <w:rsid w:val="002425D4"/>
    <w:rsid w:val="00242A33"/>
    <w:rsid w:val="00247371"/>
    <w:rsid w:val="00250D76"/>
    <w:rsid w:val="002512F3"/>
    <w:rsid w:val="00252670"/>
    <w:rsid w:val="00254198"/>
    <w:rsid w:val="00257D78"/>
    <w:rsid w:val="00260C00"/>
    <w:rsid w:val="002735C1"/>
    <w:rsid w:val="0027617F"/>
    <w:rsid w:val="00276981"/>
    <w:rsid w:val="0028271F"/>
    <w:rsid w:val="00285DEA"/>
    <w:rsid w:val="002879CE"/>
    <w:rsid w:val="00290773"/>
    <w:rsid w:val="00293419"/>
    <w:rsid w:val="00294630"/>
    <w:rsid w:val="002956FC"/>
    <w:rsid w:val="00296C31"/>
    <w:rsid w:val="002A0569"/>
    <w:rsid w:val="002A0FA1"/>
    <w:rsid w:val="002A20F8"/>
    <w:rsid w:val="002A36E6"/>
    <w:rsid w:val="002A4182"/>
    <w:rsid w:val="002A6914"/>
    <w:rsid w:val="002A745F"/>
    <w:rsid w:val="002A78FE"/>
    <w:rsid w:val="002B0DAA"/>
    <w:rsid w:val="002B1D79"/>
    <w:rsid w:val="002C7BCF"/>
    <w:rsid w:val="002D17B6"/>
    <w:rsid w:val="002D32AF"/>
    <w:rsid w:val="002D47FE"/>
    <w:rsid w:val="002D5241"/>
    <w:rsid w:val="002D7076"/>
    <w:rsid w:val="002E04B8"/>
    <w:rsid w:val="002E1D42"/>
    <w:rsid w:val="002E2295"/>
    <w:rsid w:val="002E23BA"/>
    <w:rsid w:val="002E4E37"/>
    <w:rsid w:val="002E59A5"/>
    <w:rsid w:val="002F2446"/>
    <w:rsid w:val="002F25CB"/>
    <w:rsid w:val="002F3A43"/>
    <w:rsid w:val="002F739C"/>
    <w:rsid w:val="003008E6"/>
    <w:rsid w:val="00301D92"/>
    <w:rsid w:val="00302AB9"/>
    <w:rsid w:val="00302DE2"/>
    <w:rsid w:val="00307153"/>
    <w:rsid w:val="003131CB"/>
    <w:rsid w:val="0031560A"/>
    <w:rsid w:val="00316AD6"/>
    <w:rsid w:val="00316EC1"/>
    <w:rsid w:val="003219D9"/>
    <w:rsid w:val="003224F2"/>
    <w:rsid w:val="00323ED3"/>
    <w:rsid w:val="00331216"/>
    <w:rsid w:val="00332188"/>
    <w:rsid w:val="00332EDA"/>
    <w:rsid w:val="00333000"/>
    <w:rsid w:val="00334269"/>
    <w:rsid w:val="0034247D"/>
    <w:rsid w:val="00344BB0"/>
    <w:rsid w:val="00346077"/>
    <w:rsid w:val="00347D93"/>
    <w:rsid w:val="00351A63"/>
    <w:rsid w:val="00352F5E"/>
    <w:rsid w:val="003553F3"/>
    <w:rsid w:val="003565D4"/>
    <w:rsid w:val="003573A5"/>
    <w:rsid w:val="0036037E"/>
    <w:rsid w:val="00361B49"/>
    <w:rsid w:val="00362B18"/>
    <w:rsid w:val="00367F50"/>
    <w:rsid w:val="0037313D"/>
    <w:rsid w:val="0037793D"/>
    <w:rsid w:val="003801DA"/>
    <w:rsid w:val="00385CE2"/>
    <w:rsid w:val="003927A2"/>
    <w:rsid w:val="00392A35"/>
    <w:rsid w:val="00394A47"/>
    <w:rsid w:val="003A2861"/>
    <w:rsid w:val="003A3F98"/>
    <w:rsid w:val="003A71F7"/>
    <w:rsid w:val="003B292D"/>
    <w:rsid w:val="003B30CF"/>
    <w:rsid w:val="003B3171"/>
    <w:rsid w:val="003B5AA1"/>
    <w:rsid w:val="003B5BFD"/>
    <w:rsid w:val="003B7339"/>
    <w:rsid w:val="003B79AE"/>
    <w:rsid w:val="003C05A6"/>
    <w:rsid w:val="003C0898"/>
    <w:rsid w:val="003C64A4"/>
    <w:rsid w:val="003C7EB7"/>
    <w:rsid w:val="003D0193"/>
    <w:rsid w:val="003D1203"/>
    <w:rsid w:val="003D37FC"/>
    <w:rsid w:val="003D3DC8"/>
    <w:rsid w:val="003D71CB"/>
    <w:rsid w:val="003E04B2"/>
    <w:rsid w:val="003E0CC5"/>
    <w:rsid w:val="003E1E77"/>
    <w:rsid w:val="003E3BEF"/>
    <w:rsid w:val="003F18B9"/>
    <w:rsid w:val="003F32FB"/>
    <w:rsid w:val="003F7B68"/>
    <w:rsid w:val="00401ABF"/>
    <w:rsid w:val="004033A1"/>
    <w:rsid w:val="004114B3"/>
    <w:rsid w:val="0041183C"/>
    <w:rsid w:val="00415731"/>
    <w:rsid w:val="00416001"/>
    <w:rsid w:val="00421C5D"/>
    <w:rsid w:val="00423534"/>
    <w:rsid w:val="00425444"/>
    <w:rsid w:val="00426C0C"/>
    <w:rsid w:val="004305F7"/>
    <w:rsid w:val="00433947"/>
    <w:rsid w:val="004345AF"/>
    <w:rsid w:val="004368CB"/>
    <w:rsid w:val="0044265A"/>
    <w:rsid w:val="00444BFA"/>
    <w:rsid w:val="00445095"/>
    <w:rsid w:val="00445133"/>
    <w:rsid w:val="004473A3"/>
    <w:rsid w:val="004507AD"/>
    <w:rsid w:val="00451337"/>
    <w:rsid w:val="00456F90"/>
    <w:rsid w:val="00460DEB"/>
    <w:rsid w:val="00461ACB"/>
    <w:rsid w:val="00464AD2"/>
    <w:rsid w:val="004658DC"/>
    <w:rsid w:val="00466F3E"/>
    <w:rsid w:val="00470E49"/>
    <w:rsid w:val="00476C48"/>
    <w:rsid w:val="00483678"/>
    <w:rsid w:val="00485FB8"/>
    <w:rsid w:val="00486A42"/>
    <w:rsid w:val="00486B03"/>
    <w:rsid w:val="00491C9C"/>
    <w:rsid w:val="00495A99"/>
    <w:rsid w:val="00495BF6"/>
    <w:rsid w:val="004A0BC8"/>
    <w:rsid w:val="004A22DC"/>
    <w:rsid w:val="004A2B63"/>
    <w:rsid w:val="004A301E"/>
    <w:rsid w:val="004A49C3"/>
    <w:rsid w:val="004A66E8"/>
    <w:rsid w:val="004A78BA"/>
    <w:rsid w:val="004A7A5B"/>
    <w:rsid w:val="004B0766"/>
    <w:rsid w:val="004B1678"/>
    <w:rsid w:val="004B461E"/>
    <w:rsid w:val="004B478A"/>
    <w:rsid w:val="004C0EE8"/>
    <w:rsid w:val="004C1E32"/>
    <w:rsid w:val="004C7F69"/>
    <w:rsid w:val="004D314B"/>
    <w:rsid w:val="004D4688"/>
    <w:rsid w:val="004D4C24"/>
    <w:rsid w:val="004D5CF1"/>
    <w:rsid w:val="004E62FC"/>
    <w:rsid w:val="004F1185"/>
    <w:rsid w:val="004F13BB"/>
    <w:rsid w:val="004F47C9"/>
    <w:rsid w:val="004F615A"/>
    <w:rsid w:val="004F708E"/>
    <w:rsid w:val="00500AF3"/>
    <w:rsid w:val="00504291"/>
    <w:rsid w:val="005065B0"/>
    <w:rsid w:val="00507F13"/>
    <w:rsid w:val="00510784"/>
    <w:rsid w:val="005174CE"/>
    <w:rsid w:val="00521792"/>
    <w:rsid w:val="00522CB8"/>
    <w:rsid w:val="005231B6"/>
    <w:rsid w:val="005238F1"/>
    <w:rsid w:val="0052503B"/>
    <w:rsid w:val="005301BD"/>
    <w:rsid w:val="00533872"/>
    <w:rsid w:val="00540E3E"/>
    <w:rsid w:val="00541B08"/>
    <w:rsid w:val="0054648E"/>
    <w:rsid w:val="00551F90"/>
    <w:rsid w:val="00552C68"/>
    <w:rsid w:val="00552E8D"/>
    <w:rsid w:val="00553D4E"/>
    <w:rsid w:val="00554FC1"/>
    <w:rsid w:val="00556D3A"/>
    <w:rsid w:val="00556F54"/>
    <w:rsid w:val="0056251A"/>
    <w:rsid w:val="00564D1F"/>
    <w:rsid w:val="0057195B"/>
    <w:rsid w:val="00572A74"/>
    <w:rsid w:val="0057392C"/>
    <w:rsid w:val="005776C9"/>
    <w:rsid w:val="0058036A"/>
    <w:rsid w:val="00580A91"/>
    <w:rsid w:val="00586464"/>
    <w:rsid w:val="005905E4"/>
    <w:rsid w:val="00596FFE"/>
    <w:rsid w:val="005A0627"/>
    <w:rsid w:val="005A5007"/>
    <w:rsid w:val="005A5030"/>
    <w:rsid w:val="005A5934"/>
    <w:rsid w:val="005A5DB4"/>
    <w:rsid w:val="005A649F"/>
    <w:rsid w:val="005B727A"/>
    <w:rsid w:val="005B7AEA"/>
    <w:rsid w:val="005C113F"/>
    <w:rsid w:val="005C1E32"/>
    <w:rsid w:val="005C61E0"/>
    <w:rsid w:val="005C691B"/>
    <w:rsid w:val="005C6BE7"/>
    <w:rsid w:val="005D0506"/>
    <w:rsid w:val="005D22BC"/>
    <w:rsid w:val="005D3331"/>
    <w:rsid w:val="005D3FCB"/>
    <w:rsid w:val="005D466D"/>
    <w:rsid w:val="005D7233"/>
    <w:rsid w:val="005D75CA"/>
    <w:rsid w:val="005D7FE9"/>
    <w:rsid w:val="005E05EC"/>
    <w:rsid w:val="005E09A4"/>
    <w:rsid w:val="005E3403"/>
    <w:rsid w:val="005E450E"/>
    <w:rsid w:val="005E5D64"/>
    <w:rsid w:val="005E7F0A"/>
    <w:rsid w:val="005F0B43"/>
    <w:rsid w:val="005F0D98"/>
    <w:rsid w:val="005F1C58"/>
    <w:rsid w:val="005F6316"/>
    <w:rsid w:val="00600607"/>
    <w:rsid w:val="006031FE"/>
    <w:rsid w:val="0061236D"/>
    <w:rsid w:val="0061247C"/>
    <w:rsid w:val="006128C3"/>
    <w:rsid w:val="00612CCF"/>
    <w:rsid w:val="006130AD"/>
    <w:rsid w:val="0061315A"/>
    <w:rsid w:val="00614915"/>
    <w:rsid w:val="006156DB"/>
    <w:rsid w:val="006159D1"/>
    <w:rsid w:val="00615BC2"/>
    <w:rsid w:val="00621AA0"/>
    <w:rsid w:val="0062478D"/>
    <w:rsid w:val="00624C75"/>
    <w:rsid w:val="00630CFF"/>
    <w:rsid w:val="0063318E"/>
    <w:rsid w:val="00633639"/>
    <w:rsid w:val="00633804"/>
    <w:rsid w:val="006365F3"/>
    <w:rsid w:val="006376EB"/>
    <w:rsid w:val="00642799"/>
    <w:rsid w:val="00642B3A"/>
    <w:rsid w:val="00646186"/>
    <w:rsid w:val="00650356"/>
    <w:rsid w:val="006542B3"/>
    <w:rsid w:val="0065527A"/>
    <w:rsid w:val="00662A94"/>
    <w:rsid w:val="00663781"/>
    <w:rsid w:val="00665C15"/>
    <w:rsid w:val="00666020"/>
    <w:rsid w:val="006666FD"/>
    <w:rsid w:val="006677A5"/>
    <w:rsid w:val="006749F1"/>
    <w:rsid w:val="006757FF"/>
    <w:rsid w:val="00682920"/>
    <w:rsid w:val="00683165"/>
    <w:rsid w:val="00690662"/>
    <w:rsid w:val="00692892"/>
    <w:rsid w:val="006946D5"/>
    <w:rsid w:val="00694D6F"/>
    <w:rsid w:val="006A173D"/>
    <w:rsid w:val="006A7040"/>
    <w:rsid w:val="006B12A2"/>
    <w:rsid w:val="006B2D1B"/>
    <w:rsid w:val="006B51BE"/>
    <w:rsid w:val="006B5C8D"/>
    <w:rsid w:val="006C7045"/>
    <w:rsid w:val="006D1509"/>
    <w:rsid w:val="006D29C7"/>
    <w:rsid w:val="006D592B"/>
    <w:rsid w:val="006D76B8"/>
    <w:rsid w:val="006E128C"/>
    <w:rsid w:val="006E4D70"/>
    <w:rsid w:val="006F6BD8"/>
    <w:rsid w:val="006F6CA5"/>
    <w:rsid w:val="006F7A94"/>
    <w:rsid w:val="007006B5"/>
    <w:rsid w:val="00702949"/>
    <w:rsid w:val="007076CE"/>
    <w:rsid w:val="00710DBB"/>
    <w:rsid w:val="0071209C"/>
    <w:rsid w:val="007126F6"/>
    <w:rsid w:val="007142C6"/>
    <w:rsid w:val="00714BB8"/>
    <w:rsid w:val="007173F5"/>
    <w:rsid w:val="0071779B"/>
    <w:rsid w:val="00722875"/>
    <w:rsid w:val="007239D1"/>
    <w:rsid w:val="00723FCA"/>
    <w:rsid w:val="00725DF9"/>
    <w:rsid w:val="007262FD"/>
    <w:rsid w:val="00727948"/>
    <w:rsid w:val="00731C01"/>
    <w:rsid w:val="00735281"/>
    <w:rsid w:val="0073655C"/>
    <w:rsid w:val="0073659F"/>
    <w:rsid w:val="007373E2"/>
    <w:rsid w:val="007407CF"/>
    <w:rsid w:val="00740BC6"/>
    <w:rsid w:val="007445D4"/>
    <w:rsid w:val="0074560E"/>
    <w:rsid w:val="00745B10"/>
    <w:rsid w:val="00751B4E"/>
    <w:rsid w:val="0075483E"/>
    <w:rsid w:val="00754F4E"/>
    <w:rsid w:val="00766344"/>
    <w:rsid w:val="00770552"/>
    <w:rsid w:val="00770D9D"/>
    <w:rsid w:val="007760CB"/>
    <w:rsid w:val="00781CEF"/>
    <w:rsid w:val="00783D8D"/>
    <w:rsid w:val="00783E91"/>
    <w:rsid w:val="00784278"/>
    <w:rsid w:val="007852FD"/>
    <w:rsid w:val="0078618E"/>
    <w:rsid w:val="007929C3"/>
    <w:rsid w:val="0079466A"/>
    <w:rsid w:val="007A46B6"/>
    <w:rsid w:val="007A677A"/>
    <w:rsid w:val="007B1892"/>
    <w:rsid w:val="007B1EDB"/>
    <w:rsid w:val="007B29C5"/>
    <w:rsid w:val="007B445E"/>
    <w:rsid w:val="007B4575"/>
    <w:rsid w:val="007B58F3"/>
    <w:rsid w:val="007B6F2E"/>
    <w:rsid w:val="007C0382"/>
    <w:rsid w:val="007C1FEC"/>
    <w:rsid w:val="007C300F"/>
    <w:rsid w:val="007C5F5C"/>
    <w:rsid w:val="007C609D"/>
    <w:rsid w:val="007D1603"/>
    <w:rsid w:val="007D2226"/>
    <w:rsid w:val="007D3A29"/>
    <w:rsid w:val="007D50A3"/>
    <w:rsid w:val="007D51D1"/>
    <w:rsid w:val="007D5628"/>
    <w:rsid w:val="007D6672"/>
    <w:rsid w:val="007E0A47"/>
    <w:rsid w:val="007E0EA3"/>
    <w:rsid w:val="007E0F44"/>
    <w:rsid w:val="007E65F6"/>
    <w:rsid w:val="007F067C"/>
    <w:rsid w:val="007F275D"/>
    <w:rsid w:val="007F6208"/>
    <w:rsid w:val="008030A4"/>
    <w:rsid w:val="00806C5E"/>
    <w:rsid w:val="00810B37"/>
    <w:rsid w:val="00812DE0"/>
    <w:rsid w:val="00820825"/>
    <w:rsid w:val="008227CF"/>
    <w:rsid w:val="00822FA9"/>
    <w:rsid w:val="008334D7"/>
    <w:rsid w:val="00836CFE"/>
    <w:rsid w:val="00836F19"/>
    <w:rsid w:val="008370AE"/>
    <w:rsid w:val="00842BAA"/>
    <w:rsid w:val="008449E4"/>
    <w:rsid w:val="00844A97"/>
    <w:rsid w:val="008473C1"/>
    <w:rsid w:val="008501D9"/>
    <w:rsid w:val="00850A72"/>
    <w:rsid w:val="00855EA7"/>
    <w:rsid w:val="00863E03"/>
    <w:rsid w:val="0086428D"/>
    <w:rsid w:val="0086715D"/>
    <w:rsid w:val="00870B6E"/>
    <w:rsid w:val="00871E36"/>
    <w:rsid w:val="00872D51"/>
    <w:rsid w:val="00872D85"/>
    <w:rsid w:val="00873665"/>
    <w:rsid w:val="00875EC6"/>
    <w:rsid w:val="00876AE0"/>
    <w:rsid w:val="00876E80"/>
    <w:rsid w:val="008810F1"/>
    <w:rsid w:val="008847D6"/>
    <w:rsid w:val="00885C0A"/>
    <w:rsid w:val="008870AC"/>
    <w:rsid w:val="0089114D"/>
    <w:rsid w:val="00893F85"/>
    <w:rsid w:val="00894481"/>
    <w:rsid w:val="00896994"/>
    <w:rsid w:val="00896C94"/>
    <w:rsid w:val="00897EDD"/>
    <w:rsid w:val="008A0424"/>
    <w:rsid w:val="008A1DBF"/>
    <w:rsid w:val="008A6915"/>
    <w:rsid w:val="008B060F"/>
    <w:rsid w:val="008B2272"/>
    <w:rsid w:val="008B25D9"/>
    <w:rsid w:val="008B3597"/>
    <w:rsid w:val="008C0426"/>
    <w:rsid w:val="008C0F34"/>
    <w:rsid w:val="008C2466"/>
    <w:rsid w:val="008C3B1B"/>
    <w:rsid w:val="008C526F"/>
    <w:rsid w:val="008C5614"/>
    <w:rsid w:val="008D0FFE"/>
    <w:rsid w:val="008D6351"/>
    <w:rsid w:val="008E2439"/>
    <w:rsid w:val="008E2F1D"/>
    <w:rsid w:val="008E2F37"/>
    <w:rsid w:val="008F0161"/>
    <w:rsid w:val="008F0AFB"/>
    <w:rsid w:val="008F2D28"/>
    <w:rsid w:val="008F624F"/>
    <w:rsid w:val="00900BF2"/>
    <w:rsid w:val="009033F7"/>
    <w:rsid w:val="00904638"/>
    <w:rsid w:val="00907B42"/>
    <w:rsid w:val="0091106F"/>
    <w:rsid w:val="0091128A"/>
    <w:rsid w:val="00917A31"/>
    <w:rsid w:val="00917EE2"/>
    <w:rsid w:val="00922CAB"/>
    <w:rsid w:val="0092377A"/>
    <w:rsid w:val="0092546B"/>
    <w:rsid w:val="009321FD"/>
    <w:rsid w:val="00933C4C"/>
    <w:rsid w:val="00936655"/>
    <w:rsid w:val="0094092E"/>
    <w:rsid w:val="00940CE1"/>
    <w:rsid w:val="00942457"/>
    <w:rsid w:val="00942709"/>
    <w:rsid w:val="00943A12"/>
    <w:rsid w:val="00953D2D"/>
    <w:rsid w:val="0095438E"/>
    <w:rsid w:val="00954547"/>
    <w:rsid w:val="00955941"/>
    <w:rsid w:val="00955A68"/>
    <w:rsid w:val="009618A8"/>
    <w:rsid w:val="00961BFA"/>
    <w:rsid w:val="00961C87"/>
    <w:rsid w:val="009637E4"/>
    <w:rsid w:val="00964480"/>
    <w:rsid w:val="00981096"/>
    <w:rsid w:val="00981E38"/>
    <w:rsid w:val="00985764"/>
    <w:rsid w:val="00986A7B"/>
    <w:rsid w:val="00987280"/>
    <w:rsid w:val="009879AE"/>
    <w:rsid w:val="00991F05"/>
    <w:rsid w:val="0099240B"/>
    <w:rsid w:val="009927DF"/>
    <w:rsid w:val="00992EC9"/>
    <w:rsid w:val="00994627"/>
    <w:rsid w:val="00995B73"/>
    <w:rsid w:val="009A0D62"/>
    <w:rsid w:val="009A122C"/>
    <w:rsid w:val="009A6B21"/>
    <w:rsid w:val="009A7247"/>
    <w:rsid w:val="009B3F24"/>
    <w:rsid w:val="009B565B"/>
    <w:rsid w:val="009D0F94"/>
    <w:rsid w:val="009D772D"/>
    <w:rsid w:val="009D7FE2"/>
    <w:rsid w:val="009E1AE3"/>
    <w:rsid w:val="009E24AA"/>
    <w:rsid w:val="009E2E65"/>
    <w:rsid w:val="009E341D"/>
    <w:rsid w:val="009E63AD"/>
    <w:rsid w:val="009E6BF3"/>
    <w:rsid w:val="009F06A9"/>
    <w:rsid w:val="009F5089"/>
    <w:rsid w:val="009F54C8"/>
    <w:rsid w:val="009F6396"/>
    <w:rsid w:val="00A00B88"/>
    <w:rsid w:val="00A02E4F"/>
    <w:rsid w:val="00A0318F"/>
    <w:rsid w:val="00A122D7"/>
    <w:rsid w:val="00A13C52"/>
    <w:rsid w:val="00A155CB"/>
    <w:rsid w:val="00A160D6"/>
    <w:rsid w:val="00A23AF1"/>
    <w:rsid w:val="00A27C77"/>
    <w:rsid w:val="00A30565"/>
    <w:rsid w:val="00A36648"/>
    <w:rsid w:val="00A4146F"/>
    <w:rsid w:val="00A4195E"/>
    <w:rsid w:val="00A429BF"/>
    <w:rsid w:val="00A45490"/>
    <w:rsid w:val="00A47C59"/>
    <w:rsid w:val="00A512D2"/>
    <w:rsid w:val="00A5309C"/>
    <w:rsid w:val="00A549F9"/>
    <w:rsid w:val="00A5748C"/>
    <w:rsid w:val="00A6110C"/>
    <w:rsid w:val="00A63375"/>
    <w:rsid w:val="00A65FE5"/>
    <w:rsid w:val="00A665D4"/>
    <w:rsid w:val="00A70FAF"/>
    <w:rsid w:val="00A80774"/>
    <w:rsid w:val="00A8383D"/>
    <w:rsid w:val="00A9003D"/>
    <w:rsid w:val="00A903FB"/>
    <w:rsid w:val="00A90F54"/>
    <w:rsid w:val="00A91A45"/>
    <w:rsid w:val="00A97979"/>
    <w:rsid w:val="00AA1014"/>
    <w:rsid w:val="00AA562E"/>
    <w:rsid w:val="00AA642C"/>
    <w:rsid w:val="00AB0C89"/>
    <w:rsid w:val="00AB1A09"/>
    <w:rsid w:val="00AB68A4"/>
    <w:rsid w:val="00AC04CB"/>
    <w:rsid w:val="00AC5AA8"/>
    <w:rsid w:val="00AC5C82"/>
    <w:rsid w:val="00AD1017"/>
    <w:rsid w:val="00AD516D"/>
    <w:rsid w:val="00AD7A2C"/>
    <w:rsid w:val="00AE00CC"/>
    <w:rsid w:val="00AE0910"/>
    <w:rsid w:val="00AE097C"/>
    <w:rsid w:val="00AE22CB"/>
    <w:rsid w:val="00AE324F"/>
    <w:rsid w:val="00AF1ADF"/>
    <w:rsid w:val="00AF1B62"/>
    <w:rsid w:val="00B01181"/>
    <w:rsid w:val="00B04C6C"/>
    <w:rsid w:val="00B10AB4"/>
    <w:rsid w:val="00B11896"/>
    <w:rsid w:val="00B13FE1"/>
    <w:rsid w:val="00B14A47"/>
    <w:rsid w:val="00B1579E"/>
    <w:rsid w:val="00B1616A"/>
    <w:rsid w:val="00B20080"/>
    <w:rsid w:val="00B20673"/>
    <w:rsid w:val="00B236DB"/>
    <w:rsid w:val="00B25B74"/>
    <w:rsid w:val="00B27EEA"/>
    <w:rsid w:val="00B3443A"/>
    <w:rsid w:val="00B3481D"/>
    <w:rsid w:val="00B37231"/>
    <w:rsid w:val="00B41AB4"/>
    <w:rsid w:val="00B449A5"/>
    <w:rsid w:val="00B44E42"/>
    <w:rsid w:val="00B45F7F"/>
    <w:rsid w:val="00B47661"/>
    <w:rsid w:val="00B50BD3"/>
    <w:rsid w:val="00B517D9"/>
    <w:rsid w:val="00B51B71"/>
    <w:rsid w:val="00B530D7"/>
    <w:rsid w:val="00B53251"/>
    <w:rsid w:val="00B56D44"/>
    <w:rsid w:val="00B60454"/>
    <w:rsid w:val="00B604EF"/>
    <w:rsid w:val="00B60868"/>
    <w:rsid w:val="00B6128F"/>
    <w:rsid w:val="00B61B3B"/>
    <w:rsid w:val="00B6410F"/>
    <w:rsid w:val="00B67153"/>
    <w:rsid w:val="00B67B87"/>
    <w:rsid w:val="00B67DB5"/>
    <w:rsid w:val="00B729B5"/>
    <w:rsid w:val="00B73DDC"/>
    <w:rsid w:val="00B74D52"/>
    <w:rsid w:val="00B76F7C"/>
    <w:rsid w:val="00B83043"/>
    <w:rsid w:val="00B86290"/>
    <w:rsid w:val="00B8667D"/>
    <w:rsid w:val="00B867A7"/>
    <w:rsid w:val="00B91241"/>
    <w:rsid w:val="00B91DEC"/>
    <w:rsid w:val="00B92178"/>
    <w:rsid w:val="00B9247C"/>
    <w:rsid w:val="00B96804"/>
    <w:rsid w:val="00BA02CC"/>
    <w:rsid w:val="00BA133E"/>
    <w:rsid w:val="00BA2147"/>
    <w:rsid w:val="00BA60BA"/>
    <w:rsid w:val="00BA7A88"/>
    <w:rsid w:val="00BB02F6"/>
    <w:rsid w:val="00BB29AD"/>
    <w:rsid w:val="00BB66A8"/>
    <w:rsid w:val="00BB759C"/>
    <w:rsid w:val="00BC2070"/>
    <w:rsid w:val="00BC5740"/>
    <w:rsid w:val="00BD015E"/>
    <w:rsid w:val="00BD03DF"/>
    <w:rsid w:val="00BD1FDE"/>
    <w:rsid w:val="00BD291C"/>
    <w:rsid w:val="00BE1684"/>
    <w:rsid w:val="00BE2291"/>
    <w:rsid w:val="00BE2686"/>
    <w:rsid w:val="00BE3235"/>
    <w:rsid w:val="00BF0923"/>
    <w:rsid w:val="00BF43FD"/>
    <w:rsid w:val="00BF4B4D"/>
    <w:rsid w:val="00BF5EEE"/>
    <w:rsid w:val="00C02259"/>
    <w:rsid w:val="00C02274"/>
    <w:rsid w:val="00C028C4"/>
    <w:rsid w:val="00C04FE7"/>
    <w:rsid w:val="00C05979"/>
    <w:rsid w:val="00C11EB1"/>
    <w:rsid w:val="00C2006E"/>
    <w:rsid w:val="00C223B4"/>
    <w:rsid w:val="00C2451E"/>
    <w:rsid w:val="00C24BE4"/>
    <w:rsid w:val="00C2665D"/>
    <w:rsid w:val="00C3020C"/>
    <w:rsid w:val="00C317C2"/>
    <w:rsid w:val="00C36055"/>
    <w:rsid w:val="00C410D0"/>
    <w:rsid w:val="00C43F8D"/>
    <w:rsid w:val="00C44490"/>
    <w:rsid w:val="00C50F22"/>
    <w:rsid w:val="00C51A19"/>
    <w:rsid w:val="00C51AA5"/>
    <w:rsid w:val="00C535D1"/>
    <w:rsid w:val="00C54941"/>
    <w:rsid w:val="00C5762E"/>
    <w:rsid w:val="00C6255B"/>
    <w:rsid w:val="00C62CA8"/>
    <w:rsid w:val="00C668A4"/>
    <w:rsid w:val="00C71F18"/>
    <w:rsid w:val="00C72771"/>
    <w:rsid w:val="00C72A67"/>
    <w:rsid w:val="00C81940"/>
    <w:rsid w:val="00C83E6A"/>
    <w:rsid w:val="00C87E35"/>
    <w:rsid w:val="00C91E60"/>
    <w:rsid w:val="00C95D6A"/>
    <w:rsid w:val="00CA2810"/>
    <w:rsid w:val="00CA59EC"/>
    <w:rsid w:val="00CB22B2"/>
    <w:rsid w:val="00CB449A"/>
    <w:rsid w:val="00CB44B2"/>
    <w:rsid w:val="00CB7624"/>
    <w:rsid w:val="00CC0192"/>
    <w:rsid w:val="00CC0414"/>
    <w:rsid w:val="00CC097A"/>
    <w:rsid w:val="00CC76F8"/>
    <w:rsid w:val="00CD106D"/>
    <w:rsid w:val="00CD29BA"/>
    <w:rsid w:val="00CD5613"/>
    <w:rsid w:val="00CD57C5"/>
    <w:rsid w:val="00CE3C0C"/>
    <w:rsid w:val="00CE581D"/>
    <w:rsid w:val="00CE7726"/>
    <w:rsid w:val="00CF4016"/>
    <w:rsid w:val="00CF5494"/>
    <w:rsid w:val="00CF6637"/>
    <w:rsid w:val="00CF774A"/>
    <w:rsid w:val="00D0578C"/>
    <w:rsid w:val="00D062B7"/>
    <w:rsid w:val="00D101FE"/>
    <w:rsid w:val="00D15239"/>
    <w:rsid w:val="00D163DF"/>
    <w:rsid w:val="00D20BC3"/>
    <w:rsid w:val="00D238A6"/>
    <w:rsid w:val="00D24766"/>
    <w:rsid w:val="00D3061B"/>
    <w:rsid w:val="00D33CA3"/>
    <w:rsid w:val="00D36565"/>
    <w:rsid w:val="00D3757E"/>
    <w:rsid w:val="00D40C15"/>
    <w:rsid w:val="00D40D94"/>
    <w:rsid w:val="00D424FB"/>
    <w:rsid w:val="00D45C5A"/>
    <w:rsid w:val="00D50577"/>
    <w:rsid w:val="00D50FCF"/>
    <w:rsid w:val="00D521D3"/>
    <w:rsid w:val="00D525B5"/>
    <w:rsid w:val="00D55FED"/>
    <w:rsid w:val="00D563DB"/>
    <w:rsid w:val="00D563E9"/>
    <w:rsid w:val="00D6021A"/>
    <w:rsid w:val="00D61657"/>
    <w:rsid w:val="00D6228A"/>
    <w:rsid w:val="00D65C5D"/>
    <w:rsid w:val="00D66788"/>
    <w:rsid w:val="00D67B28"/>
    <w:rsid w:val="00D72E70"/>
    <w:rsid w:val="00D75042"/>
    <w:rsid w:val="00D76F6A"/>
    <w:rsid w:val="00D814E5"/>
    <w:rsid w:val="00D84988"/>
    <w:rsid w:val="00D86E59"/>
    <w:rsid w:val="00D877D0"/>
    <w:rsid w:val="00D87A24"/>
    <w:rsid w:val="00D92E4F"/>
    <w:rsid w:val="00D95678"/>
    <w:rsid w:val="00DA010B"/>
    <w:rsid w:val="00DA271D"/>
    <w:rsid w:val="00DA3CB8"/>
    <w:rsid w:val="00DA490A"/>
    <w:rsid w:val="00DB06CE"/>
    <w:rsid w:val="00DB592A"/>
    <w:rsid w:val="00DB7645"/>
    <w:rsid w:val="00DC151D"/>
    <w:rsid w:val="00DC50CF"/>
    <w:rsid w:val="00DC547B"/>
    <w:rsid w:val="00DC5765"/>
    <w:rsid w:val="00DD3E23"/>
    <w:rsid w:val="00DD77D3"/>
    <w:rsid w:val="00DD7AF4"/>
    <w:rsid w:val="00DD7E1B"/>
    <w:rsid w:val="00DE33E1"/>
    <w:rsid w:val="00DE7353"/>
    <w:rsid w:val="00DF2821"/>
    <w:rsid w:val="00DF2CD2"/>
    <w:rsid w:val="00DF379C"/>
    <w:rsid w:val="00E0031D"/>
    <w:rsid w:val="00E02853"/>
    <w:rsid w:val="00E02952"/>
    <w:rsid w:val="00E02B09"/>
    <w:rsid w:val="00E03C9B"/>
    <w:rsid w:val="00E0456A"/>
    <w:rsid w:val="00E0492F"/>
    <w:rsid w:val="00E0541C"/>
    <w:rsid w:val="00E07BC2"/>
    <w:rsid w:val="00E15C19"/>
    <w:rsid w:val="00E15C4A"/>
    <w:rsid w:val="00E1633D"/>
    <w:rsid w:val="00E16A21"/>
    <w:rsid w:val="00E2080C"/>
    <w:rsid w:val="00E2104A"/>
    <w:rsid w:val="00E24A4D"/>
    <w:rsid w:val="00E25523"/>
    <w:rsid w:val="00E30F05"/>
    <w:rsid w:val="00E4066B"/>
    <w:rsid w:val="00E42350"/>
    <w:rsid w:val="00E43BC6"/>
    <w:rsid w:val="00E46352"/>
    <w:rsid w:val="00E54029"/>
    <w:rsid w:val="00E577C1"/>
    <w:rsid w:val="00E6270D"/>
    <w:rsid w:val="00E66E5F"/>
    <w:rsid w:val="00E76263"/>
    <w:rsid w:val="00E800EC"/>
    <w:rsid w:val="00E80803"/>
    <w:rsid w:val="00E8084F"/>
    <w:rsid w:val="00E82E7A"/>
    <w:rsid w:val="00E86327"/>
    <w:rsid w:val="00E90156"/>
    <w:rsid w:val="00E904BE"/>
    <w:rsid w:val="00E92298"/>
    <w:rsid w:val="00E93B51"/>
    <w:rsid w:val="00E95D7E"/>
    <w:rsid w:val="00EA0104"/>
    <w:rsid w:val="00EA16AA"/>
    <w:rsid w:val="00EA2C41"/>
    <w:rsid w:val="00EA2DD9"/>
    <w:rsid w:val="00EA45F6"/>
    <w:rsid w:val="00EA5648"/>
    <w:rsid w:val="00EB06A5"/>
    <w:rsid w:val="00EB1079"/>
    <w:rsid w:val="00EB1B04"/>
    <w:rsid w:val="00EB3B92"/>
    <w:rsid w:val="00EB3DFF"/>
    <w:rsid w:val="00EB4DA7"/>
    <w:rsid w:val="00EB55AE"/>
    <w:rsid w:val="00EC4479"/>
    <w:rsid w:val="00EC606A"/>
    <w:rsid w:val="00EC76AA"/>
    <w:rsid w:val="00ED0541"/>
    <w:rsid w:val="00ED146F"/>
    <w:rsid w:val="00ED18DD"/>
    <w:rsid w:val="00ED525C"/>
    <w:rsid w:val="00ED5C73"/>
    <w:rsid w:val="00ED784C"/>
    <w:rsid w:val="00EE5BEA"/>
    <w:rsid w:val="00EE6F8B"/>
    <w:rsid w:val="00EF28F8"/>
    <w:rsid w:val="00EF2941"/>
    <w:rsid w:val="00EF3B0D"/>
    <w:rsid w:val="00EF4C54"/>
    <w:rsid w:val="00EF4D40"/>
    <w:rsid w:val="00EF5D67"/>
    <w:rsid w:val="00EF5F12"/>
    <w:rsid w:val="00F00D52"/>
    <w:rsid w:val="00F0344E"/>
    <w:rsid w:val="00F13787"/>
    <w:rsid w:val="00F21424"/>
    <w:rsid w:val="00F22431"/>
    <w:rsid w:val="00F24CB9"/>
    <w:rsid w:val="00F30E94"/>
    <w:rsid w:val="00F3309A"/>
    <w:rsid w:val="00F45083"/>
    <w:rsid w:val="00F47CFF"/>
    <w:rsid w:val="00F51925"/>
    <w:rsid w:val="00F51CEE"/>
    <w:rsid w:val="00F55A6A"/>
    <w:rsid w:val="00F6025B"/>
    <w:rsid w:val="00F60F69"/>
    <w:rsid w:val="00F672AE"/>
    <w:rsid w:val="00F67CE1"/>
    <w:rsid w:val="00F67F98"/>
    <w:rsid w:val="00F70DE1"/>
    <w:rsid w:val="00F71B46"/>
    <w:rsid w:val="00F72825"/>
    <w:rsid w:val="00F741B9"/>
    <w:rsid w:val="00F75FEF"/>
    <w:rsid w:val="00F80359"/>
    <w:rsid w:val="00F9311C"/>
    <w:rsid w:val="00F96CDD"/>
    <w:rsid w:val="00F96D15"/>
    <w:rsid w:val="00FB5885"/>
    <w:rsid w:val="00FB6C29"/>
    <w:rsid w:val="00FB7002"/>
    <w:rsid w:val="00FB7256"/>
    <w:rsid w:val="00FC1098"/>
    <w:rsid w:val="00FC114A"/>
    <w:rsid w:val="00FC123C"/>
    <w:rsid w:val="00FC14EC"/>
    <w:rsid w:val="00FC4349"/>
    <w:rsid w:val="00FC5451"/>
    <w:rsid w:val="00FC5CB1"/>
    <w:rsid w:val="00FC7C34"/>
    <w:rsid w:val="00FD0280"/>
    <w:rsid w:val="00FD3450"/>
    <w:rsid w:val="00FD3AEA"/>
    <w:rsid w:val="00FD4E19"/>
    <w:rsid w:val="00FD636B"/>
    <w:rsid w:val="00FE0783"/>
    <w:rsid w:val="00FE0FBD"/>
    <w:rsid w:val="00FE32CA"/>
    <w:rsid w:val="00FE463B"/>
    <w:rsid w:val="00FF4BD3"/>
    <w:rsid w:val="00FF4E74"/>
    <w:rsid w:val="00FF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42939C"/>
  <w15:docId w15:val="{67D9FD17-685E-403F-9551-99A586C80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F28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91411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0417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41784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9F54C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9F54C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9F54C8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F54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F54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C40E00BA</Template>
  <TotalTime>23</TotalTime>
  <Pages>1</Pages>
  <Words>310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Public Health &amp; Health Professions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beneciuk</dc:creator>
  <cp:keywords/>
  <dc:description/>
  <cp:lastModifiedBy>Beneciuk,Jason M</cp:lastModifiedBy>
  <cp:revision>7</cp:revision>
  <dcterms:created xsi:type="dcterms:W3CDTF">2019-02-19T16:52:00Z</dcterms:created>
  <dcterms:modified xsi:type="dcterms:W3CDTF">2019-02-20T15:34:00Z</dcterms:modified>
</cp:coreProperties>
</file>