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424B5" w14:textId="77777777" w:rsidR="00F206E2" w:rsidRPr="00F206E2" w:rsidRDefault="00F206E2" w:rsidP="00F206E2">
      <w:pPr>
        <w:spacing w:before="240" w:line="240" w:lineRule="auto"/>
        <w:jc w:val="both"/>
        <w:rPr>
          <w:b/>
          <w:lang w:val="en-GB"/>
        </w:rPr>
      </w:pPr>
      <w:r w:rsidRPr="00F206E2">
        <w:rPr>
          <w:b/>
          <w:lang w:val="en-GB"/>
        </w:rPr>
        <w:t>RESEARCH PRODUCT SECURITY SURVEILLANCE</w:t>
      </w:r>
    </w:p>
    <w:p w14:paraId="08E12B58" w14:textId="510DEA99" w:rsidR="00F206E2" w:rsidRPr="00F206E2" w:rsidRDefault="00F206E2" w:rsidP="00F206E2">
      <w:pPr>
        <w:spacing w:before="240" w:line="240" w:lineRule="auto"/>
        <w:jc w:val="both"/>
        <w:rPr>
          <w:b/>
          <w:lang w:val="en-GB"/>
        </w:rPr>
      </w:pPr>
      <w:r w:rsidRPr="00F206E2">
        <w:rPr>
          <w:b/>
          <w:lang w:val="en-GB"/>
        </w:rPr>
        <w:t>Definitions</w:t>
      </w:r>
    </w:p>
    <w:p w14:paraId="41487E8C" w14:textId="08FBC805" w:rsidR="00F206E2" w:rsidRPr="00F206E2" w:rsidRDefault="00F206E2" w:rsidP="00F206E2">
      <w:pPr>
        <w:spacing w:before="240" w:line="240" w:lineRule="auto"/>
        <w:ind w:firstLine="708"/>
        <w:jc w:val="both"/>
        <w:rPr>
          <w:bCs/>
          <w:lang w:val="en-GB"/>
        </w:rPr>
      </w:pPr>
      <w:r w:rsidRPr="00F206E2">
        <w:rPr>
          <w:bCs/>
          <w:lang w:val="en-GB"/>
        </w:rPr>
        <w:t>The following are based on the</w:t>
      </w:r>
      <w:r w:rsidR="001E23ED">
        <w:rPr>
          <w:bCs/>
          <w:lang w:val="en-GB"/>
        </w:rPr>
        <w:t xml:space="preserve"> </w:t>
      </w:r>
      <w:r w:rsidR="001E23ED" w:rsidRPr="00CD7949">
        <w:rPr>
          <w:rFonts w:ascii="Arial" w:eastAsia="Cambria" w:hAnsi="Arial" w:cs="Arial"/>
          <w:color w:val="000000"/>
          <w:sz w:val="20"/>
          <w:szCs w:val="20"/>
          <w:lang w:val="en-US"/>
        </w:rPr>
        <w:t>the MEDDEV 2.12 guidelines (rev 8, July 201</w:t>
      </w:r>
      <w:r w:rsidR="001E23ED">
        <w:rPr>
          <w:rFonts w:ascii="Arial" w:eastAsia="Cambria" w:hAnsi="Arial" w:cs="Arial"/>
          <w:color w:val="000000"/>
          <w:sz w:val="20"/>
          <w:szCs w:val="20"/>
          <w:lang w:val="en-US"/>
        </w:rPr>
        <w:t>9)</w:t>
      </w:r>
      <w:r w:rsidRPr="00F206E2">
        <w:rPr>
          <w:bCs/>
          <w:lang w:val="en-GB"/>
        </w:rPr>
        <w:t xml:space="preserve"> "Guidelines on medical devices: Clinical research: Report of serious adverse events according to Directives 90/385 / EECC and 93/42 / EEC", concerning the safety in clinical research with Medical Devices, which is determined according to the causal relationship and / or severity of adverse events:</w:t>
      </w:r>
    </w:p>
    <w:p w14:paraId="152BA7D0" w14:textId="2E40EFD1" w:rsidR="00F206E2" w:rsidRPr="00F206E2" w:rsidRDefault="00F206E2" w:rsidP="00F206E2">
      <w:pPr>
        <w:spacing w:before="240" w:line="240" w:lineRule="auto"/>
        <w:jc w:val="both"/>
        <w:rPr>
          <w:bCs/>
          <w:lang w:val="en-GB"/>
        </w:rPr>
      </w:pPr>
      <w:r w:rsidRPr="00F206E2">
        <w:rPr>
          <w:bCs/>
          <w:lang w:val="en-GB"/>
        </w:rPr>
        <w:t>• Adverse event (A</w:t>
      </w:r>
      <w:r>
        <w:rPr>
          <w:bCs/>
          <w:lang w:val="en-GB"/>
        </w:rPr>
        <w:t>E</w:t>
      </w:r>
      <w:r w:rsidRPr="00F206E2">
        <w:rPr>
          <w:bCs/>
          <w:lang w:val="en-GB"/>
        </w:rPr>
        <w:t>)</w:t>
      </w:r>
    </w:p>
    <w:p w14:paraId="46D1A011" w14:textId="5441CE09" w:rsidR="00F206E2" w:rsidRPr="00F206E2" w:rsidRDefault="00F206E2" w:rsidP="00F206E2">
      <w:pPr>
        <w:spacing w:before="240" w:line="240" w:lineRule="auto"/>
        <w:jc w:val="both"/>
        <w:rPr>
          <w:bCs/>
          <w:lang w:val="en-GB"/>
        </w:rPr>
      </w:pPr>
      <w:r w:rsidRPr="00F206E2">
        <w:rPr>
          <w:bCs/>
          <w:lang w:val="en-GB"/>
        </w:rPr>
        <w:t>• Severe adverse event (</w:t>
      </w:r>
      <w:r>
        <w:rPr>
          <w:bCs/>
          <w:lang w:val="en-GB"/>
        </w:rPr>
        <w:t>SAE</w:t>
      </w:r>
      <w:r w:rsidRPr="00F206E2">
        <w:rPr>
          <w:bCs/>
          <w:lang w:val="en-GB"/>
        </w:rPr>
        <w:t>)</w:t>
      </w:r>
    </w:p>
    <w:p w14:paraId="72F68D48" w14:textId="77777777" w:rsidR="00F206E2" w:rsidRPr="00F206E2" w:rsidRDefault="00F206E2" w:rsidP="00F206E2">
      <w:pPr>
        <w:spacing w:before="240" w:line="240" w:lineRule="auto"/>
        <w:jc w:val="both"/>
        <w:rPr>
          <w:bCs/>
          <w:lang w:val="en-GB"/>
        </w:rPr>
      </w:pPr>
      <w:r w:rsidRPr="00F206E2">
        <w:rPr>
          <w:bCs/>
          <w:lang w:val="en-GB"/>
        </w:rPr>
        <w:t>• Device deficiency</w:t>
      </w:r>
    </w:p>
    <w:p w14:paraId="7796EC94" w14:textId="7B2FF5F5" w:rsidR="00F206E2" w:rsidRPr="00F206E2" w:rsidRDefault="00F206E2" w:rsidP="00F206E2">
      <w:pPr>
        <w:spacing w:before="240" w:line="240" w:lineRule="auto"/>
        <w:jc w:val="both"/>
        <w:rPr>
          <w:bCs/>
          <w:lang w:val="en-GB"/>
        </w:rPr>
      </w:pPr>
      <w:r w:rsidRPr="00F206E2">
        <w:rPr>
          <w:bCs/>
          <w:lang w:val="en-GB"/>
        </w:rPr>
        <w:t>• Adverse effect of the device (A</w:t>
      </w:r>
      <w:r>
        <w:rPr>
          <w:bCs/>
          <w:lang w:val="en-GB"/>
        </w:rPr>
        <w:t>E</w:t>
      </w:r>
      <w:r w:rsidRPr="00F206E2">
        <w:rPr>
          <w:bCs/>
          <w:lang w:val="en-GB"/>
        </w:rPr>
        <w:t>D)</w:t>
      </w:r>
    </w:p>
    <w:p w14:paraId="73FED97B" w14:textId="21F707E5" w:rsidR="00F206E2" w:rsidRPr="00F206E2" w:rsidRDefault="00F206E2" w:rsidP="00F206E2">
      <w:pPr>
        <w:spacing w:before="240" w:line="240" w:lineRule="auto"/>
        <w:jc w:val="both"/>
        <w:rPr>
          <w:bCs/>
          <w:lang w:val="en-GB"/>
        </w:rPr>
      </w:pPr>
      <w:r w:rsidRPr="00F206E2">
        <w:rPr>
          <w:bCs/>
          <w:lang w:val="en-GB"/>
        </w:rPr>
        <w:t>• Serious adverse effect of the device (</w:t>
      </w:r>
      <w:r>
        <w:rPr>
          <w:bCs/>
          <w:lang w:val="en-GB"/>
        </w:rPr>
        <w:t>SAED</w:t>
      </w:r>
      <w:r w:rsidRPr="00F206E2">
        <w:rPr>
          <w:bCs/>
          <w:lang w:val="en-GB"/>
        </w:rPr>
        <w:t>)</w:t>
      </w:r>
    </w:p>
    <w:p w14:paraId="44C857C1" w14:textId="30895D59" w:rsidR="00F206E2" w:rsidRPr="00613259" w:rsidRDefault="00F206E2" w:rsidP="00F206E2">
      <w:pPr>
        <w:spacing w:before="240" w:line="240" w:lineRule="auto"/>
        <w:jc w:val="both"/>
        <w:rPr>
          <w:bCs/>
          <w:lang w:val="en-GB"/>
        </w:rPr>
      </w:pPr>
      <w:r w:rsidRPr="00F206E2">
        <w:rPr>
          <w:bCs/>
          <w:lang w:val="en-GB"/>
        </w:rPr>
        <w:t>• Unforeseen serious adverse effect of the device (</w:t>
      </w:r>
      <w:r>
        <w:rPr>
          <w:bCs/>
          <w:lang w:val="en-GB"/>
        </w:rPr>
        <w:t>USAED</w:t>
      </w:r>
      <w:r w:rsidRPr="00F206E2">
        <w:rPr>
          <w:bCs/>
          <w:lang w:val="en-GB"/>
        </w:rPr>
        <w:t>)</w:t>
      </w:r>
    </w:p>
    <w:p w14:paraId="1E5258A4" w14:textId="73C9C3EC" w:rsidR="00F206E2" w:rsidRPr="00F206E2" w:rsidRDefault="00F206E2" w:rsidP="00F206E2">
      <w:pPr>
        <w:spacing w:before="240" w:line="240" w:lineRule="auto"/>
        <w:jc w:val="both"/>
        <w:rPr>
          <w:b/>
          <w:lang w:val="en-GB"/>
        </w:rPr>
      </w:pPr>
      <w:r w:rsidRPr="00F206E2">
        <w:rPr>
          <w:b/>
          <w:lang w:val="en-GB"/>
        </w:rPr>
        <w:t>Adverse Event (A</w:t>
      </w:r>
      <w:r>
        <w:rPr>
          <w:b/>
          <w:lang w:val="en-GB"/>
        </w:rPr>
        <w:t>E</w:t>
      </w:r>
      <w:r w:rsidRPr="00F206E2">
        <w:rPr>
          <w:b/>
          <w:lang w:val="en-GB"/>
        </w:rPr>
        <w:t>)</w:t>
      </w:r>
      <w:r>
        <w:rPr>
          <w:b/>
          <w:lang w:val="en-GB"/>
        </w:rPr>
        <w:t>:</w:t>
      </w:r>
    </w:p>
    <w:p w14:paraId="581F4845" w14:textId="77777777" w:rsidR="00F206E2" w:rsidRPr="00F206E2" w:rsidRDefault="00F206E2" w:rsidP="00F206E2">
      <w:pPr>
        <w:spacing w:before="240" w:line="240" w:lineRule="auto"/>
        <w:jc w:val="both"/>
        <w:rPr>
          <w:bCs/>
          <w:lang w:val="en-GB"/>
        </w:rPr>
      </w:pPr>
      <w:r w:rsidRPr="00F206E2">
        <w:rPr>
          <w:bCs/>
          <w:lang w:val="en-GB"/>
        </w:rPr>
        <w:t>It is any unwanted medical event, unforeseen illness or injury or adverse clinical sign (including abnormal laboratory results) in subjects, users or other persons, whether or not it is related to the medical device under investigation.</w:t>
      </w:r>
    </w:p>
    <w:p w14:paraId="296D39C5" w14:textId="0548223B" w:rsidR="00F206E2" w:rsidRDefault="00F206E2" w:rsidP="00F206E2">
      <w:pPr>
        <w:spacing w:before="240" w:line="240" w:lineRule="auto"/>
        <w:jc w:val="both"/>
        <w:rPr>
          <w:bCs/>
          <w:lang w:val="en-GB"/>
        </w:rPr>
      </w:pPr>
      <w:r w:rsidRPr="00F206E2">
        <w:rPr>
          <w:bCs/>
          <w:lang w:val="en-GB"/>
        </w:rPr>
        <w:t>This definition encompasses the events related to the device under investigation and those related to the comparator device.</w:t>
      </w:r>
    </w:p>
    <w:p w14:paraId="78B2DE45" w14:textId="707FD98C" w:rsidR="00F206E2" w:rsidRPr="00F206E2" w:rsidRDefault="00F206E2" w:rsidP="00F206E2">
      <w:pPr>
        <w:spacing w:before="240" w:line="240" w:lineRule="auto"/>
        <w:jc w:val="both"/>
        <w:rPr>
          <w:b/>
          <w:lang w:val="en-GB"/>
        </w:rPr>
      </w:pPr>
      <w:r w:rsidRPr="00F206E2">
        <w:rPr>
          <w:b/>
          <w:lang w:val="en-GB"/>
        </w:rPr>
        <w:t>Serious Adverse Event (</w:t>
      </w:r>
      <w:r>
        <w:rPr>
          <w:b/>
          <w:lang w:val="en-GB"/>
        </w:rPr>
        <w:t>SAE):</w:t>
      </w:r>
    </w:p>
    <w:p w14:paraId="0105E3F2" w14:textId="386E6876" w:rsidR="00F206E2" w:rsidRPr="00F206E2" w:rsidRDefault="00F206E2" w:rsidP="00F206E2">
      <w:pPr>
        <w:spacing w:before="240" w:line="240" w:lineRule="auto"/>
        <w:jc w:val="both"/>
        <w:rPr>
          <w:bCs/>
          <w:lang w:val="en-GB"/>
        </w:rPr>
      </w:pPr>
      <w:r w:rsidRPr="00F206E2">
        <w:rPr>
          <w:bCs/>
          <w:lang w:val="en-GB"/>
        </w:rPr>
        <w:t>A</w:t>
      </w:r>
      <w:r>
        <w:rPr>
          <w:bCs/>
          <w:lang w:val="en-GB"/>
        </w:rPr>
        <w:t>E</w:t>
      </w:r>
      <w:r w:rsidRPr="00F206E2">
        <w:rPr>
          <w:bCs/>
          <w:lang w:val="en-GB"/>
        </w:rPr>
        <w:t xml:space="preserve"> that leads to:</w:t>
      </w:r>
    </w:p>
    <w:p w14:paraId="5A067D86" w14:textId="77777777" w:rsidR="00F206E2" w:rsidRPr="00F206E2" w:rsidRDefault="00F206E2" w:rsidP="00F206E2">
      <w:pPr>
        <w:spacing w:before="240" w:line="240" w:lineRule="auto"/>
        <w:jc w:val="both"/>
        <w:rPr>
          <w:bCs/>
          <w:lang w:val="en-GB"/>
        </w:rPr>
      </w:pPr>
      <w:r w:rsidRPr="00F206E2">
        <w:rPr>
          <w:bCs/>
          <w:lang w:val="en-GB"/>
        </w:rPr>
        <w:t>- death or permanent injury to a body structure or function</w:t>
      </w:r>
    </w:p>
    <w:p w14:paraId="460A69E1" w14:textId="77777777" w:rsidR="00F206E2" w:rsidRPr="00F206E2" w:rsidRDefault="00F206E2" w:rsidP="00F206E2">
      <w:pPr>
        <w:spacing w:before="240" w:line="240" w:lineRule="auto"/>
        <w:jc w:val="both"/>
        <w:rPr>
          <w:bCs/>
          <w:lang w:val="en-GB"/>
        </w:rPr>
      </w:pPr>
      <w:r w:rsidRPr="00F206E2">
        <w:rPr>
          <w:bCs/>
          <w:lang w:val="en-GB"/>
        </w:rPr>
        <w:t>- serious deterioration of the subject's health that:</w:t>
      </w:r>
    </w:p>
    <w:p w14:paraId="188CA6C5" w14:textId="6776BAF5" w:rsidR="00F206E2" w:rsidRPr="00F206E2" w:rsidRDefault="00F206E2" w:rsidP="00F206E2">
      <w:pPr>
        <w:spacing w:before="240" w:line="240" w:lineRule="auto"/>
        <w:jc w:val="both"/>
        <w:rPr>
          <w:bCs/>
          <w:lang w:val="en-GB"/>
        </w:rPr>
      </w:pPr>
      <w:r>
        <w:rPr>
          <w:bCs/>
          <w:lang w:val="en-GB"/>
        </w:rPr>
        <w:t>*</w:t>
      </w:r>
      <w:r w:rsidRPr="00F206E2">
        <w:rPr>
          <w:bCs/>
          <w:lang w:val="en-GB"/>
        </w:rPr>
        <w:t xml:space="preserve"> leading to a life-threatening illness or injury</w:t>
      </w:r>
    </w:p>
    <w:p w14:paraId="66E698B9" w14:textId="04A4E147" w:rsidR="00F206E2" w:rsidRPr="00F206E2" w:rsidRDefault="00F206E2" w:rsidP="00F206E2">
      <w:pPr>
        <w:spacing w:before="240" w:line="240" w:lineRule="auto"/>
        <w:jc w:val="both"/>
        <w:rPr>
          <w:bCs/>
          <w:lang w:val="en-GB"/>
        </w:rPr>
      </w:pPr>
      <w:r>
        <w:rPr>
          <w:bCs/>
          <w:lang w:val="en-GB"/>
        </w:rPr>
        <w:t>*</w:t>
      </w:r>
      <w:r w:rsidRPr="00F206E2">
        <w:rPr>
          <w:bCs/>
          <w:lang w:val="en-GB"/>
        </w:rPr>
        <w:t xml:space="preserve"> of place or permanent disability of a body structure or body function</w:t>
      </w:r>
    </w:p>
    <w:p w14:paraId="377DE426" w14:textId="284CA9E5" w:rsidR="00F206E2" w:rsidRPr="00F206E2" w:rsidRDefault="00F206E2" w:rsidP="00F206E2">
      <w:pPr>
        <w:spacing w:before="240" w:line="240" w:lineRule="auto"/>
        <w:jc w:val="both"/>
        <w:rPr>
          <w:bCs/>
          <w:lang w:val="en-GB"/>
        </w:rPr>
      </w:pPr>
      <w:r>
        <w:rPr>
          <w:bCs/>
          <w:lang w:val="en-GB"/>
        </w:rPr>
        <w:t>*</w:t>
      </w:r>
      <w:r w:rsidRPr="00F206E2">
        <w:rPr>
          <w:bCs/>
          <w:lang w:val="en-GB"/>
        </w:rPr>
        <w:t xml:space="preserve"> specify hospitalization or prolong an existing hospitalization</w:t>
      </w:r>
    </w:p>
    <w:p w14:paraId="73A651B4" w14:textId="4D606D68" w:rsidR="00F206E2" w:rsidRPr="00F206E2" w:rsidRDefault="00F206E2" w:rsidP="00F206E2">
      <w:pPr>
        <w:spacing w:before="240" w:line="240" w:lineRule="auto"/>
        <w:jc w:val="both"/>
        <w:rPr>
          <w:bCs/>
          <w:lang w:val="en-GB"/>
        </w:rPr>
      </w:pPr>
      <w:r>
        <w:rPr>
          <w:bCs/>
          <w:lang w:val="en-GB"/>
        </w:rPr>
        <w:t>*</w:t>
      </w:r>
      <w:r w:rsidRPr="00F206E2">
        <w:rPr>
          <w:bCs/>
          <w:lang w:val="en-GB"/>
        </w:rPr>
        <w:t xml:space="preserve"> require a medical or surgical intervention to prevent a disease with risk of loss of life.</w:t>
      </w:r>
    </w:p>
    <w:p w14:paraId="3B55EB81" w14:textId="4E9966AB" w:rsidR="00F206E2" w:rsidRDefault="00F206E2" w:rsidP="00F206E2">
      <w:pPr>
        <w:spacing w:before="240" w:line="240" w:lineRule="auto"/>
        <w:jc w:val="both"/>
        <w:rPr>
          <w:bCs/>
          <w:highlight w:val="yellow"/>
          <w:lang w:val="en-GB"/>
        </w:rPr>
      </w:pPr>
      <w:r w:rsidRPr="00F206E2">
        <w:rPr>
          <w:bCs/>
          <w:lang w:val="en-GB"/>
        </w:rPr>
        <w:t xml:space="preserve">- produce </w:t>
      </w:r>
      <w:proofErr w:type="spellStart"/>
      <w:r w:rsidRPr="00F206E2">
        <w:rPr>
          <w:bCs/>
          <w:lang w:val="en-GB"/>
        </w:rPr>
        <w:t>fetal</w:t>
      </w:r>
      <w:proofErr w:type="spellEnd"/>
      <w:r w:rsidRPr="00F206E2">
        <w:rPr>
          <w:bCs/>
          <w:lang w:val="en-GB"/>
        </w:rPr>
        <w:t xml:space="preserve"> distress, </w:t>
      </w:r>
      <w:proofErr w:type="spellStart"/>
      <w:r w:rsidRPr="00F206E2">
        <w:rPr>
          <w:bCs/>
          <w:lang w:val="en-GB"/>
        </w:rPr>
        <w:t>fetal</w:t>
      </w:r>
      <w:proofErr w:type="spellEnd"/>
      <w:r w:rsidRPr="00F206E2">
        <w:rPr>
          <w:bCs/>
          <w:lang w:val="en-GB"/>
        </w:rPr>
        <w:t xml:space="preserve"> death or a congenital anomaly or a birth defect.</w:t>
      </w:r>
    </w:p>
    <w:p w14:paraId="09B44C57" w14:textId="77777777" w:rsidR="00F206E2" w:rsidRPr="00F206E2" w:rsidRDefault="00F206E2" w:rsidP="00F206E2">
      <w:pPr>
        <w:spacing w:before="240" w:line="240" w:lineRule="auto"/>
        <w:jc w:val="both"/>
        <w:rPr>
          <w:bCs/>
          <w:lang w:val="en-GB"/>
        </w:rPr>
      </w:pPr>
      <w:r w:rsidRPr="00F206E2">
        <w:rPr>
          <w:bCs/>
          <w:lang w:val="en-GB"/>
        </w:rPr>
        <w:t>Any hospitalization previously scheduled for a pre-existing condition or required according to the Protocol, without this causing serious deterioration in the state of health, will not be considered AAG for notification to the Promoter.</w:t>
      </w:r>
    </w:p>
    <w:p w14:paraId="64E15C3A" w14:textId="65C7B384" w:rsidR="00F206E2" w:rsidRPr="00F206E2" w:rsidRDefault="00F206E2" w:rsidP="00F206E2">
      <w:pPr>
        <w:spacing w:before="240" w:line="240" w:lineRule="auto"/>
        <w:jc w:val="both"/>
        <w:rPr>
          <w:b/>
          <w:lang w:val="en-GB"/>
        </w:rPr>
      </w:pPr>
      <w:r w:rsidRPr="00F206E2">
        <w:rPr>
          <w:b/>
          <w:lang w:val="en-GB"/>
        </w:rPr>
        <w:lastRenderedPageBreak/>
        <w:t>Product Deficiency:</w:t>
      </w:r>
    </w:p>
    <w:p w14:paraId="7543C631" w14:textId="349C125F" w:rsidR="00F206E2" w:rsidRDefault="00F206E2" w:rsidP="00F206E2">
      <w:pPr>
        <w:spacing w:before="240" w:line="240" w:lineRule="auto"/>
        <w:jc w:val="both"/>
        <w:rPr>
          <w:bCs/>
          <w:highlight w:val="yellow"/>
          <w:lang w:val="en-GB"/>
        </w:rPr>
      </w:pPr>
      <w:r w:rsidRPr="00F206E2">
        <w:rPr>
          <w:bCs/>
          <w:lang w:val="en-GB"/>
        </w:rPr>
        <w:t>Inadequacy of a medical device with respect to its identification, quality, durability, reliability, safety or operation.</w:t>
      </w:r>
    </w:p>
    <w:p w14:paraId="4188BE88" w14:textId="493B231B" w:rsidR="00F206E2" w:rsidRPr="00613259" w:rsidRDefault="00F206E2" w:rsidP="00F206E2">
      <w:pPr>
        <w:spacing w:before="240" w:line="240" w:lineRule="auto"/>
        <w:jc w:val="both"/>
        <w:rPr>
          <w:b/>
          <w:lang w:val="en-GB"/>
        </w:rPr>
      </w:pPr>
      <w:r w:rsidRPr="00613259">
        <w:rPr>
          <w:b/>
          <w:lang w:val="en-GB"/>
        </w:rPr>
        <w:t>Adverse Effect of the Device (AED):</w:t>
      </w:r>
    </w:p>
    <w:p w14:paraId="36023854" w14:textId="77777777" w:rsidR="00F206E2" w:rsidRPr="00F206E2" w:rsidRDefault="00F206E2" w:rsidP="00F206E2">
      <w:pPr>
        <w:spacing w:before="240" w:line="240" w:lineRule="auto"/>
        <w:jc w:val="both"/>
        <w:rPr>
          <w:bCs/>
          <w:lang w:val="en-GB"/>
        </w:rPr>
      </w:pPr>
      <w:r w:rsidRPr="00F206E2">
        <w:rPr>
          <w:bCs/>
          <w:lang w:val="en-GB"/>
        </w:rPr>
        <w:t>It is any adverse effect related to the use of a medical device under investigation.</w:t>
      </w:r>
    </w:p>
    <w:p w14:paraId="0E37CEF4" w14:textId="77777777" w:rsidR="00F206E2" w:rsidRPr="00F206E2" w:rsidRDefault="00F206E2" w:rsidP="00F206E2">
      <w:pPr>
        <w:spacing w:before="240" w:line="240" w:lineRule="auto"/>
        <w:jc w:val="both"/>
        <w:rPr>
          <w:bCs/>
          <w:lang w:val="en-GB"/>
        </w:rPr>
      </w:pPr>
      <w:r w:rsidRPr="00F206E2">
        <w:rPr>
          <w:bCs/>
          <w:lang w:val="en-GB"/>
        </w:rPr>
        <w:t>This definition includes any adverse event resulting from insufficient or inappropriate instructions for use, placement, implantation, installation or handling, or any malfunction of the medical device under investigation. The definition also includes any effect caused by user error or intentional misuse of the medical device of the investigation.</w:t>
      </w:r>
    </w:p>
    <w:p w14:paraId="0E0B115A" w14:textId="69931D5A" w:rsidR="00F206E2" w:rsidRPr="00613259" w:rsidRDefault="00F206E2" w:rsidP="00F206E2">
      <w:pPr>
        <w:spacing w:before="240" w:line="240" w:lineRule="auto"/>
        <w:jc w:val="both"/>
        <w:rPr>
          <w:b/>
          <w:lang w:val="en-GB"/>
        </w:rPr>
      </w:pPr>
      <w:r w:rsidRPr="00613259">
        <w:rPr>
          <w:b/>
          <w:lang w:val="en-GB"/>
        </w:rPr>
        <w:t>Serious Adverse Effect of the Device (</w:t>
      </w:r>
      <w:r w:rsidR="00613259" w:rsidRPr="00613259">
        <w:rPr>
          <w:b/>
          <w:lang w:val="en-GB"/>
        </w:rPr>
        <w:t>S</w:t>
      </w:r>
      <w:r w:rsidRPr="00613259">
        <w:rPr>
          <w:b/>
          <w:lang w:val="en-GB"/>
        </w:rPr>
        <w:t>A</w:t>
      </w:r>
      <w:r w:rsidR="00613259" w:rsidRPr="00613259">
        <w:rPr>
          <w:b/>
          <w:lang w:val="en-GB"/>
        </w:rPr>
        <w:t>E</w:t>
      </w:r>
      <w:r w:rsidRPr="00613259">
        <w:rPr>
          <w:b/>
          <w:lang w:val="en-GB"/>
        </w:rPr>
        <w:t>D)</w:t>
      </w:r>
      <w:r w:rsidR="00613259" w:rsidRPr="00613259">
        <w:rPr>
          <w:b/>
          <w:lang w:val="en-GB"/>
        </w:rPr>
        <w:t>:</w:t>
      </w:r>
    </w:p>
    <w:p w14:paraId="59A571B3" w14:textId="77777777" w:rsidR="00F206E2" w:rsidRPr="00F206E2" w:rsidRDefault="00F206E2" w:rsidP="00F206E2">
      <w:pPr>
        <w:spacing w:before="240" w:line="240" w:lineRule="auto"/>
        <w:jc w:val="both"/>
        <w:rPr>
          <w:bCs/>
          <w:lang w:val="en-GB"/>
        </w:rPr>
      </w:pPr>
      <w:r w:rsidRPr="00F206E2">
        <w:rPr>
          <w:bCs/>
          <w:lang w:val="en-GB"/>
        </w:rPr>
        <w:t>Adverse effect of the Device under investigation that has resulted in any of the characteristic consequences of a Serious Adverse Event.</w:t>
      </w:r>
    </w:p>
    <w:p w14:paraId="3B07CF39" w14:textId="05E06D2D" w:rsidR="00F206E2" w:rsidRPr="00613259" w:rsidRDefault="00F206E2" w:rsidP="00F206E2">
      <w:pPr>
        <w:spacing w:before="240" w:line="240" w:lineRule="auto"/>
        <w:jc w:val="both"/>
        <w:rPr>
          <w:b/>
          <w:lang w:val="en-GB"/>
        </w:rPr>
      </w:pPr>
      <w:r w:rsidRPr="00613259">
        <w:rPr>
          <w:b/>
          <w:lang w:val="en-GB"/>
        </w:rPr>
        <w:t>Unintended Serious Adverse Effect of the Device (</w:t>
      </w:r>
      <w:r w:rsidR="00613259" w:rsidRPr="00613259">
        <w:rPr>
          <w:b/>
          <w:lang w:val="en-GB"/>
        </w:rPr>
        <w:t>USAED</w:t>
      </w:r>
      <w:r w:rsidRPr="00613259">
        <w:rPr>
          <w:b/>
          <w:lang w:val="en-GB"/>
        </w:rPr>
        <w:t>)</w:t>
      </w:r>
      <w:r w:rsidR="00613259" w:rsidRPr="00613259">
        <w:rPr>
          <w:b/>
          <w:lang w:val="en-GB"/>
        </w:rPr>
        <w:t>:</w:t>
      </w:r>
    </w:p>
    <w:p w14:paraId="74A824D3" w14:textId="35A58677" w:rsidR="00F206E2" w:rsidRDefault="00F206E2" w:rsidP="00F206E2">
      <w:pPr>
        <w:spacing w:before="240" w:line="240" w:lineRule="auto"/>
        <w:jc w:val="both"/>
        <w:rPr>
          <w:bCs/>
          <w:highlight w:val="yellow"/>
          <w:lang w:val="en-GB"/>
        </w:rPr>
      </w:pPr>
      <w:r w:rsidRPr="00F206E2">
        <w:rPr>
          <w:bCs/>
          <w:lang w:val="en-GB"/>
        </w:rPr>
        <w:t>Serious adverse effect of the device under investigation which, due to its nature, incidence, severity or consequences, has not been identified in the updated version of the risk analysis report (in this case, a manual of instructions for use).</w:t>
      </w:r>
    </w:p>
    <w:p w14:paraId="10D12C0D" w14:textId="3A97D8BE" w:rsidR="00613259" w:rsidRPr="00613259" w:rsidRDefault="00613259" w:rsidP="00613259">
      <w:pPr>
        <w:spacing w:before="240" w:line="240" w:lineRule="auto"/>
        <w:jc w:val="both"/>
        <w:rPr>
          <w:b/>
          <w:lang w:val="en-GB"/>
        </w:rPr>
      </w:pPr>
      <w:r w:rsidRPr="00613259">
        <w:rPr>
          <w:b/>
          <w:lang w:val="en-GB"/>
        </w:rPr>
        <w:t>Collection procedure for A</w:t>
      </w:r>
      <w:r>
        <w:rPr>
          <w:b/>
          <w:lang w:val="en-GB"/>
        </w:rPr>
        <w:t>E</w:t>
      </w:r>
      <w:r w:rsidRPr="00613259">
        <w:rPr>
          <w:b/>
          <w:lang w:val="en-GB"/>
        </w:rPr>
        <w:t>s</w:t>
      </w:r>
      <w:r>
        <w:rPr>
          <w:b/>
          <w:lang w:val="en-GB"/>
        </w:rPr>
        <w:t>:</w:t>
      </w:r>
    </w:p>
    <w:p w14:paraId="4393AF29" w14:textId="2C151E79" w:rsidR="00613259" w:rsidRPr="00613259" w:rsidRDefault="00613259" w:rsidP="00613259">
      <w:pPr>
        <w:spacing w:before="240" w:line="240" w:lineRule="auto"/>
        <w:jc w:val="both"/>
        <w:rPr>
          <w:bCs/>
          <w:lang w:val="en-GB"/>
        </w:rPr>
      </w:pPr>
      <w:r w:rsidRPr="00613259">
        <w:rPr>
          <w:bCs/>
          <w:lang w:val="en-GB"/>
        </w:rPr>
        <w:t xml:space="preserve">Researchers will be responsible for documenting all </w:t>
      </w:r>
      <w:r>
        <w:rPr>
          <w:bCs/>
          <w:lang w:val="en-GB"/>
        </w:rPr>
        <w:t>AE</w:t>
      </w:r>
      <w:r w:rsidRPr="00613259">
        <w:rPr>
          <w:bCs/>
          <w:lang w:val="en-GB"/>
        </w:rPr>
        <w:t>s in the patient's medical history based on what the patient refers spontaneously or in response to the investigator's interrogation at each of the visits planned in the study calendar. Likewise, the causal relationship with the product under investigation will be evaluated and recorded in the clinical history.</w:t>
      </w:r>
    </w:p>
    <w:p w14:paraId="13B399D4" w14:textId="413EC759" w:rsidR="00613259" w:rsidRPr="00613259" w:rsidRDefault="00613259" w:rsidP="00613259">
      <w:pPr>
        <w:spacing w:before="240" w:line="240" w:lineRule="auto"/>
        <w:jc w:val="both"/>
        <w:rPr>
          <w:bCs/>
          <w:lang w:val="en-GB"/>
        </w:rPr>
      </w:pPr>
      <w:r w:rsidRPr="00613259">
        <w:rPr>
          <w:bCs/>
          <w:lang w:val="en-GB"/>
        </w:rPr>
        <w:t xml:space="preserve"> If an A</w:t>
      </w:r>
      <w:r>
        <w:rPr>
          <w:bCs/>
          <w:lang w:val="en-GB"/>
        </w:rPr>
        <w:t>E</w:t>
      </w:r>
      <w:r w:rsidRPr="00613259">
        <w:rPr>
          <w:bCs/>
          <w:lang w:val="en-GB"/>
        </w:rPr>
        <w:t xml:space="preserve"> is related or not to the transmural drainage by </w:t>
      </w:r>
      <w:r>
        <w:rPr>
          <w:bCs/>
          <w:lang w:val="en-GB"/>
        </w:rPr>
        <w:t>EUS</w:t>
      </w:r>
      <w:r w:rsidRPr="00613259">
        <w:rPr>
          <w:bCs/>
          <w:lang w:val="en-GB"/>
        </w:rPr>
        <w:t xml:space="preserve"> wit</w:t>
      </w:r>
      <w:r>
        <w:rPr>
          <w:bCs/>
          <w:lang w:val="en-GB"/>
        </w:rPr>
        <w:t>h stents</w:t>
      </w:r>
      <w:r w:rsidRPr="00613259">
        <w:rPr>
          <w:bCs/>
          <w:lang w:val="en-GB"/>
        </w:rPr>
        <w:t xml:space="preserve"> (plastic or metal), it will be decided according to the opinion of the Investigating team of the participating </w:t>
      </w:r>
      <w:proofErr w:type="spellStart"/>
      <w:r w:rsidRPr="00613259">
        <w:rPr>
          <w:bCs/>
          <w:lang w:val="en-GB"/>
        </w:rPr>
        <w:t>center</w:t>
      </w:r>
      <w:proofErr w:type="spellEnd"/>
      <w:r w:rsidRPr="00613259">
        <w:rPr>
          <w:bCs/>
          <w:lang w:val="en-GB"/>
        </w:rPr>
        <w:t>.</w:t>
      </w:r>
    </w:p>
    <w:p w14:paraId="6C211D00" w14:textId="2054D1AA" w:rsidR="00613259" w:rsidRPr="00613259" w:rsidRDefault="00613259" w:rsidP="00613259">
      <w:pPr>
        <w:spacing w:before="240" w:line="240" w:lineRule="auto"/>
        <w:jc w:val="both"/>
        <w:rPr>
          <w:bCs/>
          <w:lang w:val="en-GB"/>
        </w:rPr>
      </w:pPr>
      <w:r w:rsidRPr="00613259">
        <w:rPr>
          <w:bCs/>
          <w:lang w:val="en-GB"/>
        </w:rPr>
        <w:t>The causal relationship for an AA will be established according to the definitions contained in the</w:t>
      </w:r>
      <w:r w:rsidR="00ED1FD6" w:rsidRPr="00ED1FD6">
        <w:rPr>
          <w:bCs/>
          <w:lang w:val="en-GB"/>
        </w:rPr>
        <w:t xml:space="preserve"> MEDDEV 2.12 guidelines (rev 8, July 2019)</w:t>
      </w:r>
      <w:r w:rsidRPr="00613259">
        <w:rPr>
          <w:bCs/>
          <w:lang w:val="en-GB"/>
        </w:rPr>
        <w:t>, establishing 5 possible categories as summarized below:</w:t>
      </w:r>
    </w:p>
    <w:p w14:paraId="07559E34" w14:textId="69B80ED5" w:rsidR="00F206E2" w:rsidRDefault="00613259" w:rsidP="00613259">
      <w:pPr>
        <w:spacing w:before="240" w:line="240" w:lineRule="auto"/>
        <w:jc w:val="both"/>
        <w:rPr>
          <w:bCs/>
          <w:lang w:val="en-GB"/>
        </w:rPr>
      </w:pPr>
      <w:r w:rsidRPr="00613259">
        <w:rPr>
          <w:bCs/>
          <w:lang w:val="en-GB"/>
        </w:rPr>
        <w:t xml:space="preserve">- </w:t>
      </w:r>
      <w:r w:rsidRPr="00613259">
        <w:rPr>
          <w:bCs/>
          <w:u w:val="single"/>
          <w:lang w:val="en-GB"/>
        </w:rPr>
        <w:t>Not related:</w:t>
      </w:r>
      <w:r w:rsidRPr="00613259">
        <w:rPr>
          <w:bCs/>
          <w:lang w:val="en-GB"/>
        </w:rPr>
        <w:t xml:space="preserve"> when the relationship with the use of the device or procedures can be ruled out (it does not constitute a side effect of the device, there is no temporary relationship with the use of the device, it is not a known response pattern to the use of the device, discontinuation of the use of the device or its reuse does not impact the event or is not expected by the use of the device the affectation of a certain affected organ or body region)</w:t>
      </w:r>
      <w:r>
        <w:rPr>
          <w:bCs/>
          <w:lang w:val="en-GB"/>
        </w:rPr>
        <w:t>.</w:t>
      </w:r>
    </w:p>
    <w:p w14:paraId="4C7E4289" w14:textId="6B4BA6FA" w:rsidR="00613259" w:rsidRPr="00613259" w:rsidRDefault="00613259" w:rsidP="00613259">
      <w:pPr>
        <w:spacing w:before="240" w:line="240" w:lineRule="auto"/>
        <w:jc w:val="both"/>
        <w:rPr>
          <w:bCs/>
          <w:lang w:val="en-GB"/>
        </w:rPr>
      </w:pPr>
      <w:r>
        <w:rPr>
          <w:bCs/>
          <w:lang w:val="en-GB"/>
        </w:rPr>
        <w:t>-</w:t>
      </w:r>
      <w:r w:rsidRPr="00613259">
        <w:rPr>
          <w:bCs/>
          <w:u w:val="single"/>
          <w:lang w:val="en-GB"/>
        </w:rPr>
        <w:t xml:space="preserve"> Unlikely</w:t>
      </w:r>
      <w:r w:rsidRPr="00613259">
        <w:rPr>
          <w:bCs/>
          <w:lang w:val="en-GB"/>
        </w:rPr>
        <w:t>: the relationship with the use of the device is not relevant and / or the event can be explained by another cause, although it is necessary to obtain more information about it.</w:t>
      </w:r>
    </w:p>
    <w:p w14:paraId="22CB62A7" w14:textId="2B916481" w:rsidR="00613259" w:rsidRPr="00613259" w:rsidRDefault="00613259" w:rsidP="00613259">
      <w:pPr>
        <w:spacing w:before="240" w:line="240" w:lineRule="auto"/>
        <w:jc w:val="both"/>
        <w:rPr>
          <w:bCs/>
          <w:lang w:val="en-GB"/>
        </w:rPr>
      </w:pPr>
      <w:r w:rsidRPr="00613259">
        <w:rPr>
          <w:bCs/>
          <w:lang w:val="en-GB"/>
        </w:rPr>
        <w:t xml:space="preserve">- </w:t>
      </w:r>
      <w:r w:rsidRPr="00613259">
        <w:rPr>
          <w:bCs/>
          <w:u w:val="single"/>
          <w:lang w:val="en-GB"/>
        </w:rPr>
        <w:t>Possible</w:t>
      </w:r>
      <w:r w:rsidRPr="00613259">
        <w:rPr>
          <w:bCs/>
          <w:lang w:val="en-GB"/>
        </w:rPr>
        <w:t>: the relationship with the use of the device is weak but cannot be completely ruled out. There are other alternative causes to the event that are possible.</w:t>
      </w:r>
    </w:p>
    <w:p w14:paraId="6F94752F" w14:textId="77777777" w:rsidR="00613259" w:rsidRPr="00613259" w:rsidRDefault="00613259" w:rsidP="00613259">
      <w:pPr>
        <w:spacing w:before="240" w:line="240" w:lineRule="auto"/>
        <w:jc w:val="both"/>
        <w:rPr>
          <w:bCs/>
          <w:lang w:val="en-GB"/>
        </w:rPr>
      </w:pPr>
      <w:r w:rsidRPr="00613259">
        <w:rPr>
          <w:bCs/>
          <w:lang w:val="en-GB"/>
        </w:rPr>
        <w:t xml:space="preserve">- </w:t>
      </w:r>
      <w:r w:rsidRPr="00613259">
        <w:rPr>
          <w:bCs/>
          <w:u w:val="single"/>
          <w:lang w:val="en-GB"/>
        </w:rPr>
        <w:t>Likely</w:t>
      </w:r>
      <w:r w:rsidRPr="00613259">
        <w:rPr>
          <w:bCs/>
          <w:lang w:val="en-GB"/>
        </w:rPr>
        <w:t>: the relationship with the use of the device is relevant and / or the event cannot be reasonably explained by other causes.</w:t>
      </w:r>
    </w:p>
    <w:p w14:paraId="2D608815" w14:textId="77777777" w:rsidR="00613259" w:rsidRPr="00613259" w:rsidRDefault="00613259" w:rsidP="00613259">
      <w:pPr>
        <w:spacing w:before="240" w:line="240" w:lineRule="auto"/>
        <w:jc w:val="both"/>
        <w:rPr>
          <w:bCs/>
          <w:lang w:val="en-GB"/>
        </w:rPr>
      </w:pPr>
      <w:r w:rsidRPr="00613259">
        <w:rPr>
          <w:bCs/>
          <w:lang w:val="en-GB"/>
        </w:rPr>
        <w:lastRenderedPageBreak/>
        <w:t xml:space="preserve">- </w:t>
      </w:r>
      <w:r w:rsidRPr="00613259">
        <w:rPr>
          <w:bCs/>
          <w:u w:val="single"/>
          <w:lang w:val="en-GB"/>
        </w:rPr>
        <w:t>Related</w:t>
      </w:r>
      <w:r w:rsidRPr="00613259">
        <w:rPr>
          <w:bCs/>
          <w:lang w:val="en-GB"/>
        </w:rPr>
        <w:t>: the event is related without any doubt to the use of the device or to the procedures (it is a side effect of the device, there is a temporary relationship with the use of the device, it affects an organ or body region in which it has been used the device, is a known response pattern to the use of the device, the discontinuation of the use of the device or its reuse impacts the event, derives from a misuse of the device or other possible causes have been ruled out).</w:t>
      </w:r>
    </w:p>
    <w:p w14:paraId="6B5158C8" w14:textId="68DB93B9" w:rsidR="00613259" w:rsidRPr="00613259" w:rsidRDefault="00613259" w:rsidP="00613259">
      <w:pPr>
        <w:spacing w:before="240" w:line="240" w:lineRule="auto"/>
        <w:jc w:val="both"/>
        <w:rPr>
          <w:bCs/>
          <w:lang w:val="en-GB"/>
        </w:rPr>
      </w:pPr>
      <w:r w:rsidRPr="00613259">
        <w:rPr>
          <w:bCs/>
          <w:lang w:val="en-GB"/>
        </w:rPr>
        <w:t>A</w:t>
      </w:r>
      <w:r>
        <w:rPr>
          <w:bCs/>
          <w:lang w:val="en-GB"/>
        </w:rPr>
        <w:t>E</w:t>
      </w:r>
      <w:r w:rsidRPr="00613259">
        <w:rPr>
          <w:bCs/>
          <w:lang w:val="en-GB"/>
        </w:rPr>
        <w:t>s will be classified as mild, moderate and severe according to the A</w:t>
      </w:r>
      <w:r>
        <w:rPr>
          <w:bCs/>
          <w:lang w:val="en-GB"/>
        </w:rPr>
        <w:t>E</w:t>
      </w:r>
      <w:r w:rsidRPr="00613259">
        <w:rPr>
          <w:bCs/>
          <w:lang w:val="en-GB"/>
        </w:rPr>
        <w:t xml:space="preserve"> nomenclature for endoscopy (ASGE Workshops 2010, Cotton GIE 2010; 71: 446-54)</w:t>
      </w:r>
      <w:r w:rsidR="00D123E5">
        <w:rPr>
          <w:bCs/>
          <w:lang w:val="en-GB"/>
        </w:rPr>
        <w:t xml:space="preserve"> and biliary stent-related will be complemented according to Tokyo Criteria 2018</w:t>
      </w:r>
      <w:r w:rsidRPr="00613259">
        <w:rPr>
          <w:bCs/>
          <w:lang w:val="en-GB"/>
        </w:rPr>
        <w:t>. Likewise, A</w:t>
      </w:r>
      <w:r>
        <w:rPr>
          <w:bCs/>
          <w:lang w:val="en-GB"/>
        </w:rPr>
        <w:t>E</w:t>
      </w:r>
      <w:r w:rsidRPr="00613259">
        <w:rPr>
          <w:bCs/>
          <w:lang w:val="en-GB"/>
        </w:rPr>
        <w:t>s will be classified as serious or non-serious according to the definition previously described.</w:t>
      </w:r>
    </w:p>
    <w:p w14:paraId="2AC7D19D" w14:textId="5F1B6F8D" w:rsidR="00613259" w:rsidRPr="00613259" w:rsidRDefault="00613259" w:rsidP="00613259">
      <w:pPr>
        <w:spacing w:before="240" w:line="240" w:lineRule="auto"/>
        <w:jc w:val="both"/>
        <w:rPr>
          <w:bCs/>
          <w:lang w:val="en-GB"/>
        </w:rPr>
      </w:pPr>
      <w:r w:rsidRPr="00613259">
        <w:rPr>
          <w:bCs/>
          <w:lang w:val="en-GB"/>
        </w:rPr>
        <w:t>The Investigator will document in clinical course, the A</w:t>
      </w:r>
      <w:r>
        <w:rPr>
          <w:bCs/>
          <w:lang w:val="en-GB"/>
        </w:rPr>
        <w:t>E</w:t>
      </w:r>
      <w:r w:rsidRPr="00613259">
        <w:rPr>
          <w:bCs/>
          <w:lang w:val="en-GB"/>
        </w:rPr>
        <w:t xml:space="preserve"> that the subject presents from the signing of the informed consent until the last visit of the study.</w:t>
      </w:r>
    </w:p>
    <w:p w14:paraId="691A58F1" w14:textId="2D757D3B" w:rsidR="00613259" w:rsidRPr="00613259" w:rsidRDefault="00613259" w:rsidP="00613259">
      <w:pPr>
        <w:spacing w:before="240" w:line="240" w:lineRule="auto"/>
        <w:jc w:val="both"/>
        <w:rPr>
          <w:bCs/>
          <w:lang w:val="en-GB"/>
        </w:rPr>
      </w:pPr>
      <w:r w:rsidRPr="00613259">
        <w:rPr>
          <w:bCs/>
          <w:lang w:val="en-GB"/>
        </w:rPr>
        <w:t>In the eCR</w:t>
      </w:r>
      <w:r>
        <w:rPr>
          <w:bCs/>
          <w:lang w:val="en-GB"/>
        </w:rPr>
        <w:t>F</w:t>
      </w:r>
      <w:r w:rsidRPr="00613259">
        <w:rPr>
          <w:bCs/>
          <w:lang w:val="en-GB"/>
        </w:rPr>
        <w:t>, the A</w:t>
      </w:r>
      <w:r>
        <w:rPr>
          <w:bCs/>
          <w:lang w:val="en-GB"/>
        </w:rPr>
        <w:t>E</w:t>
      </w:r>
      <w:r w:rsidRPr="00613259">
        <w:rPr>
          <w:bCs/>
          <w:lang w:val="en-GB"/>
        </w:rPr>
        <w:t xml:space="preserve">s related to the </w:t>
      </w:r>
      <w:r w:rsidR="00ED1FD6">
        <w:rPr>
          <w:bCs/>
          <w:lang w:val="en-GB"/>
        </w:rPr>
        <w:t>medical devices under investigation</w:t>
      </w:r>
      <w:r w:rsidRPr="00613259">
        <w:rPr>
          <w:bCs/>
          <w:lang w:val="en-GB"/>
        </w:rPr>
        <w:t xml:space="preserve"> or to the Test Procedures and all </w:t>
      </w:r>
      <w:r>
        <w:rPr>
          <w:bCs/>
          <w:lang w:val="en-GB"/>
        </w:rPr>
        <w:t>AE</w:t>
      </w:r>
      <w:r w:rsidRPr="00613259">
        <w:rPr>
          <w:bCs/>
          <w:lang w:val="en-GB"/>
        </w:rPr>
        <w:t>s, related or not, will be transcribed.</w:t>
      </w:r>
    </w:p>
    <w:p w14:paraId="32D2FF20" w14:textId="742991DB" w:rsidR="00613259" w:rsidRPr="00613259" w:rsidRDefault="00613259" w:rsidP="00613259">
      <w:pPr>
        <w:spacing w:before="240" w:line="240" w:lineRule="auto"/>
        <w:jc w:val="both"/>
        <w:rPr>
          <w:bCs/>
          <w:lang w:val="en-GB"/>
        </w:rPr>
      </w:pPr>
      <w:r w:rsidRPr="00613259">
        <w:rPr>
          <w:bCs/>
          <w:lang w:val="en-GB"/>
        </w:rPr>
        <w:t>The eCR</w:t>
      </w:r>
      <w:r>
        <w:rPr>
          <w:bCs/>
          <w:lang w:val="en-GB"/>
        </w:rPr>
        <w:t>F</w:t>
      </w:r>
      <w:r w:rsidRPr="00613259">
        <w:rPr>
          <w:bCs/>
          <w:lang w:val="en-GB"/>
        </w:rPr>
        <w:t xml:space="preserve"> will collect the following information: description of the event, start date, end date of the event, whether or not it is related to the </w:t>
      </w:r>
      <w:r w:rsidR="00ED1FD6">
        <w:rPr>
          <w:bCs/>
          <w:lang w:val="en-GB"/>
        </w:rPr>
        <w:t xml:space="preserve">medical </w:t>
      </w:r>
      <w:r w:rsidRPr="00613259">
        <w:rPr>
          <w:bCs/>
          <w:lang w:val="en-GB"/>
        </w:rPr>
        <w:t>product or to the study procedures, result of the AA, whether it is serious or not and the measures taken.</w:t>
      </w:r>
    </w:p>
    <w:p w14:paraId="639245D7" w14:textId="77777777" w:rsidR="00613259" w:rsidRPr="00613259" w:rsidRDefault="00613259" w:rsidP="00613259">
      <w:pPr>
        <w:spacing w:before="240" w:line="240" w:lineRule="auto"/>
        <w:jc w:val="both"/>
        <w:rPr>
          <w:bCs/>
          <w:lang w:val="en-GB"/>
        </w:rPr>
      </w:pPr>
      <w:r w:rsidRPr="00613259">
        <w:rPr>
          <w:bCs/>
          <w:lang w:val="en-GB"/>
        </w:rPr>
        <w:t>The measures taken will be classified as: none, home observation, need for hospitalization or other.</w:t>
      </w:r>
    </w:p>
    <w:p w14:paraId="551E010E" w14:textId="7D8E336D" w:rsidR="00613259" w:rsidRDefault="00613259" w:rsidP="00613259">
      <w:pPr>
        <w:spacing w:before="240" w:line="240" w:lineRule="auto"/>
        <w:jc w:val="both"/>
        <w:rPr>
          <w:bCs/>
          <w:highlight w:val="yellow"/>
          <w:lang w:val="en-GB"/>
        </w:rPr>
      </w:pPr>
      <w:r w:rsidRPr="00613259">
        <w:rPr>
          <w:bCs/>
          <w:lang w:val="en-GB"/>
        </w:rPr>
        <w:t>The result of the event will be recorded as: event resolved, resolved with sequels, in progress or death.</w:t>
      </w:r>
    </w:p>
    <w:p w14:paraId="22C3BAC2" w14:textId="42CB4414" w:rsidR="002831D8" w:rsidRPr="004C39C8" w:rsidRDefault="002831D8" w:rsidP="002831D8">
      <w:pPr>
        <w:spacing w:line="480" w:lineRule="auto"/>
        <w:rPr>
          <w:rFonts w:ascii="Arial" w:hAnsi="Arial" w:cs="Arial"/>
          <w:sz w:val="20"/>
          <w:szCs w:val="20"/>
          <w:lang w:val="en-US"/>
        </w:rPr>
      </w:pPr>
      <w:r w:rsidRPr="004C39C8">
        <w:rPr>
          <w:rFonts w:ascii="Arial" w:hAnsi="Arial" w:cs="Arial"/>
          <w:sz w:val="20"/>
          <w:szCs w:val="20"/>
          <w:lang w:val="en-US"/>
        </w:rPr>
        <w:t xml:space="preserve">Examples of </w:t>
      </w:r>
      <w:r w:rsidRPr="004C39C8">
        <w:rPr>
          <w:rFonts w:ascii="Arial" w:hAnsi="Arial" w:cs="Arial"/>
          <w:b/>
          <w:bCs/>
          <w:sz w:val="20"/>
          <w:szCs w:val="20"/>
          <w:lang w:val="en-US"/>
        </w:rPr>
        <w:t>non-serious AEs</w:t>
      </w:r>
      <w:r w:rsidRPr="004C39C8">
        <w:rPr>
          <w:rFonts w:ascii="Arial" w:hAnsi="Arial" w:cs="Arial"/>
          <w:sz w:val="20"/>
          <w:szCs w:val="20"/>
          <w:lang w:val="en-US"/>
        </w:rPr>
        <w:t xml:space="preserve"> (mild-moderate) </w:t>
      </w:r>
      <w:r w:rsidRPr="004C39C8">
        <w:rPr>
          <w:rFonts w:ascii="Arial" w:hAnsi="Arial" w:cs="Arial"/>
          <w:b/>
          <w:sz w:val="20"/>
          <w:szCs w:val="20"/>
          <w:lang w:val="en-US"/>
        </w:rPr>
        <w:t>related to endoscopy:</w:t>
      </w:r>
    </w:p>
    <w:p w14:paraId="034A3B94" w14:textId="42F3D05A" w:rsidR="002831D8" w:rsidRPr="004C39C8" w:rsidRDefault="00ED1FD6" w:rsidP="002831D8">
      <w:pPr>
        <w:numPr>
          <w:ilvl w:val="0"/>
          <w:numId w:val="2"/>
        </w:numPr>
        <w:tabs>
          <w:tab w:val="left" w:pos="284"/>
          <w:tab w:val="left" w:pos="1701"/>
        </w:tabs>
        <w:spacing w:after="0" w:line="480" w:lineRule="auto"/>
        <w:rPr>
          <w:rFonts w:ascii="Arial" w:hAnsi="Arial" w:cs="Arial"/>
          <w:sz w:val="20"/>
          <w:szCs w:val="20"/>
          <w:lang w:val="en-US"/>
        </w:rPr>
      </w:pPr>
      <w:proofErr w:type="spellStart"/>
      <w:r>
        <w:rPr>
          <w:rFonts w:ascii="Arial" w:hAnsi="Arial" w:cs="Arial"/>
          <w:sz w:val="20"/>
          <w:szCs w:val="20"/>
          <w:lang w:val="en-US"/>
        </w:rPr>
        <w:t>Capno</w:t>
      </w:r>
      <w:proofErr w:type="spellEnd"/>
      <w:r>
        <w:rPr>
          <w:rFonts w:ascii="Arial" w:hAnsi="Arial" w:cs="Arial"/>
          <w:sz w:val="20"/>
          <w:szCs w:val="20"/>
          <w:lang w:val="en-US"/>
        </w:rPr>
        <w:t>/p</w:t>
      </w:r>
      <w:r w:rsidR="002831D8" w:rsidRPr="004C39C8">
        <w:rPr>
          <w:rFonts w:ascii="Arial" w:hAnsi="Arial" w:cs="Arial"/>
          <w:sz w:val="20"/>
          <w:szCs w:val="20"/>
          <w:lang w:val="en-US"/>
        </w:rPr>
        <w:t>neumoperitoneum not requiring treatment</w:t>
      </w:r>
    </w:p>
    <w:p w14:paraId="51DC4826" w14:textId="39AEE8E5" w:rsidR="002831D8" w:rsidRPr="004C39C8" w:rsidRDefault="002831D8" w:rsidP="002831D8">
      <w:pPr>
        <w:numPr>
          <w:ilvl w:val="0"/>
          <w:numId w:val="2"/>
        </w:numPr>
        <w:tabs>
          <w:tab w:val="left" w:pos="284"/>
          <w:tab w:val="left" w:pos="1701"/>
        </w:tabs>
        <w:spacing w:after="0" w:line="480" w:lineRule="auto"/>
        <w:rPr>
          <w:rFonts w:ascii="Arial" w:hAnsi="Arial" w:cs="Arial"/>
          <w:sz w:val="20"/>
          <w:szCs w:val="20"/>
          <w:lang w:val="en-US"/>
        </w:rPr>
      </w:pPr>
      <w:r w:rsidRPr="004C39C8">
        <w:rPr>
          <w:rFonts w:ascii="Arial" w:hAnsi="Arial" w:cs="Arial"/>
          <w:sz w:val="20"/>
          <w:szCs w:val="20"/>
          <w:lang w:val="en-US"/>
        </w:rPr>
        <w:t xml:space="preserve">Liquid leakage without clinical signs of </w:t>
      </w:r>
      <w:r w:rsidR="00ED1FD6">
        <w:rPr>
          <w:rFonts w:ascii="Arial" w:hAnsi="Arial" w:cs="Arial"/>
          <w:sz w:val="20"/>
          <w:szCs w:val="20"/>
          <w:lang w:val="en-US"/>
        </w:rPr>
        <w:t xml:space="preserve">biliary </w:t>
      </w:r>
      <w:r w:rsidRPr="004C39C8">
        <w:rPr>
          <w:rFonts w:ascii="Arial" w:hAnsi="Arial" w:cs="Arial"/>
          <w:sz w:val="20"/>
          <w:szCs w:val="20"/>
          <w:lang w:val="en-US"/>
        </w:rPr>
        <w:t>peritonitis</w:t>
      </w:r>
    </w:p>
    <w:p w14:paraId="0AC8BA2B" w14:textId="1A8F04B8" w:rsidR="002831D8" w:rsidRPr="004C39C8" w:rsidRDefault="00ED1FD6" w:rsidP="002831D8">
      <w:pPr>
        <w:numPr>
          <w:ilvl w:val="0"/>
          <w:numId w:val="2"/>
        </w:numPr>
        <w:tabs>
          <w:tab w:val="left" w:pos="284"/>
          <w:tab w:val="left" w:pos="1701"/>
        </w:tabs>
        <w:spacing w:after="0" w:line="480" w:lineRule="auto"/>
        <w:rPr>
          <w:rFonts w:ascii="Arial" w:hAnsi="Arial" w:cs="Arial"/>
          <w:sz w:val="20"/>
          <w:szCs w:val="20"/>
          <w:lang w:val="en-US"/>
        </w:rPr>
      </w:pPr>
      <w:r>
        <w:rPr>
          <w:rFonts w:ascii="Arial" w:hAnsi="Arial" w:cs="Arial"/>
          <w:sz w:val="20"/>
          <w:szCs w:val="20"/>
          <w:lang w:val="en-US"/>
        </w:rPr>
        <w:t>Bleeding</w:t>
      </w:r>
      <w:r w:rsidR="002831D8" w:rsidRPr="004C39C8">
        <w:rPr>
          <w:rFonts w:ascii="Arial" w:hAnsi="Arial" w:cs="Arial"/>
          <w:sz w:val="20"/>
          <w:szCs w:val="20"/>
          <w:lang w:val="en-US"/>
        </w:rPr>
        <w:t>: non-significant drop in hemoglobin (&lt; 2 mmol/L), not requiring transfusion or re-intervention</w:t>
      </w:r>
    </w:p>
    <w:p w14:paraId="519ABE5D" w14:textId="1479C45D" w:rsidR="002831D8" w:rsidRPr="004C39C8" w:rsidRDefault="002831D8" w:rsidP="002831D8">
      <w:pPr>
        <w:numPr>
          <w:ilvl w:val="0"/>
          <w:numId w:val="2"/>
        </w:numPr>
        <w:tabs>
          <w:tab w:val="left" w:pos="284"/>
          <w:tab w:val="left" w:pos="1701"/>
        </w:tabs>
        <w:spacing w:after="0" w:line="480" w:lineRule="auto"/>
        <w:rPr>
          <w:rFonts w:ascii="Arial" w:hAnsi="Arial" w:cs="Arial"/>
          <w:sz w:val="20"/>
          <w:szCs w:val="20"/>
          <w:lang w:val="en-US"/>
        </w:rPr>
      </w:pPr>
      <w:r w:rsidRPr="004C39C8">
        <w:rPr>
          <w:rFonts w:ascii="Arial" w:hAnsi="Arial" w:cs="Arial"/>
          <w:sz w:val="20"/>
          <w:szCs w:val="20"/>
          <w:lang w:val="en-US"/>
        </w:rPr>
        <w:t>Migration of the stent</w:t>
      </w:r>
      <w:r w:rsidR="00ED1FD6">
        <w:rPr>
          <w:rFonts w:ascii="Arial" w:hAnsi="Arial" w:cs="Arial"/>
          <w:sz w:val="20"/>
          <w:szCs w:val="20"/>
          <w:lang w:val="en-US"/>
        </w:rPr>
        <w:t xml:space="preserve">s (LAMS, DPS or both) </w:t>
      </w:r>
      <w:r w:rsidRPr="004C39C8">
        <w:rPr>
          <w:rFonts w:ascii="Arial" w:hAnsi="Arial" w:cs="Arial"/>
          <w:sz w:val="20"/>
          <w:szCs w:val="20"/>
          <w:lang w:val="en-US"/>
        </w:rPr>
        <w:t>, not requiring re-intervention</w:t>
      </w:r>
    </w:p>
    <w:p w14:paraId="5AB1ED67" w14:textId="77777777" w:rsidR="00613259" w:rsidRPr="00ED1FD6" w:rsidRDefault="00613259" w:rsidP="00613259">
      <w:pPr>
        <w:tabs>
          <w:tab w:val="left" w:pos="284"/>
          <w:tab w:val="left" w:pos="1701"/>
        </w:tabs>
        <w:spacing w:after="0" w:line="360" w:lineRule="auto"/>
        <w:rPr>
          <w:rFonts w:cs="Arial"/>
          <w:lang w:val="en-US"/>
        </w:rPr>
      </w:pPr>
    </w:p>
    <w:p w14:paraId="6E5FA8D4" w14:textId="0E09517A" w:rsidR="002831D8" w:rsidRPr="002831D8" w:rsidRDefault="00613259" w:rsidP="00613259">
      <w:pPr>
        <w:tabs>
          <w:tab w:val="left" w:pos="284"/>
          <w:tab w:val="left" w:pos="1701"/>
        </w:tabs>
        <w:spacing w:after="0" w:line="360" w:lineRule="auto"/>
        <w:rPr>
          <w:rFonts w:cs="Arial"/>
          <w:highlight w:val="yellow"/>
          <w:lang w:val="en-GB"/>
        </w:rPr>
      </w:pPr>
      <w:r w:rsidRPr="00613259">
        <w:rPr>
          <w:rFonts w:cs="Arial"/>
          <w:lang w:val="en-GB"/>
        </w:rPr>
        <w:t>The evaluation of the “severity” is independent of the causality relationship with the product under investigation and will be determined according to the definition of the</w:t>
      </w:r>
      <w:r w:rsidR="00ED1FD6">
        <w:rPr>
          <w:rFonts w:cs="Arial"/>
          <w:lang w:val="en-GB"/>
        </w:rPr>
        <w:t xml:space="preserve"> </w:t>
      </w:r>
      <w:r w:rsidR="00ED1FD6" w:rsidRPr="00CD7949">
        <w:rPr>
          <w:rFonts w:ascii="Arial" w:eastAsia="Cambria" w:hAnsi="Arial" w:cs="Arial"/>
          <w:color w:val="000000"/>
          <w:sz w:val="20"/>
          <w:szCs w:val="20"/>
          <w:lang w:val="en-US"/>
        </w:rPr>
        <w:t>the MEDDEV 2.12 guidelines (rev 8, July 2019)</w:t>
      </w:r>
      <w:r w:rsidRPr="00613259">
        <w:rPr>
          <w:rFonts w:cs="Arial"/>
          <w:lang w:val="en-GB"/>
        </w:rPr>
        <w:t>.</w:t>
      </w:r>
    </w:p>
    <w:p w14:paraId="6B78F5CD" w14:textId="77777777" w:rsidR="002831D8" w:rsidRPr="00ED1FD6" w:rsidRDefault="002831D8" w:rsidP="002831D8">
      <w:pPr>
        <w:tabs>
          <w:tab w:val="left" w:pos="284"/>
          <w:tab w:val="left" w:pos="1701"/>
        </w:tabs>
        <w:spacing w:after="0" w:line="360" w:lineRule="auto"/>
        <w:jc w:val="both"/>
        <w:rPr>
          <w:rFonts w:cs="Arial"/>
          <w:highlight w:val="yellow"/>
          <w:lang w:val="en-GB"/>
        </w:rPr>
      </w:pPr>
    </w:p>
    <w:p w14:paraId="654202EB" w14:textId="77777777" w:rsidR="002831D8" w:rsidRPr="004C39C8" w:rsidRDefault="002831D8" w:rsidP="002831D8">
      <w:pPr>
        <w:keepNext/>
        <w:tabs>
          <w:tab w:val="left" w:pos="720"/>
        </w:tabs>
        <w:spacing w:line="480" w:lineRule="auto"/>
        <w:rPr>
          <w:rFonts w:ascii="Arial" w:hAnsi="Arial" w:cs="Arial"/>
          <w:b/>
          <w:sz w:val="20"/>
          <w:szCs w:val="20"/>
          <w:lang w:val="en-US"/>
        </w:rPr>
      </w:pPr>
      <w:r w:rsidRPr="004C39C8">
        <w:rPr>
          <w:rFonts w:ascii="Arial" w:hAnsi="Arial" w:cs="Arial"/>
          <w:sz w:val="20"/>
          <w:szCs w:val="20"/>
          <w:lang w:val="en-US"/>
        </w:rPr>
        <w:t xml:space="preserve">Examples </w:t>
      </w:r>
      <w:r w:rsidRPr="004C39C8">
        <w:rPr>
          <w:rFonts w:ascii="Arial" w:hAnsi="Arial" w:cs="Arial"/>
          <w:b/>
          <w:bCs/>
          <w:sz w:val="20"/>
          <w:szCs w:val="20"/>
          <w:lang w:val="en-US"/>
        </w:rPr>
        <w:t>of serious AEs</w:t>
      </w:r>
      <w:r w:rsidRPr="004C39C8">
        <w:rPr>
          <w:rFonts w:ascii="Arial" w:hAnsi="Arial" w:cs="Arial"/>
          <w:sz w:val="20"/>
          <w:szCs w:val="20"/>
          <w:lang w:val="en-US"/>
        </w:rPr>
        <w:t xml:space="preserve"> </w:t>
      </w:r>
      <w:r w:rsidRPr="004C39C8">
        <w:rPr>
          <w:rFonts w:ascii="Arial" w:hAnsi="Arial" w:cs="Arial"/>
          <w:b/>
          <w:sz w:val="20"/>
          <w:szCs w:val="20"/>
          <w:lang w:val="en-US"/>
        </w:rPr>
        <w:t>related to endoscopy:</w:t>
      </w:r>
    </w:p>
    <w:p w14:paraId="3076E4FD" w14:textId="42635188" w:rsidR="002831D8" w:rsidRPr="004C39C8" w:rsidRDefault="00ED1FD6" w:rsidP="002831D8">
      <w:pPr>
        <w:numPr>
          <w:ilvl w:val="0"/>
          <w:numId w:val="2"/>
        </w:numPr>
        <w:tabs>
          <w:tab w:val="left" w:pos="284"/>
          <w:tab w:val="left" w:pos="1701"/>
        </w:tabs>
        <w:spacing w:after="0" w:line="480" w:lineRule="auto"/>
        <w:rPr>
          <w:rFonts w:ascii="Arial" w:hAnsi="Arial" w:cs="Arial"/>
          <w:sz w:val="20"/>
          <w:szCs w:val="20"/>
          <w:lang w:val="en-US"/>
        </w:rPr>
      </w:pPr>
      <w:proofErr w:type="spellStart"/>
      <w:r>
        <w:rPr>
          <w:rFonts w:ascii="Arial" w:hAnsi="Arial" w:cs="Arial"/>
          <w:sz w:val="20"/>
          <w:szCs w:val="20"/>
          <w:lang w:val="en-US"/>
        </w:rPr>
        <w:t>Capno</w:t>
      </w:r>
      <w:proofErr w:type="spellEnd"/>
      <w:r>
        <w:rPr>
          <w:rFonts w:ascii="Arial" w:hAnsi="Arial" w:cs="Arial"/>
          <w:sz w:val="20"/>
          <w:szCs w:val="20"/>
          <w:lang w:val="en-US"/>
        </w:rPr>
        <w:t>/p</w:t>
      </w:r>
      <w:r w:rsidR="002831D8" w:rsidRPr="004C39C8">
        <w:rPr>
          <w:rFonts w:ascii="Arial" w:hAnsi="Arial" w:cs="Arial"/>
          <w:sz w:val="20"/>
          <w:szCs w:val="20"/>
          <w:lang w:val="en-US"/>
        </w:rPr>
        <w:t>neumoperitoneum requiring treatment</w:t>
      </w:r>
    </w:p>
    <w:p w14:paraId="5C3B7BCD" w14:textId="77777777" w:rsidR="002831D8" w:rsidRPr="004C39C8" w:rsidRDefault="002831D8" w:rsidP="002831D8">
      <w:pPr>
        <w:numPr>
          <w:ilvl w:val="0"/>
          <w:numId w:val="3"/>
        </w:numPr>
        <w:tabs>
          <w:tab w:val="left" w:pos="1701"/>
        </w:tabs>
        <w:spacing w:after="0" w:line="480" w:lineRule="auto"/>
        <w:ind w:right="70"/>
        <w:rPr>
          <w:rFonts w:ascii="Arial" w:hAnsi="Arial" w:cs="Arial"/>
          <w:sz w:val="20"/>
          <w:szCs w:val="20"/>
          <w:lang w:val="en-US"/>
        </w:rPr>
      </w:pPr>
      <w:r w:rsidRPr="004C39C8">
        <w:rPr>
          <w:rFonts w:ascii="Arial" w:hAnsi="Arial" w:cs="Arial"/>
          <w:sz w:val="20"/>
          <w:szCs w:val="20"/>
          <w:lang w:val="en-US"/>
        </w:rPr>
        <w:t>Liquid leakage with clinical signs of peritonitis</w:t>
      </w:r>
    </w:p>
    <w:p w14:paraId="710942A8" w14:textId="183B0942" w:rsidR="002831D8" w:rsidRPr="004C39C8" w:rsidRDefault="00ED1FD6" w:rsidP="002831D8">
      <w:pPr>
        <w:numPr>
          <w:ilvl w:val="0"/>
          <w:numId w:val="3"/>
        </w:numPr>
        <w:tabs>
          <w:tab w:val="left" w:pos="1701"/>
        </w:tabs>
        <w:spacing w:after="0" w:line="480" w:lineRule="auto"/>
        <w:ind w:right="70"/>
        <w:rPr>
          <w:rFonts w:ascii="Arial" w:hAnsi="Arial" w:cs="Arial"/>
          <w:sz w:val="20"/>
          <w:szCs w:val="20"/>
          <w:lang w:val="en-US"/>
        </w:rPr>
      </w:pPr>
      <w:r>
        <w:rPr>
          <w:rFonts w:ascii="Arial" w:hAnsi="Arial" w:cs="Arial"/>
          <w:sz w:val="20"/>
          <w:szCs w:val="20"/>
          <w:lang w:val="en-US"/>
        </w:rPr>
        <w:lastRenderedPageBreak/>
        <w:t>Bleeding</w:t>
      </w:r>
      <w:r w:rsidR="002831D8" w:rsidRPr="004C39C8">
        <w:rPr>
          <w:rFonts w:ascii="Arial" w:hAnsi="Arial" w:cs="Arial"/>
          <w:sz w:val="20"/>
          <w:szCs w:val="20"/>
          <w:lang w:val="en-US"/>
        </w:rPr>
        <w:t xml:space="preserve">: significant drop in hemoglobin (≥2mmol/L), and/or need for transfusion or re-intervention due to bleeding of the ostomy or stent traumatism </w:t>
      </w:r>
    </w:p>
    <w:p w14:paraId="0B4F2969" w14:textId="77777777" w:rsidR="002831D8" w:rsidRPr="004C39C8" w:rsidRDefault="002831D8" w:rsidP="002831D8">
      <w:pPr>
        <w:numPr>
          <w:ilvl w:val="0"/>
          <w:numId w:val="3"/>
        </w:numPr>
        <w:tabs>
          <w:tab w:val="left" w:pos="1701"/>
        </w:tabs>
        <w:spacing w:after="0" w:line="480" w:lineRule="auto"/>
        <w:ind w:right="70"/>
        <w:rPr>
          <w:rFonts w:ascii="Arial" w:hAnsi="Arial" w:cs="Arial"/>
          <w:sz w:val="20"/>
          <w:szCs w:val="20"/>
          <w:lang w:val="en-US"/>
        </w:rPr>
      </w:pPr>
      <w:r w:rsidRPr="004C39C8">
        <w:rPr>
          <w:rFonts w:ascii="Arial" w:hAnsi="Arial" w:cs="Arial"/>
          <w:sz w:val="20"/>
          <w:szCs w:val="20"/>
          <w:lang w:val="en-US"/>
        </w:rPr>
        <w:t>Unscheduled endoscopy or surgical intervention owing to complication</w:t>
      </w:r>
    </w:p>
    <w:p w14:paraId="2DB99D9E" w14:textId="529D3D3F" w:rsidR="002831D8" w:rsidRPr="004C39C8" w:rsidRDefault="002831D8" w:rsidP="004C39C8">
      <w:pPr>
        <w:numPr>
          <w:ilvl w:val="0"/>
          <w:numId w:val="3"/>
        </w:numPr>
        <w:tabs>
          <w:tab w:val="left" w:pos="1701"/>
        </w:tabs>
        <w:spacing w:after="0" w:line="480" w:lineRule="auto"/>
        <w:ind w:right="70"/>
        <w:rPr>
          <w:rFonts w:ascii="Arial" w:hAnsi="Arial" w:cs="Arial"/>
          <w:sz w:val="20"/>
          <w:szCs w:val="20"/>
          <w:lang w:val="en-US"/>
        </w:rPr>
      </w:pPr>
      <w:r w:rsidRPr="004C39C8">
        <w:rPr>
          <w:rFonts w:ascii="Arial" w:hAnsi="Arial" w:cs="Arial"/>
          <w:sz w:val="20"/>
          <w:szCs w:val="20"/>
          <w:lang w:val="en-US"/>
        </w:rPr>
        <w:t>Migration of the stent</w:t>
      </w:r>
      <w:r w:rsidR="00ED1FD6">
        <w:rPr>
          <w:rFonts w:ascii="Arial" w:hAnsi="Arial" w:cs="Arial"/>
          <w:sz w:val="20"/>
          <w:szCs w:val="20"/>
          <w:lang w:val="en-US"/>
        </w:rPr>
        <w:t>s</w:t>
      </w:r>
      <w:r w:rsidRPr="004C39C8">
        <w:rPr>
          <w:rFonts w:ascii="Arial" w:hAnsi="Arial" w:cs="Arial"/>
          <w:sz w:val="20"/>
          <w:szCs w:val="20"/>
          <w:lang w:val="en-US"/>
        </w:rPr>
        <w:t xml:space="preserve"> </w:t>
      </w:r>
      <w:r w:rsidR="00ED1FD6">
        <w:rPr>
          <w:rFonts w:ascii="Arial" w:hAnsi="Arial" w:cs="Arial"/>
          <w:sz w:val="20"/>
          <w:szCs w:val="20"/>
          <w:lang w:val="en-US"/>
        </w:rPr>
        <w:t xml:space="preserve">(LAMS, DPS, or both) </w:t>
      </w:r>
      <w:r w:rsidRPr="004C39C8">
        <w:rPr>
          <w:rFonts w:ascii="Arial" w:hAnsi="Arial" w:cs="Arial"/>
          <w:sz w:val="20"/>
          <w:szCs w:val="20"/>
          <w:lang w:val="en-US"/>
        </w:rPr>
        <w:t>requiring re-intervention</w:t>
      </w:r>
      <w:r w:rsidR="004C39C8" w:rsidRPr="004C39C8">
        <w:rPr>
          <w:rFonts w:ascii="Arial" w:hAnsi="Arial" w:cs="Arial"/>
          <w:sz w:val="20"/>
          <w:szCs w:val="20"/>
          <w:lang w:val="en-US"/>
        </w:rPr>
        <w:t>.</w:t>
      </w:r>
    </w:p>
    <w:p w14:paraId="015F1314" w14:textId="77777777" w:rsidR="004C39C8" w:rsidRPr="004C39C8" w:rsidRDefault="004C39C8" w:rsidP="004C39C8">
      <w:pPr>
        <w:tabs>
          <w:tab w:val="left" w:pos="1701"/>
        </w:tabs>
        <w:spacing w:after="0" w:line="480" w:lineRule="auto"/>
        <w:ind w:left="644" w:right="70"/>
        <w:rPr>
          <w:rFonts w:ascii="Arial" w:hAnsi="Arial" w:cs="Arial"/>
          <w:sz w:val="20"/>
          <w:szCs w:val="20"/>
          <w:lang w:val="en-US"/>
        </w:rPr>
      </w:pPr>
    </w:p>
    <w:p w14:paraId="610FDF35" w14:textId="5FDBAFD5" w:rsidR="004F1811" w:rsidRPr="004C39C8" w:rsidRDefault="00E7527B" w:rsidP="00E7527B">
      <w:pPr>
        <w:spacing w:line="480" w:lineRule="auto"/>
        <w:jc w:val="both"/>
        <w:rPr>
          <w:rFonts w:ascii="Arial" w:hAnsi="Arial" w:cs="Arial"/>
          <w:sz w:val="20"/>
          <w:szCs w:val="20"/>
          <w:lang w:val="en-US"/>
        </w:rPr>
      </w:pPr>
      <w:r w:rsidRPr="004C39C8">
        <w:rPr>
          <w:rFonts w:ascii="Arial" w:hAnsi="Arial" w:cs="Arial"/>
          <w:sz w:val="20"/>
          <w:szCs w:val="20"/>
          <w:lang w:val="en-US"/>
        </w:rPr>
        <w:t xml:space="preserve">Specific AEs that must be reported and included in the CRF: </w:t>
      </w:r>
    </w:p>
    <w:p w14:paraId="38F2E10D" w14:textId="36330900" w:rsidR="004F1811" w:rsidRPr="004C39C8" w:rsidRDefault="004F1811" w:rsidP="004F1811">
      <w:pPr>
        <w:spacing w:after="0" w:line="480" w:lineRule="auto"/>
        <w:jc w:val="both"/>
        <w:rPr>
          <w:rFonts w:ascii="Arial" w:hAnsi="Arial" w:cs="Arial"/>
          <w:b/>
          <w:sz w:val="20"/>
          <w:szCs w:val="20"/>
          <w:lang w:val="en-US"/>
        </w:rPr>
      </w:pPr>
      <w:r w:rsidRPr="004C39C8">
        <w:rPr>
          <w:rFonts w:ascii="Arial" w:hAnsi="Arial" w:cs="Arial"/>
          <w:b/>
          <w:sz w:val="20"/>
          <w:szCs w:val="20"/>
          <w:lang w:val="en-US"/>
        </w:rPr>
        <w:t xml:space="preserve">Immediate complications related to the procedure (within the first 24 h): </w:t>
      </w:r>
    </w:p>
    <w:p w14:paraId="58B07FAC" w14:textId="77777777" w:rsidR="004F1811" w:rsidRPr="004C39C8" w:rsidRDefault="004F1811" w:rsidP="004F1811">
      <w:pPr>
        <w:numPr>
          <w:ilvl w:val="1"/>
          <w:numId w:val="1"/>
        </w:numPr>
        <w:spacing w:after="0" w:line="480" w:lineRule="auto"/>
        <w:jc w:val="both"/>
        <w:rPr>
          <w:rFonts w:ascii="Arial" w:hAnsi="Arial" w:cs="Arial"/>
          <w:sz w:val="20"/>
          <w:szCs w:val="20"/>
          <w:lang w:val="en-US"/>
        </w:rPr>
      </w:pPr>
      <w:r w:rsidRPr="004C39C8">
        <w:rPr>
          <w:rFonts w:ascii="Arial" w:hAnsi="Arial" w:cs="Arial"/>
          <w:sz w:val="20"/>
          <w:szCs w:val="20"/>
          <w:lang w:val="en-US"/>
        </w:rPr>
        <w:t>None</w:t>
      </w:r>
    </w:p>
    <w:p w14:paraId="061EBC0F" w14:textId="77777777" w:rsidR="004F1811" w:rsidRPr="004C39C8" w:rsidRDefault="004F1811" w:rsidP="004F1811">
      <w:pPr>
        <w:numPr>
          <w:ilvl w:val="1"/>
          <w:numId w:val="1"/>
        </w:numPr>
        <w:spacing w:after="0" w:line="480" w:lineRule="auto"/>
        <w:jc w:val="both"/>
        <w:rPr>
          <w:rFonts w:ascii="Arial" w:hAnsi="Arial" w:cs="Arial"/>
          <w:sz w:val="20"/>
          <w:szCs w:val="20"/>
          <w:lang w:val="en-US"/>
        </w:rPr>
      </w:pPr>
      <w:proofErr w:type="spellStart"/>
      <w:r w:rsidRPr="004C39C8">
        <w:rPr>
          <w:rFonts w:ascii="Arial" w:hAnsi="Arial" w:cs="Arial"/>
          <w:sz w:val="20"/>
          <w:szCs w:val="20"/>
          <w:lang w:val="en-US"/>
        </w:rPr>
        <w:t>Bronchoaspiration</w:t>
      </w:r>
      <w:proofErr w:type="spellEnd"/>
    </w:p>
    <w:p w14:paraId="6421455E" w14:textId="77777777" w:rsidR="004F1811" w:rsidRPr="004C39C8" w:rsidRDefault="004F1811" w:rsidP="004F1811">
      <w:pPr>
        <w:numPr>
          <w:ilvl w:val="1"/>
          <w:numId w:val="1"/>
        </w:numPr>
        <w:spacing w:after="0" w:line="480" w:lineRule="auto"/>
        <w:jc w:val="both"/>
        <w:rPr>
          <w:rFonts w:ascii="Arial" w:hAnsi="Arial" w:cs="Arial"/>
          <w:sz w:val="20"/>
          <w:szCs w:val="20"/>
          <w:lang w:val="en-US"/>
        </w:rPr>
      </w:pPr>
      <w:r w:rsidRPr="004C39C8">
        <w:rPr>
          <w:rFonts w:ascii="Arial" w:hAnsi="Arial" w:cs="Arial"/>
          <w:sz w:val="20"/>
          <w:szCs w:val="20"/>
          <w:lang w:val="en-US"/>
        </w:rPr>
        <w:t>Respiratory depression Sat O2 &lt; 90%</w:t>
      </w:r>
    </w:p>
    <w:p w14:paraId="6B6F10A5" w14:textId="77777777" w:rsidR="004F1811" w:rsidRPr="004C39C8" w:rsidRDefault="004F1811" w:rsidP="004F1811">
      <w:pPr>
        <w:numPr>
          <w:ilvl w:val="1"/>
          <w:numId w:val="1"/>
        </w:numPr>
        <w:spacing w:after="0" w:line="480" w:lineRule="auto"/>
        <w:jc w:val="both"/>
        <w:rPr>
          <w:rFonts w:ascii="Arial" w:hAnsi="Arial" w:cs="Arial"/>
          <w:sz w:val="20"/>
          <w:szCs w:val="20"/>
          <w:lang w:val="en-US"/>
        </w:rPr>
      </w:pPr>
      <w:r w:rsidRPr="004C39C8">
        <w:rPr>
          <w:rFonts w:ascii="Arial" w:hAnsi="Arial" w:cs="Arial"/>
          <w:sz w:val="20"/>
          <w:szCs w:val="20"/>
          <w:lang w:val="en-US"/>
        </w:rPr>
        <w:t>Cardiorespiratory arrest</w:t>
      </w:r>
    </w:p>
    <w:p w14:paraId="1EDE808E" w14:textId="77777777" w:rsidR="004F1811" w:rsidRPr="004C39C8" w:rsidRDefault="004F1811" w:rsidP="004F1811">
      <w:pPr>
        <w:numPr>
          <w:ilvl w:val="1"/>
          <w:numId w:val="1"/>
        </w:numPr>
        <w:spacing w:after="0" w:line="480" w:lineRule="auto"/>
        <w:jc w:val="both"/>
        <w:rPr>
          <w:rFonts w:ascii="Arial" w:hAnsi="Arial" w:cs="Arial"/>
          <w:sz w:val="20"/>
          <w:szCs w:val="20"/>
          <w:lang w:val="en-US"/>
        </w:rPr>
      </w:pPr>
      <w:r w:rsidRPr="004C39C8">
        <w:rPr>
          <w:rFonts w:ascii="Arial" w:hAnsi="Arial" w:cs="Arial"/>
          <w:sz w:val="20"/>
          <w:szCs w:val="20"/>
          <w:lang w:val="en-US"/>
        </w:rPr>
        <w:t>Arrhythmia</w:t>
      </w:r>
    </w:p>
    <w:p w14:paraId="58F68FBE" w14:textId="77777777" w:rsidR="004F1811" w:rsidRPr="004C39C8" w:rsidRDefault="004F1811" w:rsidP="004F1811">
      <w:pPr>
        <w:numPr>
          <w:ilvl w:val="1"/>
          <w:numId w:val="1"/>
        </w:numPr>
        <w:spacing w:after="0" w:line="480" w:lineRule="auto"/>
        <w:jc w:val="both"/>
        <w:rPr>
          <w:rFonts w:ascii="Arial" w:hAnsi="Arial" w:cs="Arial"/>
          <w:sz w:val="20"/>
          <w:szCs w:val="20"/>
          <w:lang w:val="en-US"/>
        </w:rPr>
      </w:pPr>
      <w:r w:rsidRPr="004C39C8">
        <w:rPr>
          <w:rFonts w:ascii="Arial" w:hAnsi="Arial" w:cs="Arial"/>
          <w:sz w:val="20"/>
          <w:szCs w:val="20"/>
          <w:lang w:val="en-US"/>
        </w:rPr>
        <w:t>Allergic reaction</w:t>
      </w:r>
    </w:p>
    <w:p w14:paraId="05F542CB" w14:textId="77777777" w:rsidR="004F1811" w:rsidRPr="004C39C8" w:rsidRDefault="004F1811" w:rsidP="004F1811">
      <w:pPr>
        <w:numPr>
          <w:ilvl w:val="1"/>
          <w:numId w:val="1"/>
        </w:numPr>
        <w:spacing w:after="0" w:line="480" w:lineRule="auto"/>
        <w:jc w:val="both"/>
        <w:rPr>
          <w:rFonts w:ascii="Arial" w:hAnsi="Arial" w:cs="Arial"/>
          <w:sz w:val="20"/>
          <w:szCs w:val="20"/>
          <w:lang w:val="en-US"/>
        </w:rPr>
      </w:pPr>
      <w:r w:rsidRPr="004C39C8">
        <w:rPr>
          <w:rFonts w:ascii="Arial" w:hAnsi="Arial" w:cs="Arial"/>
          <w:sz w:val="20"/>
          <w:szCs w:val="20"/>
          <w:lang w:val="en-US"/>
        </w:rPr>
        <w:t>Pain</w:t>
      </w:r>
    </w:p>
    <w:p w14:paraId="2D102643" w14:textId="5F0DA0D0" w:rsidR="004F1811" w:rsidRPr="004C39C8" w:rsidRDefault="00ED1FD6" w:rsidP="004F1811">
      <w:pPr>
        <w:numPr>
          <w:ilvl w:val="1"/>
          <w:numId w:val="1"/>
        </w:numPr>
        <w:spacing w:after="0" w:line="480" w:lineRule="auto"/>
        <w:jc w:val="both"/>
        <w:rPr>
          <w:rFonts w:ascii="Arial" w:hAnsi="Arial" w:cs="Arial"/>
          <w:sz w:val="20"/>
          <w:szCs w:val="20"/>
          <w:lang w:val="en-US"/>
        </w:rPr>
      </w:pPr>
      <w:r>
        <w:rPr>
          <w:rFonts w:ascii="Arial" w:hAnsi="Arial" w:cs="Arial"/>
          <w:sz w:val="20"/>
          <w:szCs w:val="20"/>
          <w:lang w:val="en-US"/>
        </w:rPr>
        <w:t>Bleeding</w:t>
      </w:r>
      <w:r w:rsidR="004F1811" w:rsidRPr="004C39C8">
        <w:rPr>
          <w:rFonts w:ascii="Arial" w:hAnsi="Arial" w:cs="Arial"/>
          <w:sz w:val="20"/>
          <w:szCs w:val="20"/>
          <w:lang w:val="en-US"/>
        </w:rPr>
        <w:t>: self-limiting (spontaneous hemostasis)/requiring endoscopic treatment (sputtering bleeding/profuse bleeding)</w:t>
      </w:r>
    </w:p>
    <w:p w14:paraId="5F989AE0" w14:textId="77777777" w:rsidR="004F1811" w:rsidRPr="004C39C8" w:rsidRDefault="004F1811" w:rsidP="004F1811">
      <w:pPr>
        <w:numPr>
          <w:ilvl w:val="1"/>
          <w:numId w:val="1"/>
        </w:numPr>
        <w:spacing w:after="0" w:line="480" w:lineRule="auto"/>
        <w:jc w:val="both"/>
        <w:rPr>
          <w:rFonts w:ascii="Arial" w:hAnsi="Arial" w:cs="Arial"/>
          <w:sz w:val="20"/>
          <w:szCs w:val="20"/>
          <w:lang w:val="en-US"/>
        </w:rPr>
      </w:pPr>
      <w:r w:rsidRPr="004C39C8">
        <w:rPr>
          <w:rFonts w:ascii="Arial" w:hAnsi="Arial" w:cs="Arial"/>
          <w:sz w:val="20"/>
          <w:szCs w:val="20"/>
          <w:lang w:val="en-US"/>
        </w:rPr>
        <w:t xml:space="preserve">Perforation: conservative, endoscopic/surgical treatment </w:t>
      </w:r>
    </w:p>
    <w:p w14:paraId="7C7A689A" w14:textId="77777777" w:rsidR="004F1811" w:rsidRPr="004C39C8" w:rsidRDefault="004F1811" w:rsidP="004F1811">
      <w:pPr>
        <w:numPr>
          <w:ilvl w:val="1"/>
          <w:numId w:val="1"/>
        </w:numPr>
        <w:spacing w:after="0" w:line="480" w:lineRule="auto"/>
        <w:jc w:val="both"/>
        <w:rPr>
          <w:rFonts w:ascii="Arial" w:hAnsi="Arial" w:cs="Arial"/>
          <w:sz w:val="20"/>
          <w:szCs w:val="20"/>
          <w:lang w:val="en-US"/>
        </w:rPr>
      </w:pPr>
      <w:proofErr w:type="spellStart"/>
      <w:r w:rsidRPr="004C39C8">
        <w:rPr>
          <w:rFonts w:ascii="Arial" w:hAnsi="Arial" w:cs="Arial"/>
          <w:sz w:val="20"/>
          <w:szCs w:val="20"/>
          <w:lang w:val="en-US"/>
        </w:rPr>
        <w:t>Exitus</w:t>
      </w:r>
      <w:proofErr w:type="spellEnd"/>
    </w:p>
    <w:p w14:paraId="7F0BC4FE" w14:textId="63E8397F" w:rsidR="004F1811" w:rsidRPr="004C39C8" w:rsidRDefault="004F1811" w:rsidP="004F1811">
      <w:pPr>
        <w:numPr>
          <w:ilvl w:val="1"/>
          <w:numId w:val="1"/>
        </w:numPr>
        <w:spacing w:after="0" w:line="480" w:lineRule="auto"/>
        <w:jc w:val="both"/>
        <w:rPr>
          <w:rFonts w:ascii="Arial" w:hAnsi="Arial" w:cs="Arial"/>
          <w:sz w:val="20"/>
          <w:szCs w:val="20"/>
          <w:lang w:val="en-US"/>
        </w:rPr>
      </w:pPr>
      <w:r w:rsidRPr="004C39C8">
        <w:rPr>
          <w:rFonts w:ascii="Arial" w:hAnsi="Arial" w:cs="Arial"/>
          <w:sz w:val="20"/>
          <w:szCs w:val="20"/>
          <w:lang w:val="en-US"/>
        </w:rPr>
        <w:t>Others.</w:t>
      </w:r>
    </w:p>
    <w:p w14:paraId="4D601951" w14:textId="71DC8D07" w:rsidR="008D70AA" w:rsidRPr="004C39C8" w:rsidRDefault="002831D8" w:rsidP="002831D8">
      <w:pPr>
        <w:jc w:val="both"/>
        <w:outlineLvl w:val="0"/>
        <w:rPr>
          <w:b/>
          <w:lang w:val="en-GB"/>
        </w:rPr>
      </w:pPr>
      <w:r w:rsidRPr="004C39C8">
        <w:rPr>
          <w:b/>
          <w:lang w:val="en-GB"/>
        </w:rPr>
        <w:t xml:space="preserve"> </w:t>
      </w:r>
      <w:r w:rsidR="008D70AA" w:rsidRPr="004C39C8">
        <w:rPr>
          <w:b/>
          <w:lang w:val="en-GB"/>
        </w:rPr>
        <w:t>Earlier</w:t>
      </w:r>
      <w:r w:rsidRPr="004C39C8">
        <w:rPr>
          <w:b/>
          <w:lang w:val="en-GB"/>
        </w:rPr>
        <w:t xml:space="preserve"> (</w:t>
      </w:r>
      <w:r w:rsidR="008D70AA" w:rsidRPr="004A274C">
        <w:rPr>
          <w:b/>
          <w:lang w:val="en-GB"/>
        </w:rPr>
        <w:t xml:space="preserve">within first </w:t>
      </w:r>
      <w:r w:rsidR="000D0278" w:rsidRPr="004A274C">
        <w:rPr>
          <w:b/>
          <w:lang w:val="en-GB"/>
        </w:rPr>
        <w:t>14</w:t>
      </w:r>
      <w:r w:rsidR="008D70AA" w:rsidRPr="004A274C">
        <w:rPr>
          <w:b/>
          <w:lang w:val="en-GB"/>
        </w:rPr>
        <w:t xml:space="preserve"> days</w:t>
      </w:r>
      <w:r w:rsidRPr="004A274C">
        <w:rPr>
          <w:b/>
          <w:lang w:val="en-GB"/>
        </w:rPr>
        <w:t xml:space="preserve">) </w:t>
      </w:r>
      <w:r w:rsidR="008D70AA" w:rsidRPr="004A274C">
        <w:rPr>
          <w:b/>
          <w:lang w:val="en-GB"/>
        </w:rPr>
        <w:t>and late</w:t>
      </w:r>
      <w:r w:rsidRPr="004A274C">
        <w:rPr>
          <w:b/>
          <w:lang w:val="en-GB"/>
        </w:rPr>
        <w:t xml:space="preserve"> (</w:t>
      </w:r>
      <w:r w:rsidR="008D70AA" w:rsidRPr="004A274C">
        <w:rPr>
          <w:b/>
          <w:lang w:val="en-GB"/>
        </w:rPr>
        <w:t>past</w:t>
      </w:r>
      <w:r w:rsidRPr="004A274C">
        <w:rPr>
          <w:b/>
          <w:lang w:val="en-GB"/>
        </w:rPr>
        <w:t xml:space="preserve"> </w:t>
      </w:r>
      <w:r w:rsidR="000D0278" w:rsidRPr="004A274C">
        <w:rPr>
          <w:b/>
          <w:lang w:val="en-GB"/>
        </w:rPr>
        <w:t>14</w:t>
      </w:r>
      <w:r w:rsidRPr="004C39C8">
        <w:rPr>
          <w:b/>
          <w:lang w:val="en-GB"/>
        </w:rPr>
        <w:t xml:space="preserve"> d</w:t>
      </w:r>
      <w:r w:rsidR="008D70AA" w:rsidRPr="004C39C8">
        <w:rPr>
          <w:b/>
          <w:lang w:val="en-GB"/>
        </w:rPr>
        <w:t>ays</w:t>
      </w:r>
      <w:r w:rsidRPr="004C39C8">
        <w:rPr>
          <w:b/>
          <w:lang w:val="en-GB"/>
        </w:rPr>
        <w:t xml:space="preserve"> </w:t>
      </w:r>
      <w:r w:rsidR="008D70AA" w:rsidRPr="004C39C8">
        <w:rPr>
          <w:b/>
          <w:lang w:val="en-GB"/>
        </w:rPr>
        <w:t>after</w:t>
      </w:r>
      <w:r w:rsidRPr="004C39C8">
        <w:rPr>
          <w:b/>
          <w:lang w:val="en-GB"/>
        </w:rPr>
        <w:t xml:space="preserve"> </w:t>
      </w:r>
      <w:r w:rsidR="008D70AA" w:rsidRPr="004C39C8">
        <w:rPr>
          <w:b/>
          <w:lang w:val="en-GB"/>
        </w:rPr>
        <w:t>the procedure)</w:t>
      </w:r>
      <w:r w:rsidRPr="004C39C8">
        <w:rPr>
          <w:b/>
          <w:lang w:val="en-GB"/>
        </w:rPr>
        <w:t>:</w:t>
      </w:r>
    </w:p>
    <w:p w14:paraId="7AB826A4" w14:textId="77777777" w:rsidR="008D70AA" w:rsidRPr="004C39C8" w:rsidRDefault="008D70AA" w:rsidP="008D70AA">
      <w:pPr>
        <w:numPr>
          <w:ilvl w:val="1"/>
          <w:numId w:val="1"/>
        </w:numPr>
        <w:spacing w:after="0" w:line="480" w:lineRule="auto"/>
        <w:jc w:val="both"/>
        <w:rPr>
          <w:rFonts w:ascii="Arial" w:hAnsi="Arial" w:cs="Arial"/>
          <w:sz w:val="20"/>
          <w:szCs w:val="20"/>
          <w:lang w:val="en-US"/>
        </w:rPr>
      </w:pPr>
      <w:r w:rsidRPr="004C39C8">
        <w:rPr>
          <w:rFonts w:ascii="Arial" w:hAnsi="Arial" w:cs="Arial"/>
          <w:sz w:val="20"/>
          <w:szCs w:val="20"/>
          <w:lang w:val="en-US"/>
        </w:rPr>
        <w:t>Pain</w:t>
      </w:r>
    </w:p>
    <w:p w14:paraId="05AF6934" w14:textId="365EE460" w:rsidR="008D70AA" w:rsidRPr="004C39C8" w:rsidRDefault="00ED1FD6" w:rsidP="008D70AA">
      <w:pPr>
        <w:numPr>
          <w:ilvl w:val="1"/>
          <w:numId w:val="1"/>
        </w:numPr>
        <w:spacing w:after="0" w:line="480" w:lineRule="auto"/>
        <w:jc w:val="both"/>
        <w:rPr>
          <w:rFonts w:ascii="Arial" w:hAnsi="Arial" w:cs="Arial"/>
          <w:sz w:val="20"/>
          <w:szCs w:val="20"/>
          <w:lang w:val="en-US"/>
        </w:rPr>
      </w:pPr>
      <w:r>
        <w:rPr>
          <w:rFonts w:ascii="Arial" w:hAnsi="Arial" w:cs="Arial"/>
          <w:sz w:val="20"/>
          <w:szCs w:val="20"/>
          <w:lang w:val="en-US"/>
        </w:rPr>
        <w:t>Bleeding</w:t>
      </w:r>
      <w:r w:rsidR="008D70AA" w:rsidRPr="004C39C8">
        <w:rPr>
          <w:rFonts w:ascii="Arial" w:hAnsi="Arial" w:cs="Arial"/>
          <w:sz w:val="20"/>
          <w:szCs w:val="20"/>
          <w:lang w:val="en-US"/>
        </w:rPr>
        <w:t>: self-limiting (spontaneous hemostasis)/requiring endoscopic treatment (sputtering bleeding/profuse bleeding)</w:t>
      </w:r>
    </w:p>
    <w:p w14:paraId="35639AAD" w14:textId="77777777" w:rsidR="008D70AA" w:rsidRPr="004C39C8" w:rsidRDefault="008D70AA" w:rsidP="008D70AA">
      <w:pPr>
        <w:numPr>
          <w:ilvl w:val="1"/>
          <w:numId w:val="1"/>
        </w:numPr>
        <w:spacing w:after="0" w:line="480" w:lineRule="auto"/>
        <w:jc w:val="both"/>
        <w:rPr>
          <w:rFonts w:ascii="Arial" w:hAnsi="Arial" w:cs="Arial"/>
          <w:sz w:val="20"/>
          <w:szCs w:val="20"/>
          <w:lang w:val="en-US"/>
        </w:rPr>
      </w:pPr>
      <w:r w:rsidRPr="004C39C8">
        <w:rPr>
          <w:rFonts w:ascii="Arial" w:hAnsi="Arial" w:cs="Arial"/>
          <w:sz w:val="20"/>
          <w:szCs w:val="20"/>
          <w:lang w:val="en-US"/>
        </w:rPr>
        <w:t>Infection/stent obstruction</w:t>
      </w:r>
    </w:p>
    <w:p w14:paraId="4931ADD2" w14:textId="77777777" w:rsidR="008D70AA" w:rsidRPr="004C39C8" w:rsidRDefault="008D70AA" w:rsidP="008D70AA">
      <w:pPr>
        <w:numPr>
          <w:ilvl w:val="1"/>
          <w:numId w:val="1"/>
        </w:numPr>
        <w:spacing w:after="0" w:line="480" w:lineRule="auto"/>
        <w:jc w:val="both"/>
        <w:rPr>
          <w:rFonts w:ascii="Arial" w:hAnsi="Arial" w:cs="Arial"/>
          <w:sz w:val="20"/>
          <w:szCs w:val="20"/>
          <w:lang w:val="en-US"/>
        </w:rPr>
      </w:pPr>
      <w:r w:rsidRPr="004C39C8">
        <w:rPr>
          <w:rFonts w:ascii="Arial" w:hAnsi="Arial" w:cs="Arial"/>
          <w:sz w:val="20"/>
          <w:szCs w:val="20"/>
          <w:lang w:val="en-US"/>
        </w:rPr>
        <w:t xml:space="preserve">Migration </w:t>
      </w:r>
    </w:p>
    <w:p w14:paraId="11E63C5D" w14:textId="77777777" w:rsidR="008D70AA" w:rsidRPr="004C39C8" w:rsidRDefault="008D70AA" w:rsidP="008D70AA">
      <w:pPr>
        <w:numPr>
          <w:ilvl w:val="1"/>
          <w:numId w:val="1"/>
        </w:numPr>
        <w:spacing w:after="0" w:line="480" w:lineRule="auto"/>
        <w:jc w:val="both"/>
        <w:rPr>
          <w:rFonts w:ascii="Arial" w:hAnsi="Arial" w:cs="Arial"/>
          <w:sz w:val="20"/>
          <w:szCs w:val="20"/>
          <w:lang w:val="en-US"/>
        </w:rPr>
      </w:pPr>
      <w:r w:rsidRPr="004C39C8">
        <w:rPr>
          <w:rFonts w:ascii="Arial" w:hAnsi="Arial" w:cs="Arial"/>
          <w:sz w:val="20"/>
          <w:szCs w:val="20"/>
          <w:lang w:val="en-US"/>
        </w:rPr>
        <w:t xml:space="preserve">Perforation: conservative, endoscopic/surgical treatment </w:t>
      </w:r>
    </w:p>
    <w:p w14:paraId="48A684EA" w14:textId="77777777" w:rsidR="008D70AA" w:rsidRPr="004C39C8" w:rsidRDefault="008D70AA" w:rsidP="008D70AA">
      <w:pPr>
        <w:numPr>
          <w:ilvl w:val="1"/>
          <w:numId w:val="1"/>
        </w:numPr>
        <w:spacing w:after="0" w:line="480" w:lineRule="auto"/>
        <w:jc w:val="both"/>
        <w:rPr>
          <w:rFonts w:ascii="Arial" w:hAnsi="Arial" w:cs="Arial"/>
          <w:sz w:val="20"/>
          <w:szCs w:val="20"/>
          <w:lang w:val="en-US"/>
        </w:rPr>
      </w:pPr>
      <w:proofErr w:type="spellStart"/>
      <w:r w:rsidRPr="004C39C8">
        <w:rPr>
          <w:rFonts w:ascii="Arial" w:hAnsi="Arial" w:cs="Arial"/>
          <w:sz w:val="20"/>
          <w:szCs w:val="20"/>
          <w:lang w:val="en-US"/>
        </w:rPr>
        <w:t>Exitus</w:t>
      </w:r>
      <w:proofErr w:type="spellEnd"/>
    </w:p>
    <w:p w14:paraId="3F88858F" w14:textId="7D9BED48" w:rsidR="002831D8" w:rsidRPr="004C39C8" w:rsidRDefault="008D70AA" w:rsidP="008D70AA">
      <w:pPr>
        <w:numPr>
          <w:ilvl w:val="1"/>
          <w:numId w:val="1"/>
        </w:numPr>
        <w:spacing w:after="0" w:line="480" w:lineRule="auto"/>
        <w:jc w:val="both"/>
        <w:rPr>
          <w:rFonts w:ascii="Arial" w:hAnsi="Arial" w:cs="Arial"/>
          <w:sz w:val="20"/>
          <w:szCs w:val="20"/>
          <w:lang w:val="en-US"/>
        </w:rPr>
      </w:pPr>
      <w:r w:rsidRPr="004C39C8">
        <w:rPr>
          <w:rFonts w:ascii="Arial" w:hAnsi="Arial" w:cs="Arial"/>
          <w:sz w:val="20"/>
          <w:szCs w:val="20"/>
          <w:lang w:val="en-US"/>
        </w:rPr>
        <w:t xml:space="preserve">Others: </w:t>
      </w:r>
    </w:p>
    <w:p w14:paraId="5FFEE19F" w14:textId="77777777" w:rsidR="009B79A4" w:rsidRPr="004C39C8" w:rsidRDefault="009B79A4" w:rsidP="002831D8">
      <w:pPr>
        <w:spacing w:before="240" w:line="360" w:lineRule="auto"/>
        <w:jc w:val="both"/>
      </w:pPr>
    </w:p>
    <w:p w14:paraId="2B25DBA4" w14:textId="6A2E6823" w:rsidR="009B79A4" w:rsidRPr="009B79A4" w:rsidRDefault="009B79A4" w:rsidP="009B79A4">
      <w:pPr>
        <w:spacing w:before="240" w:line="360" w:lineRule="auto"/>
        <w:jc w:val="both"/>
        <w:rPr>
          <w:lang w:val="en-GB"/>
        </w:rPr>
      </w:pPr>
      <w:r w:rsidRPr="004C39C8">
        <w:rPr>
          <w:u w:val="single"/>
          <w:lang w:val="en-GB"/>
        </w:rPr>
        <w:lastRenderedPageBreak/>
        <w:t>Others:</w:t>
      </w:r>
      <w:r w:rsidRPr="004C39C8">
        <w:rPr>
          <w:lang w:val="en-GB"/>
        </w:rPr>
        <w:t xml:space="preserve"> The previously listed</w:t>
      </w:r>
      <w:r w:rsidRPr="009B79A4">
        <w:rPr>
          <w:lang w:val="en-GB"/>
        </w:rPr>
        <w:t xml:space="preserve"> AAs will be registered as immediate, early or late complications in visits according to the protocol established in the eCR</w:t>
      </w:r>
      <w:r>
        <w:rPr>
          <w:lang w:val="en-GB"/>
        </w:rPr>
        <w:t>F</w:t>
      </w:r>
      <w:r w:rsidRPr="009B79A4">
        <w:rPr>
          <w:lang w:val="en-GB"/>
        </w:rPr>
        <w:t>. In the event that any of the A</w:t>
      </w:r>
      <w:r>
        <w:rPr>
          <w:lang w:val="en-GB"/>
        </w:rPr>
        <w:t>E</w:t>
      </w:r>
      <w:r w:rsidRPr="009B79A4">
        <w:rPr>
          <w:lang w:val="en-GB"/>
        </w:rPr>
        <w:t xml:space="preserve"> is classified as serious, the notification of said AAG must be carried out as specified below.</w:t>
      </w:r>
    </w:p>
    <w:p w14:paraId="6667F213" w14:textId="7B224F22" w:rsidR="009B79A4" w:rsidRPr="009B79A4" w:rsidRDefault="009B79A4" w:rsidP="009B79A4">
      <w:pPr>
        <w:spacing w:before="240" w:line="360" w:lineRule="auto"/>
        <w:jc w:val="both"/>
        <w:rPr>
          <w:b/>
          <w:bCs/>
          <w:lang w:val="en-GB"/>
        </w:rPr>
      </w:pPr>
      <w:r w:rsidRPr="009B79A4">
        <w:rPr>
          <w:b/>
          <w:bCs/>
          <w:lang w:val="en-GB"/>
        </w:rPr>
        <w:t xml:space="preserve">Notification of </w:t>
      </w:r>
      <w:r>
        <w:rPr>
          <w:b/>
          <w:bCs/>
          <w:lang w:val="en-GB"/>
        </w:rPr>
        <w:t>SAE</w:t>
      </w:r>
      <w:r w:rsidRPr="009B79A4">
        <w:rPr>
          <w:b/>
          <w:bCs/>
          <w:lang w:val="en-GB"/>
        </w:rPr>
        <w:t xml:space="preserve"> / </w:t>
      </w:r>
      <w:r>
        <w:rPr>
          <w:b/>
          <w:bCs/>
          <w:lang w:val="en-GB"/>
        </w:rPr>
        <w:t>SAED</w:t>
      </w:r>
      <w:r w:rsidRPr="009B79A4">
        <w:rPr>
          <w:b/>
          <w:bCs/>
          <w:lang w:val="en-GB"/>
        </w:rPr>
        <w:t xml:space="preserve"> / </w:t>
      </w:r>
      <w:r>
        <w:rPr>
          <w:b/>
          <w:bCs/>
          <w:lang w:val="en-GB"/>
        </w:rPr>
        <w:t>USAED</w:t>
      </w:r>
      <w:r w:rsidRPr="009B79A4">
        <w:rPr>
          <w:b/>
          <w:bCs/>
          <w:lang w:val="en-GB"/>
        </w:rPr>
        <w:t xml:space="preserve"> / Product Deficiency</w:t>
      </w:r>
    </w:p>
    <w:p w14:paraId="3CBEB864" w14:textId="33CB9A5B" w:rsidR="009B79A4" w:rsidRPr="009B79A4" w:rsidRDefault="009B79A4" w:rsidP="009B79A4">
      <w:pPr>
        <w:spacing w:before="240" w:line="360" w:lineRule="auto"/>
        <w:jc w:val="both"/>
        <w:rPr>
          <w:b/>
          <w:bCs/>
          <w:lang w:val="en-GB"/>
        </w:rPr>
      </w:pPr>
      <w:r w:rsidRPr="009B79A4">
        <w:rPr>
          <w:b/>
          <w:bCs/>
          <w:lang w:val="en-GB"/>
        </w:rPr>
        <w:t>Notification from Investigator to Promoter</w:t>
      </w:r>
    </w:p>
    <w:p w14:paraId="5C7685B5" w14:textId="1058DD0C" w:rsidR="009B79A4" w:rsidRPr="009B79A4" w:rsidRDefault="009B79A4" w:rsidP="009B79A4">
      <w:pPr>
        <w:spacing w:before="240" w:line="360" w:lineRule="auto"/>
        <w:jc w:val="both"/>
        <w:rPr>
          <w:lang w:val="en-GB"/>
        </w:rPr>
      </w:pPr>
      <w:r w:rsidRPr="009B79A4">
        <w:rPr>
          <w:lang w:val="en-GB"/>
        </w:rPr>
        <w:t xml:space="preserve">To ensure patient safety, each </w:t>
      </w:r>
      <w:r>
        <w:rPr>
          <w:lang w:val="en-GB"/>
        </w:rPr>
        <w:t>SAE</w:t>
      </w:r>
      <w:r w:rsidRPr="009B79A4">
        <w:rPr>
          <w:lang w:val="en-GB"/>
        </w:rPr>
        <w:t xml:space="preserve"> must be notified, regardless of the suspected causality, that occurs after the patient has given informed consent and until the last visit made according to protocol.</w:t>
      </w:r>
    </w:p>
    <w:p w14:paraId="49F45648" w14:textId="03AFE9CC" w:rsidR="009B79A4" w:rsidRPr="009B79A4" w:rsidRDefault="009B79A4" w:rsidP="009B79A4">
      <w:pPr>
        <w:spacing w:before="240" w:line="360" w:lineRule="auto"/>
        <w:jc w:val="both"/>
        <w:rPr>
          <w:lang w:val="en-GB"/>
        </w:rPr>
      </w:pPr>
      <w:r w:rsidRPr="009B79A4">
        <w:rPr>
          <w:lang w:val="en-GB"/>
        </w:rPr>
        <w:t xml:space="preserve">This notification must be sent immediately after the researcher is aware of the </w:t>
      </w:r>
      <w:r>
        <w:rPr>
          <w:lang w:val="en-GB"/>
        </w:rPr>
        <w:t>SAE</w:t>
      </w:r>
      <w:r w:rsidRPr="009B79A4">
        <w:rPr>
          <w:lang w:val="en-GB"/>
        </w:rPr>
        <w:t xml:space="preserve"> without it taking more than </w:t>
      </w:r>
      <w:r w:rsidR="005A1280">
        <w:rPr>
          <w:lang w:val="en-GB"/>
        </w:rPr>
        <w:t>3</w:t>
      </w:r>
      <w:r w:rsidRPr="009B79A4">
        <w:rPr>
          <w:lang w:val="en-GB"/>
        </w:rPr>
        <w:t xml:space="preserve"> calendar days.</w:t>
      </w:r>
    </w:p>
    <w:p w14:paraId="549F7943" w14:textId="66528A38" w:rsidR="009B79A4" w:rsidRDefault="009B79A4" w:rsidP="009B79A4">
      <w:pPr>
        <w:spacing w:before="240" w:line="360" w:lineRule="auto"/>
        <w:jc w:val="both"/>
        <w:rPr>
          <w:lang w:val="en-GB"/>
        </w:rPr>
      </w:pPr>
      <w:r w:rsidRPr="009B79A4">
        <w:rPr>
          <w:lang w:val="en-GB"/>
        </w:rPr>
        <w:t xml:space="preserve">Recurring episodes, complications, or progression of the initial </w:t>
      </w:r>
      <w:r>
        <w:rPr>
          <w:lang w:val="en-GB"/>
        </w:rPr>
        <w:t>SAE</w:t>
      </w:r>
      <w:r w:rsidRPr="009B79A4">
        <w:rPr>
          <w:lang w:val="en-GB"/>
        </w:rPr>
        <w:t xml:space="preserve"> should be notified as follow-up to the original episode. This notification must be sent immediately without a delay of more than 7 days since the investigator has received the new follow-up information and / or is aware</w:t>
      </w:r>
      <w:r w:rsidR="004C39C8">
        <w:rPr>
          <w:lang w:val="en-GB"/>
        </w:rPr>
        <w:t xml:space="preserve"> </w:t>
      </w:r>
      <w:r w:rsidRPr="009B79A4">
        <w:rPr>
          <w:lang w:val="en-GB"/>
        </w:rPr>
        <w:t>of it.</w:t>
      </w:r>
    </w:p>
    <w:p w14:paraId="3B13268B" w14:textId="12BBE27D" w:rsidR="004C39C8" w:rsidRPr="004C39C8" w:rsidRDefault="004C39C8" w:rsidP="004C39C8">
      <w:pPr>
        <w:spacing w:before="240" w:line="360" w:lineRule="auto"/>
        <w:jc w:val="both"/>
        <w:rPr>
          <w:b/>
          <w:bCs/>
          <w:lang w:val="en-GB"/>
        </w:rPr>
      </w:pPr>
      <w:r w:rsidRPr="004C39C8">
        <w:rPr>
          <w:b/>
          <w:bCs/>
          <w:lang w:val="en-GB"/>
        </w:rPr>
        <w:t>Notification of the Promoter to the Competent Authorities:</w:t>
      </w:r>
    </w:p>
    <w:p w14:paraId="68BA84A6" w14:textId="58DCB1D3" w:rsidR="004C39C8" w:rsidRPr="004C39C8" w:rsidRDefault="004C39C8" w:rsidP="004C39C8">
      <w:pPr>
        <w:spacing w:before="240" w:line="360" w:lineRule="auto"/>
        <w:jc w:val="both"/>
        <w:rPr>
          <w:lang w:val="en-GB"/>
        </w:rPr>
      </w:pPr>
      <w:r w:rsidRPr="004C39C8">
        <w:rPr>
          <w:lang w:val="en-GB"/>
        </w:rPr>
        <w:t>According to the guidelines of the</w:t>
      </w:r>
      <w:r w:rsidR="0038477D" w:rsidRPr="0038477D">
        <w:rPr>
          <w:rFonts w:ascii="Arial" w:eastAsia="Cambria" w:hAnsi="Arial" w:cs="Arial"/>
          <w:color w:val="000000"/>
          <w:sz w:val="20"/>
          <w:szCs w:val="20"/>
          <w:lang w:val="en-US"/>
        </w:rPr>
        <w:t xml:space="preserve"> </w:t>
      </w:r>
      <w:r w:rsidR="0038477D" w:rsidRPr="00CD7949">
        <w:rPr>
          <w:rFonts w:ascii="Arial" w:eastAsia="Cambria" w:hAnsi="Arial" w:cs="Arial"/>
          <w:color w:val="000000"/>
          <w:sz w:val="20"/>
          <w:szCs w:val="20"/>
          <w:lang w:val="en-US"/>
        </w:rPr>
        <w:t>MEDDEV 2.12 guidelines (rev 8, July 201</w:t>
      </w:r>
      <w:r w:rsidR="0038477D">
        <w:rPr>
          <w:rFonts w:ascii="Arial" w:eastAsia="Cambria" w:hAnsi="Arial" w:cs="Arial"/>
          <w:color w:val="000000"/>
          <w:sz w:val="20"/>
          <w:szCs w:val="20"/>
          <w:lang w:val="en-US"/>
        </w:rPr>
        <w:t>9</w:t>
      </w:r>
      <w:r w:rsidRPr="004C39C8">
        <w:rPr>
          <w:lang w:val="en-GB"/>
        </w:rPr>
        <w:t xml:space="preserve">), all </w:t>
      </w:r>
      <w:r>
        <w:rPr>
          <w:lang w:val="en-GB"/>
        </w:rPr>
        <w:t>SAEs</w:t>
      </w:r>
      <w:r w:rsidRPr="004C39C8">
        <w:rPr>
          <w:lang w:val="en-GB"/>
        </w:rPr>
        <w:t xml:space="preserve">, </w:t>
      </w:r>
      <w:r>
        <w:rPr>
          <w:lang w:val="en-GB"/>
        </w:rPr>
        <w:t>SAED</w:t>
      </w:r>
      <w:r w:rsidRPr="004C39C8">
        <w:rPr>
          <w:lang w:val="en-GB"/>
        </w:rPr>
        <w:t xml:space="preserve">, </w:t>
      </w:r>
      <w:r>
        <w:rPr>
          <w:lang w:val="en-GB"/>
        </w:rPr>
        <w:t>USAED</w:t>
      </w:r>
      <w:r w:rsidRPr="004C39C8">
        <w:rPr>
          <w:lang w:val="en-GB"/>
        </w:rPr>
        <w:t xml:space="preserve"> and deficiencies of the Medical Device that have caused an </w:t>
      </w:r>
      <w:r>
        <w:rPr>
          <w:lang w:val="en-GB"/>
        </w:rPr>
        <w:t>SAE</w:t>
      </w:r>
      <w:r w:rsidRPr="004C39C8">
        <w:rPr>
          <w:lang w:val="en-GB"/>
        </w:rPr>
        <w:t xml:space="preserve"> will be communicated to the Competent Authorities (AEMPS / CEICs).</w:t>
      </w:r>
    </w:p>
    <w:p w14:paraId="567FD28F" w14:textId="77777777" w:rsidR="004C39C8" w:rsidRPr="004C39C8" w:rsidRDefault="004C39C8" w:rsidP="004C39C8">
      <w:pPr>
        <w:spacing w:before="240" w:line="360" w:lineRule="auto"/>
        <w:jc w:val="both"/>
        <w:rPr>
          <w:lang w:val="en-GB"/>
        </w:rPr>
      </w:pPr>
      <w:r w:rsidRPr="004C39C8">
        <w:rPr>
          <w:lang w:val="en-GB"/>
        </w:rPr>
        <w:t>In those cases where there is an imminent risk of death, serious injuries or serious illnesses and that require therapeutic measures for the subjects, patients or users of the medical device or carry new findings, reportable events will be notified immediately and not beyond 2 calendar days from the knowledge of the Promoter.</w:t>
      </w:r>
    </w:p>
    <w:p w14:paraId="00BD9444" w14:textId="77777777" w:rsidR="004C39C8" w:rsidRPr="004C39C8" w:rsidRDefault="004C39C8" w:rsidP="004C39C8">
      <w:pPr>
        <w:spacing w:before="240" w:line="360" w:lineRule="auto"/>
        <w:jc w:val="both"/>
        <w:rPr>
          <w:lang w:val="en-GB"/>
        </w:rPr>
      </w:pPr>
      <w:r w:rsidRPr="004C39C8">
        <w:rPr>
          <w:lang w:val="en-GB"/>
        </w:rPr>
        <w:t>The rest of reportable events will also be notified immediately and within a period not exceeding 7 calendar days from the knowledge of the promoter.</w:t>
      </w:r>
    </w:p>
    <w:p w14:paraId="280EAB24" w14:textId="3EA72589" w:rsidR="004C39C8" w:rsidRPr="005A1280" w:rsidRDefault="004C39C8" w:rsidP="005A1280">
      <w:pPr>
        <w:spacing w:before="240" w:line="360" w:lineRule="auto"/>
        <w:jc w:val="both"/>
        <w:rPr>
          <w:lang w:val="en-GB"/>
        </w:rPr>
      </w:pPr>
      <w:r w:rsidRPr="004C39C8">
        <w:rPr>
          <w:lang w:val="en-GB"/>
        </w:rPr>
        <w:t xml:space="preserve">The monitoring of safety data is expected in terms of </w:t>
      </w:r>
      <w:proofErr w:type="spellStart"/>
      <w:r w:rsidRPr="004C39C8">
        <w:rPr>
          <w:lang w:val="en-GB"/>
        </w:rPr>
        <w:t>hemorrhage</w:t>
      </w:r>
      <w:proofErr w:type="spellEnd"/>
      <w:r w:rsidRPr="004C39C8">
        <w:rPr>
          <w:lang w:val="en-GB"/>
        </w:rPr>
        <w:t xml:space="preserve"> and obstruction variables that have a significant clinical impact by a Safety Data Monitoring Committee (i.e., that involve the need for transfusion, complementary tests, lengthen hospital stay and optimization or modification of medical treatment, as well as the need for surgical intervention). This Committee will act in accordance with the instructions in the Instruction Manual and may decide whether </w:t>
      </w:r>
      <w:r w:rsidRPr="004C39C8">
        <w:rPr>
          <w:lang w:val="en-GB"/>
        </w:rPr>
        <w:lastRenderedPageBreak/>
        <w:t>the protocol modification or premature termination of the study is necessary. The decision of the committee will be communicated to the promoter.</w:t>
      </w:r>
      <w:bookmarkStart w:id="0" w:name="_Toc432070610"/>
    </w:p>
    <w:bookmarkEnd w:id="0"/>
    <w:p w14:paraId="3596B9D9" w14:textId="77777777" w:rsidR="00D845AF" w:rsidRPr="00E7527B" w:rsidRDefault="00D845AF" w:rsidP="00D845AF">
      <w:pPr>
        <w:rPr>
          <w:lang w:val="en-GB"/>
        </w:rPr>
      </w:pPr>
    </w:p>
    <w:sectPr w:rsidR="00D845AF" w:rsidRPr="00E7527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B6866"/>
    <w:multiLevelType w:val="multilevel"/>
    <w:tmpl w:val="04C2D3DA"/>
    <w:lvl w:ilvl="0">
      <w:start w:val="1"/>
      <w:numFmt w:val="decimal"/>
      <w:lvlText w:val="%1."/>
      <w:lvlJc w:val="left"/>
      <w:pPr>
        <w:ind w:left="360" w:hanging="360"/>
      </w:pPr>
      <w:rPr>
        <w:rFonts w:cs="Times New Roman"/>
      </w:rPr>
    </w:lvl>
    <w:lvl w:ilvl="1">
      <w:start w:val="1"/>
      <w:numFmt w:val="decimal"/>
      <w:pStyle w:val="Estilo2"/>
      <w:lvlText w:val="%1.%2."/>
      <w:lvlJc w:val="left"/>
      <w:pPr>
        <w:ind w:left="792" w:hanging="432"/>
      </w:pPr>
      <w:rPr>
        <w:rFonts w:cs="Times New Roman"/>
      </w:rPr>
    </w:lvl>
    <w:lvl w:ilvl="2">
      <w:start w:val="1"/>
      <w:numFmt w:val="decimal"/>
      <w:pStyle w:val="Estilo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DD26B56"/>
    <w:multiLevelType w:val="hybridMultilevel"/>
    <w:tmpl w:val="A79457F8"/>
    <w:lvl w:ilvl="0" w:tplc="0C0A000F">
      <w:start w:val="1"/>
      <w:numFmt w:val="decimal"/>
      <w:lvlText w:val="%1."/>
      <w:lvlJc w:val="left"/>
      <w:pPr>
        <w:tabs>
          <w:tab w:val="num" w:pos="720"/>
        </w:tabs>
        <w:ind w:left="720" w:hanging="360"/>
      </w:pPr>
    </w:lvl>
    <w:lvl w:ilvl="1" w:tplc="34C603BE">
      <w:start w:val="1"/>
      <w:numFmt w:val="bullet"/>
      <w:lvlText w:val="-"/>
      <w:lvlJc w:val="left"/>
      <w:pPr>
        <w:tabs>
          <w:tab w:val="num" w:pos="1440"/>
        </w:tabs>
        <w:ind w:left="1440" w:hanging="360"/>
      </w:pPr>
      <w:rPr>
        <w:rFonts w:ascii="Arial" w:eastAsia="Times New Roman" w:hAnsi="Arial" w:cs="Arial" w:hint="default"/>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330D3CD3"/>
    <w:multiLevelType w:val="hybridMultilevel"/>
    <w:tmpl w:val="5F8E2DF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FF71DD4"/>
    <w:multiLevelType w:val="hybridMultilevel"/>
    <w:tmpl w:val="40AC972E"/>
    <w:lvl w:ilvl="0" w:tplc="00DA0592">
      <w:numFmt w:val="bullet"/>
      <w:lvlText w:val="-"/>
      <w:lvlJc w:val="left"/>
      <w:pPr>
        <w:tabs>
          <w:tab w:val="num" w:pos="644"/>
        </w:tabs>
        <w:ind w:left="644" w:hanging="360"/>
      </w:pPr>
      <w:rPr>
        <w:rFonts w:ascii="Arial" w:eastAsia="Times New Roman" w:hAnsi="Arial" w:cs="Arial" w:hint="default"/>
      </w:rPr>
    </w:lvl>
    <w:lvl w:ilvl="1" w:tplc="04130003">
      <w:start w:val="1"/>
      <w:numFmt w:val="bullet"/>
      <w:lvlText w:val="o"/>
      <w:lvlJc w:val="left"/>
      <w:pPr>
        <w:tabs>
          <w:tab w:val="num" w:pos="644"/>
        </w:tabs>
        <w:ind w:left="644" w:hanging="360"/>
      </w:pPr>
      <w:rPr>
        <w:rFonts w:ascii="Courier New" w:hAnsi="Courier New" w:cs="Courier New" w:hint="default"/>
      </w:rPr>
    </w:lvl>
    <w:lvl w:ilvl="2" w:tplc="04130005">
      <w:start w:val="1"/>
      <w:numFmt w:val="bullet"/>
      <w:lvlText w:val=""/>
      <w:lvlJc w:val="left"/>
      <w:pPr>
        <w:tabs>
          <w:tab w:val="num" w:pos="1364"/>
        </w:tabs>
        <w:ind w:left="1364" w:hanging="360"/>
      </w:pPr>
      <w:rPr>
        <w:rFonts w:ascii="Wingdings" w:hAnsi="Wingdings" w:hint="default"/>
      </w:r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7B356AF1"/>
    <w:multiLevelType w:val="hybridMultilevel"/>
    <w:tmpl w:val="D7208CBC"/>
    <w:lvl w:ilvl="0" w:tplc="00DA0592">
      <w:numFmt w:val="bullet"/>
      <w:lvlText w:val="-"/>
      <w:lvlJc w:val="left"/>
      <w:pPr>
        <w:tabs>
          <w:tab w:val="num" w:pos="644"/>
        </w:tabs>
        <w:ind w:left="644" w:hanging="36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7D2B3D04"/>
    <w:multiLevelType w:val="hybridMultilevel"/>
    <w:tmpl w:val="36F0FE32"/>
    <w:lvl w:ilvl="0" w:tplc="CB72732E">
      <w:start w:val="7"/>
      <w:numFmt w:val="bullet"/>
      <w:lvlText w:val="-"/>
      <w:lvlJc w:val="left"/>
      <w:pPr>
        <w:ind w:left="1068" w:hanging="360"/>
      </w:pPr>
      <w:rPr>
        <w:rFonts w:ascii="Calibri" w:eastAsia="Times New Roman" w:hAnsi="Calibri" w:hint="default"/>
      </w:rPr>
    </w:lvl>
    <w:lvl w:ilvl="1" w:tplc="04030003" w:tentative="1">
      <w:start w:val="1"/>
      <w:numFmt w:val="bullet"/>
      <w:lvlText w:val="o"/>
      <w:lvlJc w:val="left"/>
      <w:pPr>
        <w:ind w:left="1788" w:hanging="360"/>
      </w:pPr>
      <w:rPr>
        <w:rFonts w:ascii="Courier New" w:hAnsi="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hint="default"/>
      </w:rPr>
    </w:lvl>
    <w:lvl w:ilvl="8" w:tplc="04030005" w:tentative="1">
      <w:start w:val="1"/>
      <w:numFmt w:val="bullet"/>
      <w:lvlText w:val=""/>
      <w:lvlJc w:val="left"/>
      <w:pPr>
        <w:ind w:left="6828" w:hanging="360"/>
      </w:pPr>
      <w:rPr>
        <w:rFonts w:ascii="Wingdings" w:hAnsi="Wingdings" w:hint="default"/>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A87"/>
    <w:rsid w:val="000D0278"/>
    <w:rsid w:val="001E23ED"/>
    <w:rsid w:val="002831D8"/>
    <w:rsid w:val="0038477D"/>
    <w:rsid w:val="003F6942"/>
    <w:rsid w:val="00403B8B"/>
    <w:rsid w:val="004A274C"/>
    <w:rsid w:val="004C39C8"/>
    <w:rsid w:val="004F1811"/>
    <w:rsid w:val="005A1280"/>
    <w:rsid w:val="00613259"/>
    <w:rsid w:val="008D70AA"/>
    <w:rsid w:val="00955A87"/>
    <w:rsid w:val="009B79A4"/>
    <w:rsid w:val="00A851FA"/>
    <w:rsid w:val="00B74D3A"/>
    <w:rsid w:val="00D123E5"/>
    <w:rsid w:val="00D845AF"/>
    <w:rsid w:val="00DC7DB9"/>
    <w:rsid w:val="00E7527B"/>
    <w:rsid w:val="00ED1FD6"/>
    <w:rsid w:val="00F206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E774"/>
  <w15:chartTrackingRefBased/>
  <w15:docId w15:val="{B8D1AF9B-F786-47BE-8BA2-5DB6FF84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2831D8"/>
    <w:pPr>
      <w:spacing w:after="200" w:line="276" w:lineRule="auto"/>
      <w:ind w:left="720"/>
      <w:contextualSpacing/>
    </w:pPr>
    <w:rPr>
      <w:rFonts w:ascii="Calibri" w:eastAsia="Calibri" w:hAnsi="Calibri" w:cs="Times New Roman"/>
      <w:lang w:val="es-ES_tradnl"/>
    </w:rPr>
  </w:style>
  <w:style w:type="paragraph" w:styleId="Textocomentario">
    <w:name w:val="annotation text"/>
    <w:basedOn w:val="Normal"/>
    <w:link w:val="TextocomentarioCar"/>
    <w:uiPriority w:val="99"/>
    <w:rsid w:val="002831D8"/>
    <w:pPr>
      <w:spacing w:after="200" w:line="240" w:lineRule="auto"/>
    </w:pPr>
    <w:rPr>
      <w:rFonts w:ascii="Calibri" w:eastAsia="Calibri" w:hAnsi="Calibri" w:cs="Times New Roman"/>
      <w:sz w:val="28"/>
      <w:szCs w:val="20"/>
      <w:lang w:val="es-ES_tradnl"/>
    </w:rPr>
  </w:style>
  <w:style w:type="character" w:customStyle="1" w:styleId="TextocomentarioCar">
    <w:name w:val="Texto comentario Car"/>
    <w:basedOn w:val="Fuentedeprrafopredeter"/>
    <w:link w:val="Textocomentario"/>
    <w:uiPriority w:val="99"/>
    <w:rsid w:val="002831D8"/>
    <w:rPr>
      <w:rFonts w:ascii="Calibri" w:eastAsia="Calibri" w:hAnsi="Calibri" w:cs="Times New Roman"/>
      <w:sz w:val="28"/>
      <w:szCs w:val="20"/>
      <w:lang w:val="es-ES_tradnl"/>
    </w:rPr>
  </w:style>
  <w:style w:type="paragraph" w:customStyle="1" w:styleId="Normal1">
    <w:name w:val="Normal1"/>
    <w:uiPriority w:val="99"/>
    <w:rsid w:val="002831D8"/>
    <w:pPr>
      <w:spacing w:after="0" w:line="240" w:lineRule="auto"/>
    </w:pPr>
    <w:rPr>
      <w:rFonts w:ascii="Times New Roman" w:eastAsia="Times New Roman" w:hAnsi="Times New Roman" w:cs="Times New Roman"/>
      <w:color w:val="000000"/>
      <w:sz w:val="20"/>
      <w:szCs w:val="20"/>
      <w:lang w:eastAsia="es-ES"/>
    </w:rPr>
  </w:style>
  <w:style w:type="paragraph" w:customStyle="1" w:styleId="Default">
    <w:name w:val="Default"/>
    <w:uiPriority w:val="99"/>
    <w:rsid w:val="002831D8"/>
    <w:pPr>
      <w:autoSpaceDE w:val="0"/>
      <w:autoSpaceDN w:val="0"/>
      <w:adjustRightInd w:val="0"/>
      <w:spacing w:after="0" w:line="240" w:lineRule="auto"/>
    </w:pPr>
    <w:rPr>
      <w:rFonts w:ascii="Arial" w:eastAsia="Calibri" w:hAnsi="Arial" w:cs="Arial"/>
      <w:color w:val="000000"/>
      <w:sz w:val="24"/>
      <w:szCs w:val="24"/>
    </w:rPr>
  </w:style>
  <w:style w:type="paragraph" w:customStyle="1" w:styleId="Normal2">
    <w:name w:val="Normal2"/>
    <w:uiPriority w:val="99"/>
    <w:rsid w:val="002831D8"/>
    <w:pPr>
      <w:spacing w:after="0" w:line="240" w:lineRule="auto"/>
    </w:pPr>
    <w:rPr>
      <w:rFonts w:ascii="Times New Roman" w:eastAsia="Times New Roman" w:hAnsi="Times New Roman" w:cs="Times New Roman"/>
      <w:color w:val="000000"/>
      <w:sz w:val="20"/>
      <w:szCs w:val="20"/>
      <w:lang w:eastAsia="es-ES"/>
    </w:rPr>
  </w:style>
  <w:style w:type="paragraph" w:customStyle="1" w:styleId="Estilo2">
    <w:name w:val="Estilo2"/>
    <w:basedOn w:val="Normal"/>
    <w:uiPriority w:val="99"/>
    <w:rsid w:val="002831D8"/>
    <w:pPr>
      <w:keepNext/>
      <w:keepLines/>
      <w:numPr>
        <w:ilvl w:val="1"/>
        <w:numId w:val="6"/>
      </w:numPr>
      <w:spacing w:before="480" w:after="120" w:line="240" w:lineRule="auto"/>
      <w:contextualSpacing/>
      <w:outlineLvl w:val="0"/>
    </w:pPr>
    <w:rPr>
      <w:rFonts w:ascii="Arial" w:eastAsia="Times New Roman" w:hAnsi="Arial" w:cs="Arial"/>
      <w:b/>
      <w:color w:val="000000"/>
      <w:sz w:val="20"/>
      <w:szCs w:val="20"/>
      <w:lang w:eastAsia="es-ES"/>
    </w:rPr>
  </w:style>
  <w:style w:type="paragraph" w:customStyle="1" w:styleId="Estilo3">
    <w:name w:val="Estilo3"/>
    <w:basedOn w:val="Estilo2"/>
    <w:uiPriority w:val="99"/>
    <w:rsid w:val="002831D8"/>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84624">
      <w:bodyDiv w:val="1"/>
      <w:marLeft w:val="0"/>
      <w:marRight w:val="0"/>
      <w:marTop w:val="0"/>
      <w:marBottom w:val="0"/>
      <w:divBdr>
        <w:top w:val="none" w:sz="0" w:space="0" w:color="auto"/>
        <w:left w:val="none" w:sz="0" w:space="0" w:color="auto"/>
        <w:bottom w:val="none" w:sz="0" w:space="0" w:color="auto"/>
        <w:right w:val="none" w:sz="0" w:space="0" w:color="auto"/>
      </w:divBdr>
    </w:div>
    <w:div w:id="475996196">
      <w:bodyDiv w:val="1"/>
      <w:marLeft w:val="0"/>
      <w:marRight w:val="0"/>
      <w:marTop w:val="0"/>
      <w:marBottom w:val="0"/>
      <w:divBdr>
        <w:top w:val="none" w:sz="0" w:space="0" w:color="auto"/>
        <w:left w:val="none" w:sz="0" w:space="0" w:color="auto"/>
        <w:bottom w:val="none" w:sz="0" w:space="0" w:color="auto"/>
        <w:right w:val="none" w:sz="0" w:space="0" w:color="auto"/>
      </w:divBdr>
    </w:div>
    <w:div w:id="599291702">
      <w:bodyDiv w:val="1"/>
      <w:marLeft w:val="0"/>
      <w:marRight w:val="0"/>
      <w:marTop w:val="0"/>
      <w:marBottom w:val="0"/>
      <w:divBdr>
        <w:top w:val="none" w:sz="0" w:space="0" w:color="auto"/>
        <w:left w:val="none" w:sz="0" w:space="0" w:color="auto"/>
        <w:bottom w:val="none" w:sz="0" w:space="0" w:color="auto"/>
        <w:right w:val="none" w:sz="0" w:space="0" w:color="auto"/>
      </w:divBdr>
    </w:div>
    <w:div w:id="637153576">
      <w:bodyDiv w:val="1"/>
      <w:marLeft w:val="0"/>
      <w:marRight w:val="0"/>
      <w:marTop w:val="0"/>
      <w:marBottom w:val="0"/>
      <w:divBdr>
        <w:top w:val="none" w:sz="0" w:space="0" w:color="auto"/>
        <w:left w:val="none" w:sz="0" w:space="0" w:color="auto"/>
        <w:bottom w:val="none" w:sz="0" w:space="0" w:color="auto"/>
        <w:right w:val="none" w:sz="0" w:space="0" w:color="auto"/>
      </w:divBdr>
    </w:div>
    <w:div w:id="711425513">
      <w:bodyDiv w:val="1"/>
      <w:marLeft w:val="0"/>
      <w:marRight w:val="0"/>
      <w:marTop w:val="0"/>
      <w:marBottom w:val="0"/>
      <w:divBdr>
        <w:top w:val="none" w:sz="0" w:space="0" w:color="auto"/>
        <w:left w:val="none" w:sz="0" w:space="0" w:color="auto"/>
        <w:bottom w:val="none" w:sz="0" w:space="0" w:color="auto"/>
        <w:right w:val="none" w:sz="0" w:space="0" w:color="auto"/>
      </w:divBdr>
    </w:div>
    <w:div w:id="750657743">
      <w:bodyDiv w:val="1"/>
      <w:marLeft w:val="0"/>
      <w:marRight w:val="0"/>
      <w:marTop w:val="0"/>
      <w:marBottom w:val="0"/>
      <w:divBdr>
        <w:top w:val="none" w:sz="0" w:space="0" w:color="auto"/>
        <w:left w:val="none" w:sz="0" w:space="0" w:color="auto"/>
        <w:bottom w:val="none" w:sz="0" w:space="0" w:color="auto"/>
        <w:right w:val="none" w:sz="0" w:space="0" w:color="auto"/>
      </w:divBdr>
    </w:div>
    <w:div w:id="986085768">
      <w:bodyDiv w:val="1"/>
      <w:marLeft w:val="0"/>
      <w:marRight w:val="0"/>
      <w:marTop w:val="0"/>
      <w:marBottom w:val="0"/>
      <w:divBdr>
        <w:top w:val="none" w:sz="0" w:space="0" w:color="auto"/>
        <w:left w:val="none" w:sz="0" w:space="0" w:color="auto"/>
        <w:bottom w:val="none" w:sz="0" w:space="0" w:color="auto"/>
        <w:right w:val="none" w:sz="0" w:space="0" w:color="auto"/>
      </w:divBdr>
    </w:div>
    <w:div w:id="1278483698">
      <w:bodyDiv w:val="1"/>
      <w:marLeft w:val="0"/>
      <w:marRight w:val="0"/>
      <w:marTop w:val="0"/>
      <w:marBottom w:val="0"/>
      <w:divBdr>
        <w:top w:val="none" w:sz="0" w:space="0" w:color="auto"/>
        <w:left w:val="none" w:sz="0" w:space="0" w:color="auto"/>
        <w:bottom w:val="none" w:sz="0" w:space="0" w:color="auto"/>
        <w:right w:val="none" w:sz="0" w:space="0" w:color="auto"/>
      </w:divBdr>
    </w:div>
    <w:div w:id="1431193221">
      <w:bodyDiv w:val="1"/>
      <w:marLeft w:val="0"/>
      <w:marRight w:val="0"/>
      <w:marTop w:val="0"/>
      <w:marBottom w:val="0"/>
      <w:divBdr>
        <w:top w:val="none" w:sz="0" w:space="0" w:color="auto"/>
        <w:left w:val="none" w:sz="0" w:space="0" w:color="auto"/>
        <w:bottom w:val="none" w:sz="0" w:space="0" w:color="auto"/>
        <w:right w:val="none" w:sz="0" w:space="0" w:color="auto"/>
      </w:divBdr>
    </w:div>
    <w:div w:id="1731152809">
      <w:bodyDiv w:val="1"/>
      <w:marLeft w:val="0"/>
      <w:marRight w:val="0"/>
      <w:marTop w:val="0"/>
      <w:marBottom w:val="0"/>
      <w:divBdr>
        <w:top w:val="none" w:sz="0" w:space="0" w:color="auto"/>
        <w:left w:val="none" w:sz="0" w:space="0" w:color="auto"/>
        <w:bottom w:val="none" w:sz="0" w:space="0" w:color="auto"/>
        <w:right w:val="none" w:sz="0" w:space="0" w:color="auto"/>
      </w:divBdr>
    </w:div>
    <w:div w:id="1761102834">
      <w:bodyDiv w:val="1"/>
      <w:marLeft w:val="0"/>
      <w:marRight w:val="0"/>
      <w:marTop w:val="0"/>
      <w:marBottom w:val="0"/>
      <w:divBdr>
        <w:top w:val="none" w:sz="0" w:space="0" w:color="auto"/>
        <w:left w:val="none" w:sz="0" w:space="0" w:color="auto"/>
        <w:bottom w:val="none" w:sz="0" w:space="0" w:color="auto"/>
        <w:right w:val="none" w:sz="0" w:space="0" w:color="auto"/>
      </w:divBdr>
    </w:div>
    <w:div w:id="184852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6</Pages>
  <Words>1595</Words>
  <Characters>8775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gornals</dc:creator>
  <cp:keywords/>
  <dc:description/>
  <cp:lastModifiedBy>joan gornals</cp:lastModifiedBy>
  <cp:revision>19</cp:revision>
  <dcterms:created xsi:type="dcterms:W3CDTF">2019-08-13T18:07:00Z</dcterms:created>
  <dcterms:modified xsi:type="dcterms:W3CDTF">2022-01-16T13:53:00Z</dcterms:modified>
</cp:coreProperties>
</file>