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  <w:rPr>
          <w:sz w:val="36"/>
          <w:szCs w:val="24"/>
        </w:rPr>
      </w:pPr>
      <w:bookmarkStart w:id="0" w:name="_Hlk2454032"/>
      <w:bookmarkEnd w:id="0"/>
      <w:bookmarkStart w:id="1" w:name="_Hlk6777744"/>
      <w:bookmarkEnd w:id="1"/>
      <w:r>
        <w:rPr>
          <w:sz w:val="36"/>
          <w:szCs w:val="24"/>
        </w:rPr>
        <w:t>Crystal and Electronic Structure Engineering of Tin Monoxide by External Pressure</w:t>
      </w:r>
    </w:p>
    <w:p>
      <w:pPr>
        <w:pStyle w:val="24"/>
        <w:spacing w:after="0" w:line="360" w:lineRule="auto"/>
        <w:rPr>
          <w:rFonts w:ascii="Times New Roman" w:hAnsi="Times New Roman"/>
          <w:szCs w:val="24"/>
          <w:vertAlign w:val="superscript"/>
        </w:rPr>
      </w:pPr>
      <w:bookmarkStart w:id="2" w:name="_Hlk14711246"/>
      <w:r>
        <w:rPr>
          <w:rFonts w:ascii="Times New Roman" w:hAnsi="Times New Roman"/>
          <w:i w:val="0"/>
          <w:szCs w:val="24"/>
        </w:rPr>
        <w:t xml:space="preserve">Kun Li </w:t>
      </w:r>
      <w:r>
        <w:rPr>
          <w:rFonts w:ascii="Times New Roman" w:hAnsi="Times New Roman"/>
          <w:szCs w:val="24"/>
          <w:vertAlign w:val="superscript"/>
        </w:rPr>
        <w:t>a, b</w:t>
      </w:r>
      <w:r>
        <w:rPr>
          <w:rFonts w:ascii="Times New Roman" w:hAnsi="Times New Roman"/>
          <w:i w:val="0"/>
          <w:szCs w:val="24"/>
        </w:rPr>
        <w:t>, Junjie Wang</w:t>
      </w:r>
      <w:bookmarkStart w:id="3" w:name="_Hlk536465313"/>
      <w:r>
        <w:rPr>
          <w:rFonts w:ascii="Times New Roman" w:hAnsi="Times New Roman"/>
          <w:szCs w:val="24"/>
          <w:vertAlign w:val="superscript"/>
        </w:rPr>
        <w:t xml:space="preserve"> a, b, *</w:t>
      </w:r>
      <w:r>
        <w:rPr>
          <w:rFonts w:ascii="Times New Roman" w:hAnsi="Times New Roman"/>
          <w:i w:val="0"/>
          <w:szCs w:val="24"/>
        </w:rPr>
        <w:t xml:space="preserve">, Vladislav A. Blatov </w:t>
      </w:r>
      <w:r>
        <w:rPr>
          <w:rFonts w:ascii="Times New Roman" w:hAnsi="Times New Roman"/>
          <w:szCs w:val="24"/>
          <w:vertAlign w:val="superscript"/>
        </w:rPr>
        <w:t>c,b,d</w:t>
      </w:r>
      <w:r>
        <w:rPr>
          <w:rFonts w:ascii="Times New Roman" w:hAnsi="Times New Roman"/>
          <w:i w:val="0"/>
          <w:szCs w:val="24"/>
        </w:rPr>
        <w:t xml:space="preserve">, Yutong Gong </w:t>
      </w:r>
      <w:r>
        <w:rPr>
          <w:rFonts w:ascii="Times New Roman" w:hAnsi="Times New Roman"/>
          <w:szCs w:val="24"/>
          <w:vertAlign w:val="superscript"/>
        </w:rPr>
        <w:t>a</w:t>
      </w:r>
      <w:r>
        <w:rPr>
          <w:rFonts w:ascii="Times New Roman" w:hAnsi="Times New Roman"/>
          <w:i w:val="0"/>
          <w:szCs w:val="24"/>
        </w:rPr>
        <w:t xml:space="preserve">, Naoto Umezawa </w:t>
      </w:r>
      <w:r>
        <w:rPr>
          <w:rFonts w:ascii="Times New Roman" w:hAnsi="Times New Roman"/>
          <w:szCs w:val="24"/>
          <w:vertAlign w:val="superscript"/>
        </w:rPr>
        <w:t>e</w:t>
      </w:r>
      <w:r>
        <w:rPr>
          <w:rFonts w:ascii="Times New Roman" w:hAnsi="Times New Roman"/>
          <w:i w:val="0"/>
          <w:szCs w:val="24"/>
        </w:rPr>
        <w:t xml:space="preserve">, Tomofumi Tada </w:t>
      </w:r>
      <w:r>
        <w:rPr>
          <w:rFonts w:ascii="Times New Roman" w:hAnsi="Times New Roman"/>
          <w:szCs w:val="24"/>
          <w:vertAlign w:val="superscript"/>
        </w:rPr>
        <w:t>f</w:t>
      </w:r>
      <w:r>
        <w:rPr>
          <w:rFonts w:ascii="Times New Roman" w:hAnsi="Times New Roman"/>
          <w:i w:val="0"/>
          <w:szCs w:val="24"/>
        </w:rPr>
        <w:t xml:space="preserve">, Hideo Hosono </w:t>
      </w:r>
      <w:r>
        <w:rPr>
          <w:rFonts w:ascii="Times New Roman" w:hAnsi="Times New Roman"/>
          <w:szCs w:val="24"/>
          <w:vertAlign w:val="superscript"/>
        </w:rPr>
        <w:t>f</w:t>
      </w:r>
      <w:r>
        <w:rPr>
          <w:rFonts w:ascii="Times New Roman" w:hAnsi="Times New Roman"/>
          <w:i w:val="0"/>
          <w:szCs w:val="24"/>
        </w:rPr>
        <w:t>, Artem R. Oganov</w:t>
      </w:r>
      <w:r>
        <w:rPr>
          <w:rFonts w:ascii="Times New Roman" w:hAnsi="Times New Roman"/>
          <w:i w:val="0"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  <w:vertAlign w:val="superscript"/>
        </w:rPr>
        <w:t>g, a, b, h</w:t>
      </w:r>
    </w:p>
    <w:p>
      <w:pPr>
        <w:widowControl/>
        <w:adjustRightInd w:val="0"/>
        <w:snapToGrid w:val="0"/>
        <w:spacing w:line="360" w:lineRule="auto"/>
        <w:ind w:firstLine="174" w:firstLineChars="83"/>
        <w:rPr>
          <w:szCs w:val="24"/>
        </w:rPr>
      </w:pP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a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State Key Laboratory of Solidification Processing, Northwestern Polytechnical University, Xi'an, Shaanxi 710072, People's Republic of China.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b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International Center for Materials Discovery, School of Materials Science and Engineering, Northwestern Polytechnical University, Xi'an, Shaanxi 710072, People's Republic of China.</w:t>
      </w:r>
      <w:bookmarkEnd w:id="2"/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c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Samara Center for Theoretical Materials Science (SCTMS), Samara State Technical University, Molodogvardeyskaya St. 244, Samara, 443100, Russia.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d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Samara Center for Theoretical Materials Science (SCTMS), Samara University, Ac. Pavlov St. 1, Samara 443011, Russia.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e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Semiconductor R&amp;D Center, Samsung Electronics, 1, Samsungjeonja-ro, Hwaseong-si, Gyeonggi-do 18448, South Korea.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f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Materials Research Center for Element Strategy, Tokyo Institute of Technology, 4259 Nagatsuta-cho, Midori-ku, Yokohama, Kanagawa 226-8503, Japan.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g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Skolkovo Institute of Science and Technology, 3 Nobel Street, Moscow 143026, Russia.</w:t>
      </w:r>
    </w:p>
    <w:p>
      <w:pPr>
        <w:widowControl/>
        <w:adjustRightInd w:val="0"/>
        <w:snapToGrid w:val="0"/>
        <w:spacing w:line="360" w:lineRule="auto"/>
        <w:rPr>
          <w:i/>
          <w:szCs w:val="24"/>
        </w:rPr>
      </w:pPr>
      <w:r>
        <w:rPr>
          <w:rFonts w:eastAsia="微软雅黑" w:cs="Times New Roman"/>
          <w:i/>
          <w:kern w:val="0"/>
          <w:sz w:val="24"/>
          <w:szCs w:val="24"/>
          <w:vertAlign w:val="superscript"/>
          <w:lang w:bidi="ar"/>
        </w:rPr>
        <w:t>h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 xml:space="preserve">Moscow Institute of Physics and Technology, </w:t>
      </w:r>
      <w:bookmarkEnd w:id="3"/>
      <w:r>
        <w:rPr>
          <w:rFonts w:eastAsia="微软雅黑" w:cs="Times New Roman"/>
          <w:i/>
          <w:kern w:val="0"/>
          <w:sz w:val="24"/>
          <w:szCs w:val="24"/>
          <w:lang w:bidi="ar"/>
        </w:rPr>
        <w:t>9 Institutskiy Lane, Dolgoprudny city, Moscow Region 141700, Russia.</w:t>
      </w:r>
      <w:bookmarkStart w:id="6" w:name="_GoBack"/>
      <w:bookmarkEnd w:id="6"/>
    </w:p>
    <w:p>
      <w:pPr>
        <w:widowControl/>
        <w:adjustRightInd w:val="0"/>
        <w:snapToGrid w:val="0"/>
        <w:spacing w:line="360" w:lineRule="auto"/>
        <w:rPr>
          <w:b/>
          <w:szCs w:val="24"/>
        </w:rPr>
      </w:pPr>
      <w:r>
        <w:rPr>
          <w:rFonts w:eastAsia="微软雅黑" w:cs="Times New Roman"/>
          <w:b/>
          <w:kern w:val="0"/>
          <w:sz w:val="24"/>
          <w:szCs w:val="24"/>
          <w:lang w:bidi="ar"/>
        </w:rPr>
        <w:t>Corresponding Author</w:t>
      </w:r>
    </w:p>
    <w:p>
      <w:pPr>
        <w:widowControl/>
        <w:adjustRightInd w:val="0"/>
        <w:snapToGrid w:val="0"/>
        <w:spacing w:line="360" w:lineRule="auto"/>
        <w:rPr>
          <w:rFonts w:cs="Times New Roman"/>
          <w:szCs w:val="24"/>
        </w:rPr>
      </w:pPr>
      <w:r>
        <w:rPr>
          <w:rFonts w:eastAsia="微软雅黑" w:cs="Times New Roman"/>
          <w:kern w:val="0"/>
          <w:sz w:val="24"/>
          <w:szCs w:val="24"/>
          <w:lang w:bidi="ar"/>
        </w:rPr>
        <w:t xml:space="preserve">*Email: </w:t>
      </w:r>
      <w:r>
        <w:fldChar w:fldCharType="begin"/>
      </w:r>
      <w:r>
        <w:instrText xml:space="preserve"> HYPERLINK "mailto:wang.junjie@nwpu.edu.cn" </w:instrText>
      </w:r>
      <w:r>
        <w:fldChar w:fldCharType="separate"/>
      </w:r>
      <w:r>
        <w:rPr>
          <w:rStyle w:val="7"/>
          <w:szCs w:val="24"/>
        </w:rPr>
        <w:t>wang.junjie@nwpu.edu.cn</w:t>
      </w:r>
      <w:r>
        <w:rPr>
          <w:rStyle w:val="7"/>
          <w:szCs w:val="24"/>
        </w:rPr>
        <w:fldChar w:fldCharType="end"/>
      </w:r>
    </w:p>
    <w:p>
      <w:pPr>
        <w:pStyle w:val="23"/>
        <w:ind w:firstLine="0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T</w:t>
      </w:r>
      <w:r>
        <w:rPr>
          <w:b/>
          <w:bCs/>
          <w:lang w:eastAsia="zh-CN"/>
        </w:rPr>
        <w:t>opological analysis of SnO</w:t>
      </w:r>
    </w:p>
    <w:p>
      <w:pPr>
        <w:pStyle w:val="2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40" w:firstLineChars="100"/>
        <w:jc w:val="both"/>
        <w:textAlignment w:val="auto"/>
        <w:outlineLvl w:val="9"/>
      </w:pPr>
      <w:r>
        <w:t>The topological analysis of the SnO crystal structur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es</w:t>
      </w:r>
      <w:r>
        <w:t xml:space="preserve"> using ToposPro</w:t>
      </w:r>
      <w:r>
        <w:rPr>
          <w:color w:val="FF0000"/>
          <w:vertAlign w:val="superscript"/>
          <w:lang w:eastAsia="zh-CN"/>
        </w:rPr>
        <w:t xml:space="preserve">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instrText xml:space="preserve"> ADDIN EN.CITE &lt;EndNote&gt;&lt;Cite&gt;&lt;Author&gt;Blatov&lt;/Author&gt;&lt;Year&gt;2014&lt;/Year&gt;&lt;RecNum&gt;545&lt;/RecNum&gt;&lt;DisplayText&gt;[1]&lt;/DisplayText&gt;&lt;record&gt;&lt;rec-number&gt;545&lt;/rec-number&gt;&lt;foreign-keys&gt;&lt;key app="EN" db-id="2avaa955n20xs4etd95xrwt2red2tda0drvx" timestamp="0"&gt;545&lt;/key&gt;&lt;/foreign-keys&gt;&lt;ref-type name="Journal Article"&gt;17&lt;/ref-type&gt;&lt;contributors&gt;&lt;authors&gt;&lt;author&gt;Blatov, Vladislav A.&lt;/author&gt;&lt;author&gt;Shevchenko, Alexander P.&lt;/author&gt;&lt;author&gt;Proserpio, Davide M.&lt;/author&gt;&lt;/authors&gt;&lt;/contributors&gt;&lt;titles&gt;&lt;title&gt;Applied topological analysis of crystal structures with the program package ToposPro&lt;/title&gt;&lt;secondary-title&gt;Crystal Growth &amp;amp; Design&lt;/secondary-title&gt;&lt;/titles&gt;&lt;pages&gt;3576-3586&lt;/pages&gt;&lt;volume&gt;14&lt;/volume&gt;&lt;number&gt;7&lt;/number&gt;&lt;dates&gt;&lt;year&gt;2014&lt;/year&gt;&lt;pub-dates&gt;&lt;date&gt;2014/07/02&lt;/date&gt;&lt;/pub-dates&gt;&lt;/dates&gt;&lt;publisher&gt;American Chemical Society&lt;/publisher&gt;&lt;isbn&gt;1528-7483&lt;/isbn&gt;&lt;urls&gt;&lt;related-urls&gt;&lt;url&gt;https://doi.org/10.1021/cg500498k&lt;/url&gt;&lt;/related-urls&gt;&lt;/urls&gt;&lt;electronic-resource-num&gt;10.1021/cg500498k&lt;/electronic-resource-num&gt;&lt;/record&gt;&lt;/Cite&gt;&lt;/EndNote&gt;</w:instrTex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[1]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FF0000"/>
          <w:lang w:eastAsia="zh-CN"/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indi</w:t>
      </w:r>
      <w:r>
        <w:t xml:space="preserve">cates that the coordination number of tin atoms in the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 xml:space="preserve">- and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 xml:space="preserve">-SnO at 20 GPa are four (average bond length of around 2.16 Å) and three (average bond length of around 2.11 Å), respectively. The coordination number of tin in the </w:t>
      </w:r>
      <w:r>
        <w:rPr>
          <w:rFonts w:hint="eastAsia"/>
          <w:i/>
          <w:iCs/>
          <w:lang w:eastAsia="zh-CN"/>
        </w:rPr>
        <w:t>Pnma</w:t>
      </w:r>
      <w:r>
        <w:rPr>
          <w:lang w:eastAsia="zh-CN"/>
        </w:rPr>
        <w:t>-</w:t>
      </w:r>
      <w:r>
        <w:t xml:space="preserve">SnO at 20GPa can be represented as 4+4 to reflect the difference between four stronger and four weaker Sn-O bonds with distances of about 2.23 Å and 3.16 Å, respectively. If one considers only the four strongest bonds, the resulting topology is </w:t>
      </w:r>
      <w:r>
        <w:rPr>
          <w:b/>
        </w:rPr>
        <w:t>sra</w:t>
      </w:r>
      <w:r>
        <w:t xml:space="preserve">. </w:t>
      </w:r>
      <w:bookmarkStart w:id="4" w:name="_Hlk41315237"/>
      <w:bookmarkEnd w:id="4"/>
    </w:p>
    <w:p>
      <w:pPr>
        <w:pStyle w:val="2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40" w:firstLineChars="100"/>
        <w:jc w:val="both"/>
        <w:textAlignment w:val="auto"/>
        <w:outlineLvl w:val="9"/>
      </w:pPr>
      <w:r>
        <w:t xml:space="preserve">Reconstructive phase transition is always accompanied by breaking existed bonds and creating new ones. Therefore, from the topological point of view </w:t>
      </w:r>
      <w:r>
        <w:fldChar w:fldCharType="begin"/>
      </w:r>
      <w:r>
        <w:instrText xml:space="preserve"> ADDIN EN.CITE &lt;EndNote&gt;&lt;Cite&gt;&lt;Author&gt;Blatov&lt;/Author&gt;&lt;Year&gt;2019&lt;/Year&gt;&lt;RecNum&gt;524&lt;/RecNum&gt;&lt;DisplayText&gt;[2]&lt;/DisplayText&gt;&lt;record&gt;&lt;rec-number&gt;524&lt;/rec-number&gt;&lt;foreign-keys&gt;&lt;key app="EN" db-id="2avaa955n20xs4etd95xrwt2red2tda0drvx" timestamp="0"&gt;524&lt;/key&gt;&lt;/foreign-keys&gt;&lt;ref-type name="Journal Article"&gt;17&lt;/ref-type&gt;&lt;contributors&gt;&lt;authors&gt;&lt;author&gt;Blatov, Vladislav A.&lt;/author&gt;&lt;author&gt;Golov, Andrey A.&lt;/author&gt;&lt;author&gt;Yang, Changhao&lt;/author&gt;&lt;author&gt;Zeng, Qingfeng&lt;/author&gt;&lt;author&gt;Kabanov, Artem A.&lt;/author&gt;&lt;/authors&gt;&lt;/contributors&gt;&lt;titles&gt;&lt;title&gt;Network topological model of reconstructive solid-state transformations&lt;/title&gt;&lt;secondary-title&gt;Scientific Reports&lt;/secondary-title&gt;&lt;/titles&gt;&lt;periodical&gt;&lt;full-title&gt;Scientific Reports&lt;/full-title&gt;&lt;/periodical&gt;&lt;pages&gt;6007&lt;/pages&gt;&lt;volume&gt;9&lt;/volume&gt;&lt;number&gt;1&lt;/number&gt;&lt;dates&gt;&lt;year&gt;2019&lt;/year&gt;&lt;pub-dates&gt;&lt;date&gt;2019/04/12&lt;/date&gt;&lt;/pub-dates&gt;&lt;/dates&gt;&lt;isbn&gt;2045-2322&lt;/isbn&gt;&lt;urls&gt;&lt;related-urls&gt;&lt;url&gt;https://doi.org/10.1038/s41598-019-42483-5&lt;/url&gt;&lt;/related-urls&gt;&lt;/urls&gt;&lt;electronic-resource-num&gt;10.1038/s41598-019-42483-5&lt;/electronic-resource-num&gt;&lt;/record&gt;&lt;/Cite&gt;&lt;/EndNote&gt;</w:instrText>
      </w:r>
      <w:r>
        <w:fldChar w:fldCharType="separate"/>
      </w:r>
      <w:r>
        <w:t>[2]</w:t>
      </w:r>
      <w:r>
        <w:fldChar w:fldCharType="end"/>
      </w:r>
      <w:r>
        <w:t xml:space="preserve">, different topologies A and B cannot directly transform to each other if they possess the same coordination numbers of atoms. This means that topology A must first transform to a subnet or supernet shared by A and B with a smaller or bigger coordination number and then can pass to topology B after creating or breaking some bonds, and vice versa, topology B can transform to A through the same subnet or supernet. Therefore, the direct phase transition at 20 GPa from the high-pressure </w:t>
      </w:r>
      <w:r>
        <w:rPr>
          <w:rFonts w:hint="eastAsia"/>
          <w:i/>
          <w:iCs/>
          <w:lang w:eastAsia="zh-CN"/>
        </w:rPr>
        <w:t>Pnma</w:t>
      </w:r>
      <w:r>
        <w:rPr>
          <w:lang w:eastAsia="zh-CN"/>
        </w:rPr>
        <w:t>-</w:t>
      </w:r>
      <w:r>
        <w:t xml:space="preserve">SnO to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 xml:space="preserve">-SnO or vice versa is topologically unfeasible if all strong Sn-O bonds are retained; at least one strong bond should be broken and one strong bond should be created, which corresponds to formation of a common subnet and supernet of the high-pressure </w:t>
      </w:r>
      <w:r>
        <w:rPr>
          <w:rFonts w:hint="eastAsia"/>
          <w:i/>
          <w:iCs/>
          <w:lang w:eastAsia="zh-CN"/>
        </w:rPr>
        <w:t>Pnma</w:t>
      </w:r>
      <w:r>
        <w:rPr>
          <w:lang w:eastAsia="zh-CN"/>
        </w:rPr>
        <w:t>-</w:t>
      </w:r>
      <w:r>
        <w:t xml:space="preserve">SnO and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 xml:space="preserve">-SnO. It is the </w:t>
      </w:r>
      <w:r>
        <w:rPr>
          <w:b/>
        </w:rPr>
        <w:t>fes</w:t>
      </w:r>
      <w:r>
        <w:t xml:space="preserve"> topology of the three-coordinated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 xml:space="preserve">-SnO phase that represents a common subnet of </w:t>
      </w:r>
      <w:r>
        <w:rPr>
          <w:b/>
        </w:rPr>
        <w:t>sra</w:t>
      </w:r>
      <w:r>
        <w:t xml:space="preserve"> and </w:t>
      </w:r>
      <w:r>
        <w:rPr>
          <w:b/>
        </w:rPr>
        <w:t>sql</w:t>
      </w:r>
      <w:r>
        <w:t xml:space="preserve">. The topological analysis shows that the highest symmetry of the </w:t>
      </w:r>
      <w:r>
        <w:rPr>
          <w:b/>
        </w:rPr>
        <w:t>fes</w:t>
      </w:r>
      <w:r>
        <w:t xml:space="preserve"> subnet in the </w:t>
      </w:r>
      <w:r>
        <w:rPr>
          <w:b/>
        </w:rPr>
        <w:t>sra</w:t>
      </w:r>
      <w:r>
        <w:t xml:space="preserve"> net is </w:t>
      </w:r>
      <w:r>
        <w:rPr>
          <w:i/>
          <w:iCs/>
        </w:rPr>
        <w:t>P</w:t>
      </w:r>
      <w:r>
        <w:t>2</w:t>
      </w:r>
      <w:r>
        <w:rPr>
          <w:vertAlign w:val="subscript"/>
        </w:rPr>
        <w:t>1</w:t>
      </w:r>
      <w:r>
        <w:rPr>
          <w:i/>
          <w:iCs/>
        </w:rPr>
        <w:t>/c</w:t>
      </w:r>
      <w:r>
        <w:t xml:space="preserve"> that corresponds to the symmetry of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 xml:space="preserve">-SnO. The </w:t>
      </w:r>
      <w:r>
        <w:rPr>
          <w:b/>
        </w:rPr>
        <w:t>sql</w:t>
      </w:r>
      <w:r>
        <w:t xml:space="preserve"> topology has also a </w:t>
      </w:r>
      <w:r>
        <w:rPr>
          <w:b/>
        </w:rPr>
        <w:t>fes</w:t>
      </w:r>
      <w:r>
        <w:t xml:space="preserve"> subnet of the </w:t>
      </w:r>
      <w:r>
        <w:rPr>
          <w:i/>
          <w:iCs/>
        </w:rPr>
        <w:t>P</w:t>
      </w:r>
      <w:r>
        <w:t>2</w:t>
      </w:r>
      <w:r>
        <w:rPr>
          <w:vertAlign w:val="subscript"/>
        </w:rPr>
        <w:t>1</w:t>
      </w:r>
      <w:r>
        <w:rPr>
          <w:i/>
          <w:iCs/>
        </w:rPr>
        <w:t>/c</w:t>
      </w:r>
      <w:r>
        <w:t xml:space="preserve"> symmetry. Therefore, the following transition sequences can be proposed at increasing pressure: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>-SnO (</w:t>
      </w:r>
      <w:r>
        <w:rPr>
          <w:i/>
        </w:rPr>
        <w:t>P</w:t>
      </w:r>
      <w:r>
        <w:t>4/</w:t>
      </w:r>
      <w:r>
        <w:rPr>
          <w:i/>
        </w:rPr>
        <w:t>nmm</w:t>
      </w:r>
      <w:r>
        <w:t xml:space="preserve">; </w:t>
      </w:r>
      <w:r>
        <w:rPr>
          <w:b/>
        </w:rPr>
        <w:t>sql</w:t>
      </w:r>
      <w:r>
        <w:t xml:space="preserve">) </w:t>
      </w:r>
      <w:r>
        <w:rPr/>
        <w:sym w:font="Symbol" w:char="F0AE"/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>-SnO (</w:t>
      </w:r>
      <w:r>
        <w:rPr>
          <w:i/>
          <w:iCs/>
        </w:rPr>
        <w:t>P</w:t>
      </w:r>
      <w:r>
        <w:t>2</w:t>
      </w:r>
      <w:r>
        <w:rPr>
          <w:vertAlign w:val="subscript"/>
        </w:rPr>
        <w:t>1</w:t>
      </w:r>
      <w:r>
        <w:rPr>
          <w:i/>
          <w:iCs/>
        </w:rPr>
        <w:t>/c</w:t>
      </w:r>
      <w:r>
        <w:t xml:space="preserve">; </w:t>
      </w:r>
      <w:r>
        <w:rPr>
          <w:b/>
        </w:rPr>
        <w:t>fes</w:t>
      </w:r>
      <w:r>
        <w:t xml:space="preserve">) </w:t>
      </w:r>
      <w:r>
        <w:rPr/>
        <w:sym w:font="Symbol" w:char="F0AE"/>
      </w:r>
      <w:r>
        <w:t xml:space="preserve"> </w:t>
      </w:r>
      <w:r>
        <w:rPr>
          <w:i/>
          <w:iCs/>
        </w:rPr>
        <w:t>Pnma</w:t>
      </w:r>
      <w:r>
        <w:t>-SnO (</w:t>
      </w:r>
      <w:r>
        <w:rPr>
          <w:i/>
        </w:rPr>
        <w:t>Pnma</w:t>
      </w:r>
      <w:r>
        <w:t xml:space="preserve">; </w:t>
      </w:r>
      <w:r>
        <w:rPr>
          <w:b/>
        </w:rPr>
        <w:t>sra</w:t>
      </w:r>
      <w:r>
        <w:t xml:space="preserve">), i.e. the symmetry of the initial four-coordinated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t xml:space="preserve">-SnO decreases down to </w:t>
      </w:r>
      <w:r>
        <w:rPr>
          <w:i/>
          <w:iCs/>
        </w:rPr>
        <w:t>P</w:t>
      </w:r>
      <w:r>
        <w:t>2</w:t>
      </w:r>
      <w:r>
        <w:rPr>
          <w:vertAlign w:val="subscript"/>
        </w:rPr>
        <w:t>1</w:t>
      </w:r>
      <w:r>
        <w:rPr>
          <w:i/>
          <w:iCs/>
        </w:rPr>
        <w:t>/c</w:t>
      </w:r>
      <w:r>
        <w:t xml:space="preserve">, then some Sn-O bonds are broken yielding three-coordinated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t>-SnO, then some new Sn-O bonds are created giving rise to the high-pressure four-coordinated phase (</w:t>
      </w:r>
      <w:r>
        <w:rPr>
          <w:color w:val="0000FF"/>
        </w:rPr>
        <w:t xml:space="preserve">Fig. </w:t>
      </w:r>
      <w:r>
        <w:rPr>
          <w:color w:val="0000FF"/>
        </w:rPr>
        <w:t>3</w:t>
      </w:r>
      <w:r>
        <w:rPr>
          <w:color w:val="0000FF"/>
        </w:rPr>
        <w:t>d</w:t>
      </w:r>
      <w:r>
        <w:t xml:space="preserve">). </w:t>
      </w:r>
    </w:p>
    <w:p>
      <w:pPr>
        <w:pStyle w:val="2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40" w:firstLineChars="100"/>
        <w:jc w:val="both"/>
        <w:textAlignment w:val="auto"/>
        <w:outlineLvl w:val="9"/>
        <w:rPr>
          <w:rFonts w:cs="Times New Roman"/>
          <w:szCs w:val="24"/>
        </w:rPr>
      </w:pPr>
      <w:r>
        <w:t>This transition</w:t>
      </w:r>
      <w:r>
        <w:rPr>
          <w:lang w:eastAsia="zh-CN"/>
        </w:rPr>
        <w:t xml:space="preserve"> reflects the easiest geometrical transformation: </w:t>
      </w:r>
      <w:r>
        <w:t xml:space="preserve">indeed, the extra bond that is formed in the </w:t>
      </w:r>
      <w:r>
        <w:rPr>
          <w:b/>
        </w:rPr>
        <w:t>nia</w:t>
      </w:r>
      <w:r>
        <w:t>-5,5-</w:t>
      </w:r>
      <w:r>
        <w:rPr>
          <w:i/>
          <w:iCs/>
        </w:rPr>
        <w:t>P</w:t>
      </w:r>
      <w:r>
        <w:rPr>
          <w:iCs/>
        </w:rPr>
        <w:t>2</w:t>
      </w:r>
      <w:r>
        <w:rPr>
          <w:vertAlign w:val="subscript"/>
        </w:rPr>
        <w:t>1</w:t>
      </w:r>
      <w:r>
        <w:rPr>
          <w:i/>
          <w:iCs/>
        </w:rPr>
        <w:t>/c</w:t>
      </w:r>
      <w:r>
        <w:rPr>
          <w:b/>
        </w:rPr>
        <w:t xml:space="preserve"> </w:t>
      </w:r>
      <w:r>
        <w:t xml:space="preserve">transition state corresponds to one of the four weak bonds of the high-pressure </w:t>
      </w:r>
      <w:r>
        <w:rPr>
          <w:rFonts w:hint="eastAsia"/>
          <w:i/>
          <w:iCs/>
          <w:lang w:eastAsia="zh-CN"/>
        </w:rPr>
        <w:t>Pnma</w:t>
      </w:r>
      <w:r>
        <w:rPr>
          <w:lang w:eastAsia="zh-CN"/>
        </w:rPr>
        <w:t>-</w:t>
      </w:r>
      <w:r>
        <w:t>SnO</w:t>
      </w:r>
      <w:r>
        <w:rPr>
          <w:lang w:eastAsia="zh-CN"/>
        </w:rPr>
        <w:t xml:space="preserve">. Thus the transition can also be treated as strengthening one of the four weak bonds and weakening one of the four strong bonds in the 4+4 coordination of tin atoms of the </w:t>
      </w:r>
      <w:r>
        <w:rPr>
          <w:rFonts w:hint="eastAsia"/>
          <w:i/>
          <w:iCs/>
          <w:lang w:eastAsia="zh-CN"/>
        </w:rPr>
        <w:t>Pnma</w:t>
      </w:r>
      <w:r>
        <w:rPr>
          <w:lang w:eastAsia="zh-CN"/>
        </w:rPr>
        <w:t>-</w:t>
      </w:r>
      <w:r>
        <w:t>SnO</w:t>
      </w:r>
      <w:r>
        <w:rPr>
          <w:lang w:eastAsia="zh-CN"/>
        </w:rPr>
        <w:t xml:space="preserve"> phase.</w:t>
      </w:r>
    </w:p>
    <w:p>
      <w:pPr>
        <w:jc w:val="center"/>
      </w:pPr>
      <w:r>
        <w:rPr>
          <w:rFonts w:cs="Times New Roman"/>
          <w:szCs w:val="24"/>
        </w:rPr>
        <w:t>TABLE 1.</w:t>
      </w: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Experimental lattice </w:t>
      </w:r>
      <w:r>
        <w:rPr>
          <w:rFonts w:cs="Times New Roman"/>
          <w:szCs w:val="24"/>
        </w:rPr>
        <w:t xml:space="preserve">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, </w:t>
      </w:r>
      <w:r>
        <w:rPr>
          <w:rFonts w:hint="eastAsia" w:cs="Times New Roman"/>
          <w:i/>
          <w:iCs/>
          <w:szCs w:val="24"/>
        </w:rPr>
        <w:t>b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 xml:space="preserve">O </w:t>
      </w: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ADDIN EN.CITE &lt;EndNote&gt;&lt;Cite&gt;&lt;Author&gt;Wang&lt;/Author&gt;&lt;Year&gt;2017&lt;/Year&gt;&lt;RecNum&gt;268&lt;/RecNum&gt;&lt;DisplayText&gt;[3]&lt;/DisplayText&gt;&lt;record&gt;&lt;rec-number&gt;268&lt;/rec-number&gt;&lt;foreign-keys&gt;&lt;key app="EN" db-id="vf0sdrefmtrw5tedfx2vs905r5w9axsesxat" timestamp="1573443713"&gt;268&lt;/key&gt;&lt;/foreign-keys&gt;&lt;ref-type name="Journal Article"&gt;17&lt;/ref-type&gt;&lt;contributors&gt;&lt;authors&gt;&lt;author&gt;Wang, Junjie&lt;/author&gt;&lt;author&gt;Hanzawa, Kota&lt;/author&gt;&lt;author&gt;Hiramatsu, Hidenori&lt;/author&gt;&lt;author&gt;Kim, Junghwan&lt;/author&gt;&lt;author&gt;Umezawa, Naoto&lt;/author&gt;&lt;author&gt;Iwanaka, Koki&lt;/author&gt;&lt;author&gt;Tada, Tomofumi&lt;/author&gt;&lt;author&gt;Hosono, Hideo&lt;/author&gt;&lt;/authors&gt;&lt;/contributors&gt;&lt;titles&gt;&lt;title&gt;Exploration of stable strontium phosphide-based electrides: Theoretical structure prediction and experimental validation&lt;/title&gt;&lt;secondary-title&gt;Journal of the American Chemical Society&lt;/secondary-title&gt;&lt;/titles&gt;&lt;periodical&gt;&lt;full-title&gt;Journal of the American Chemical Society&lt;/full-title&gt;&lt;/periodical&gt;&lt;pages&gt;15668-15680&lt;/pages&gt;&lt;volume&gt;139&lt;/volume&gt;&lt;number&gt;44&lt;/number&gt;&lt;dates&gt;&lt;year&gt;2017&lt;/year&gt;&lt;pub-dates&gt;&lt;date&gt;Nov 8&lt;/date&gt;&lt;/pub-dates&gt;&lt;/dates&gt;&lt;isbn&gt;0002-7863&lt;/isbn&gt;&lt;accession-num&gt;WOS:000415028200029&lt;/accession-num&gt;&lt;urls&gt;&lt;related-urls&gt;&lt;url&gt;&amp;lt;Go to ISI&amp;gt;://WOS:000415028200029&lt;/url&gt;&lt;url&gt;https://pubs.acs.org/doi/pdf/10.1021/jacs.7b06279&lt;/url&gt;&lt;/related-urls&gt;&lt;/urls&gt;&lt;electronic-resource-num&gt;10.1021/jacs.7b06279&lt;/electronic-resource-num&gt;&lt;/record&gt;&lt;/Cite&gt;&lt;/EndNote&gt;</w:instrText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szCs w:val="24"/>
        </w:rPr>
        <w:t>[3]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>.</w:t>
      </w:r>
      <w:r>
        <w:t xml:space="preserve"> </w:t>
      </w:r>
    </w:p>
    <w:tbl>
      <w:tblPr>
        <w:tblStyle w:val="8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689"/>
        <w:gridCol w:w="689"/>
        <w:gridCol w:w="689"/>
      </w:tblGrid>
      <w:tr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pressure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a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b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c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4.836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4.796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4.682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4.614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4.558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4.483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4.455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4.439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4.363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4.326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4.264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4.249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12.8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4.241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4.202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4.159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4.127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4.103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4.035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3.975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3.925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3.905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3.867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3.848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3.819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49.5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3.813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50.9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3.475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</w:pPr>
            <w:r>
              <w:rPr>
                <w:rFonts w:hint="eastAsia"/>
              </w:rPr>
              <w:t>3.805</w:t>
            </w:r>
          </w:p>
        </w:tc>
      </w:tr>
    </w:tbl>
    <w:p/>
    <w:p>
      <w:pPr>
        <w:spacing w:line="2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2. Calculated lattice 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ratio and volume of unit cell (in Å</w:t>
      </w: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 xml:space="preserve">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>O at 0 GPa. The values in the parentheses are the percentage changes with respect to the experimental values.</w:t>
      </w:r>
    </w:p>
    <w:tbl>
      <w:tblPr>
        <w:tblStyle w:val="8"/>
        <w:tblW w:w="4863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1535"/>
        <w:gridCol w:w="1535"/>
        <w:gridCol w:w="1534"/>
        <w:gridCol w:w="164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26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2"/>
              </w:rPr>
              <w:t>0</w:t>
            </w: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GPa</w:t>
            </w:r>
          </w:p>
        </w:tc>
        <w:tc>
          <w:tcPr>
            <w:tcW w:w="925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1" w:type="pc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926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925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a/c</w:t>
            </w:r>
          </w:p>
        </w:tc>
        <w:tc>
          <w:tcPr>
            <w:tcW w:w="991" w:type="pct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Volume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PBE</w:t>
            </w:r>
          </w:p>
        </w:tc>
        <w:tc>
          <w:tcPr>
            <w:tcW w:w="926" w:type="pct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3.869(1.82)</w:t>
            </w:r>
          </w:p>
        </w:tc>
        <w:tc>
          <w:tcPr>
            <w:tcW w:w="926" w:type="pct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5.067(4.78)</w:t>
            </w:r>
          </w:p>
        </w:tc>
        <w:tc>
          <w:tcPr>
            <w:tcW w:w="925" w:type="pct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0.764(-2.83)</w:t>
            </w:r>
          </w:p>
        </w:tc>
        <w:tc>
          <w:tcPr>
            <w:tcW w:w="991" w:type="pct"/>
            <w:tcBorders>
              <w:top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75.857(8.63)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DFT-D2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3.843(1.14)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4.833(-0.05)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0.795(1.19)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71.394(2.24)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DFT-D3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3.853(1.38)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4.843(0.15)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0.795(1.24)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71.885(2.94)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DFT-D3-BJ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3.841(1.08)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4.763(-1.52)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0.806(2.63)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70.261(0.61)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DFT-TS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3.861(1.60)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4.781(-1.14)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0.808(2.77)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71.261(2.05)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DFT-TS-SCS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3.869(1.82)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4.839(0.06)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0.8(1.76)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72.44(3.73)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HSE06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3.802(0.05)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5.018(3.76)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0.758(-3.58)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72.523(3.85)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HSE06-MBD-212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3.785(-0.39)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4.744(-1.89)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0.798(1.53)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67.971(-2.66)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HSE06-TS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3.786(-0.37)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4.756(-1.66)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0.796(1.32)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68.171(-2.38)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HSE06-TS-SCS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3.803(0.08)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4.806(-0.62)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0.791(0.70)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69.503(-0.47)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MBD-202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3.841(1.08)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4.773(-1.31)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0.805(2.42)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70.42(0.84)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MBD-212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3.846(1.21)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4.773(-1.30)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0.806(2.54)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70.597(1.10)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optB86b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3.84(1.05)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4.811(-0.51)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0.798(1.57)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70.949(1.60)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revPBE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3.926(3.32)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5.382(11.29)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0.729(-7.17)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82.958(18.80)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rPW86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3.963(4.30)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5.459(12.88)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0.726(-7.60)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85.75(22.80)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  <w:jc w:val="center"/>
        </w:trPr>
        <w:tc>
          <w:tcPr>
            <w:tcW w:w="123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Experiment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3.8</w:t>
            </w:r>
          </w:p>
        </w:tc>
        <w:tc>
          <w:tcPr>
            <w:tcW w:w="926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4.836</w:t>
            </w:r>
          </w:p>
        </w:tc>
        <w:tc>
          <w:tcPr>
            <w:tcW w:w="925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0.786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69.832</w:t>
            </w:r>
          </w:p>
        </w:tc>
      </w:tr>
    </w:tbl>
    <w:p>
      <w:pPr>
        <w:widowControl/>
        <w:jc w:val="left"/>
      </w:pPr>
    </w:p>
    <w:p>
      <w:pPr>
        <w:spacing w:line="2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3. Calculated lattice 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ratio and volume of unit cell (in Å</w:t>
      </w: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 xml:space="preserve">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>O at 10 GPa. The values in the parentheses are the percentage changes with respect to the experimental values.</w:t>
      </w:r>
    </w:p>
    <w:tbl>
      <w:tblPr>
        <w:tblStyle w:val="8"/>
        <w:tblW w:w="80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536"/>
        <w:gridCol w:w="1536"/>
        <w:gridCol w:w="1536"/>
        <w:gridCol w:w="1646"/>
      </w:tblGrid>
      <w:tr>
        <w:trPr>
          <w:trHeight w:val="270" w:hRule="atLeast"/>
          <w:jc w:val="center"/>
        </w:trPr>
        <w:tc>
          <w:tcPr>
            <w:tcW w:w="8011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1</w:t>
            </w:r>
            <w:r>
              <w:t>0 GPa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a/c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volume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PBE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3.749(1.60)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4.371(1.80)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0.858(-0.20)</w:t>
            </w:r>
          </w:p>
        </w:tc>
        <w:tc>
          <w:tcPr>
            <w:tcW w:w="16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61.446(5.08)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3.756(1.77)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4.263(-0.70)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0.881(2.48)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60.138(2.84)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3.721(0.82)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4.33(0.85)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0.859(-0.03)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59.948(2.52)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DFT-D3-BJ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3.716(0.69)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4.316(0.52)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0.861(0.17)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59.596(1.92)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3.711(0.56)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4.36(1.55)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0.851(-0.97)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60.052(2.70)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3.747(1.52)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4.276(-0.41)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0.876(1.94)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60.024(2.65)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3.695(0.13)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4.374(1.87)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0.845(-1.71)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59.728(2.14)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3.696(0.14)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4.368(1.73)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0.846(-1.56)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59.661(2.03)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3.657(-0.92)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4.373(1.85)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0.836(-2.72)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58.465(-0.02)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3.685(-0.16)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4.273(-0.48)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0.862(0.32)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58.013(-0.79)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MBD-202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3.72(0.79)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4.319(0.61)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0.861(0.18)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59.764(2.20)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3.725(0.93)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4.297(0.09)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0.867(0.84)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59.619(1.96)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optB86b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3.73(1.07)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4.304(0.24)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0.867(0.83)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59.88(2.40)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revPBE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3.802(3.03)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4.443(3.48)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0.856(-0.44)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64.235(9.85)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rPW86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3.859(4.55)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4.505(4.94)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0.857(-0.36)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67.079(14.71)</w:t>
            </w:r>
          </w:p>
        </w:tc>
      </w:tr>
      <w:tr>
        <w:trPr>
          <w:trHeight w:val="270" w:hRule="atLeast"/>
          <w:jc w:val="center"/>
        </w:trPr>
        <w:tc>
          <w:tcPr>
            <w:tcW w:w="17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Experiment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3.691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4.293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58.475</w:t>
            </w:r>
          </w:p>
        </w:tc>
      </w:tr>
    </w:tbl>
    <w:p>
      <w:pPr>
        <w:spacing w:line="220" w:lineRule="atLeast"/>
        <w:rPr>
          <w:rFonts w:cs="Times New Roman"/>
          <w:szCs w:val="24"/>
        </w:rPr>
      </w:pPr>
    </w:p>
    <w:p>
      <w:pPr>
        <w:spacing w:line="2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4. Calculated lattice 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ratio and volume of unit cell (in Å</w:t>
      </w: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 xml:space="preserve">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>O at 30 GPa . The values in the parentheses are the percentage changes with respect to the experimental values.</w:t>
      </w:r>
    </w:p>
    <w:tbl>
      <w:tblPr>
        <w:tblStyle w:val="8"/>
        <w:tblW w:w="79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536"/>
        <w:gridCol w:w="1536"/>
        <w:gridCol w:w="1536"/>
        <w:gridCol w:w="1646"/>
      </w:tblGrid>
      <w:tr>
        <w:trPr>
          <w:trHeight w:val="270" w:hRule="atLeast"/>
          <w:jc w:val="center"/>
        </w:trPr>
        <w:tc>
          <w:tcPr>
            <w:tcW w:w="7900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</w:t>
            </w:r>
            <w:r>
              <w:t>0 GP</w:t>
            </w:r>
            <w:r>
              <w:rPr>
                <w:rFonts w:hint="eastAsia"/>
              </w:rPr>
              <w:t>a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a/c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volume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PBE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3.604(1.22)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4.05(1.49)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0.89(-0.27)</w:t>
            </w:r>
          </w:p>
        </w:tc>
        <w:tc>
          <w:tcPr>
            <w:tcW w:w="16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52.596(3.97)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3.615(1.55)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3.969(-0.55)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0.911(2.11)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51.885(2.57)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3.587(0.76)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4.033(1.05)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0.889(-0.29)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51.894(2.58)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DFT-D3-BJ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3.585(0.69)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4.008(0.43)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0.894(0.26)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51.508(1.82)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3.568(0.21)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4.066(1.89)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0.877(-1.65)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51.757(2.31)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3.602(1.17)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4.001(0.24)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0.9(0.93)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51.906(2.61)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3.558(-0.07)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4.07(1.98)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0.874(-2.01)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51.512(1.83)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3.558(-0.07)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4.067(1.89)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0.875(-1.93)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51.473(1.75)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3.523(-1.03)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4.071(2.01)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0.865(-2.99)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50.545(-0.08)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3.557(-0.09)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4.012(0.52)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0.887(-0.60)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50.759(0.34)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MBD-202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3.591(0.87)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4.009(0.44)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0.896(0.43)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51.697(2.19)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3.59(0.82)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4.013(0.54)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0.895(0.28)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51.703(2.21)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optB86b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3.59(0.83)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4.011(0.50)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0.895(0.33)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51.689(2.18)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revPBE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3.646(2.41)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4.076(2.13)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0.895(0.28)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54.187(7.12)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rPW86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3.716(4.37)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4.068(1.93)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0.913(2.39)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56.169(11.03)</w:t>
            </w:r>
          </w:p>
        </w:tc>
      </w:tr>
      <w:tr>
        <w:trPr>
          <w:trHeight w:val="270" w:hRule="atLeast"/>
          <w:jc w:val="center"/>
        </w:trPr>
        <w:tc>
          <w:tcPr>
            <w:tcW w:w="16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Experiment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3.56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3.991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0.892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50.587</w:t>
            </w:r>
          </w:p>
        </w:tc>
      </w:tr>
    </w:tbl>
    <w:p>
      <w:pPr>
        <w:jc w:val="center"/>
      </w:pPr>
    </w:p>
    <w:p>
      <w:pPr>
        <w:spacing w:line="2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5. Calculated lattice 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ratio and volume of unit cell (in Å</w:t>
      </w: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 xml:space="preserve">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>O at 40 GPa. The values in the parentheses are the percentage changes with respect to the experimental values.</w:t>
      </w:r>
    </w:p>
    <w:tbl>
      <w:tblPr>
        <w:tblStyle w:val="8"/>
        <w:tblW w:w="779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536"/>
        <w:gridCol w:w="1426"/>
        <w:gridCol w:w="1536"/>
        <w:gridCol w:w="1646"/>
      </w:tblGrid>
      <w:tr>
        <w:trPr>
          <w:trHeight w:val="270" w:hRule="atLeast"/>
        </w:trPr>
        <w:tc>
          <w:tcPr>
            <w:tcW w:w="7790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</w:t>
            </w:r>
            <w:r>
              <w:t>0 GP</w:t>
            </w:r>
            <w:r>
              <w:rPr>
                <w:rFonts w:hint="eastAsia"/>
              </w:rPr>
              <w:t>a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a/c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volume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PBE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3.56(1.38)</w:t>
            </w:r>
          </w:p>
        </w:tc>
        <w:tc>
          <w:tcPr>
            <w:tcW w:w="14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3.953(1.93)</w:t>
            </w:r>
          </w:p>
        </w:tc>
        <w:tc>
          <w:tcPr>
            <w:tcW w:w="15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0.901(-0.54)</w:t>
            </w:r>
          </w:p>
        </w:tc>
        <w:tc>
          <w:tcPr>
            <w:tcW w:w="16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50.111(4.76)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3.567(1.56)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3.903(0.65)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0.914(0.90)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49.654(3.80)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3.533(0.61)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3.956(2.00)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0.893(-1.37)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49.387(3.24)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DFT-D3-BJ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3.533(0.60)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3.931(1.36)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0.899(-0.75)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49.072(2.58)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3.515(0.09)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3.976(2.52)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0.884(-2.36)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49.132(2.71)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DFT-TS-SCS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3.55(1.07)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3.925(1.21)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0.904(-0.14)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49.454(3.38)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3.509(-0.08)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3.981(2.64)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0.882(-2.65)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49.025(2.49)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3.511(-0.02)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3.978(2.57)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0.883(-2.53)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49.04(2.52)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3.48(-0.91)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3.983(2.69)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0.874(-3.51)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48.234(0.83)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HSE06-TS-SCS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3.51(-0.07)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3.938(1.54)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0.891(-1.59)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48.506(1.40)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MBD-202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3.538(0.75)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3.933(1.41)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0.9(-0.66)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49.236(2.93)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MBD-212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3.537(0.72)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3.935(1.47)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0.899(-0.73)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t>49.24(2.94)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optB86b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3.548(1.04)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3.92(1.08)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0.905(-0.05)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49.36(3.19)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revPBE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3.603(2.60)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3.973(2.43)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0.907(0.16)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51.579(7.83)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rPW86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3.649(3.90)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3.986(2.79)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0.915(1.08)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53.075(10.95)</w:t>
            </w:r>
          </w:p>
        </w:tc>
      </w:tr>
      <w:tr>
        <w:trPr>
          <w:trHeight w:val="270" w:hRule="atLeast"/>
        </w:trPr>
        <w:tc>
          <w:tcPr>
            <w:tcW w:w="16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Experiment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3.512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3.878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0.906</w:t>
            </w:r>
          </w:p>
        </w:tc>
        <w:tc>
          <w:tcPr>
            <w:tcW w:w="16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47.835</w:t>
            </w:r>
          </w:p>
        </w:tc>
      </w:tr>
    </w:tbl>
    <w:p/>
    <w:p>
      <w:pPr>
        <w:spacing w:line="2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6. Calculated lattice parameters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ratio and volume of unit cell (in Å</w:t>
      </w: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 xml:space="preserve">) </w:t>
      </w:r>
      <w:r>
        <w:rPr>
          <w:rFonts w:hint="eastAsia" w:cs="Times New Roman"/>
          <w:szCs w:val="24"/>
        </w:rPr>
        <w:t>of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α-</w:t>
      </w:r>
      <w:r>
        <w:rPr>
          <w:rFonts w:cs="Times New Roman"/>
          <w:szCs w:val="24"/>
        </w:rPr>
        <w:t>S</w:t>
      </w:r>
      <w:r>
        <w:rPr>
          <w:rFonts w:hint="eastAsia" w:cs="Times New Roman"/>
          <w:szCs w:val="24"/>
        </w:rPr>
        <w:t>n</w:t>
      </w:r>
      <w:r>
        <w:rPr>
          <w:rFonts w:cs="Times New Roman"/>
          <w:szCs w:val="24"/>
        </w:rPr>
        <w:t>O at 50 GPa. The values in the parentheses are the percentage changes with respect to the experimental values.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1590"/>
        <w:gridCol w:w="1502"/>
        <w:gridCol w:w="1590"/>
        <w:gridCol w:w="1633"/>
      </w:tblGrid>
      <w:tr>
        <w:trPr>
          <w:trHeight w:val="271" w:hRule="atLeast"/>
          <w:jc w:val="center"/>
        </w:trPr>
        <w:tc>
          <w:tcPr>
            <w:tcW w:w="5000" w:type="pct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50 GPa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a</w:t>
            </w:r>
          </w:p>
        </w:tc>
        <w:tc>
          <w:tcPr>
            <w:tcW w:w="881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c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a/c</w:t>
            </w:r>
          </w:p>
        </w:tc>
        <w:tc>
          <w:tcPr>
            <w:tcW w:w="95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volume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PBE</w:t>
            </w:r>
          </w:p>
        </w:tc>
        <w:tc>
          <w:tcPr>
            <w:tcW w:w="93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3.513(1.01)</w:t>
            </w:r>
          </w:p>
        </w:tc>
        <w:tc>
          <w:tcPr>
            <w:tcW w:w="881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3.897(2.30)</w:t>
            </w:r>
          </w:p>
        </w:tc>
        <w:tc>
          <w:tcPr>
            <w:tcW w:w="93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0.901(-1.26)</w:t>
            </w:r>
          </w:p>
        </w:tc>
        <w:tc>
          <w:tcPr>
            <w:tcW w:w="95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48.078(4.37)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DFT-D2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3.513(1.01)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3.863(1.43)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0.909(-0.41)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47.672(3.49)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DFT-D3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3.496(0.52)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3.892(2.17)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0.898(-1.62)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47.552(3.23)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DFT-D3-BJ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3.494(0.47)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3.87(1.60)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0.903(-1.12)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47.24(2.55)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DFT-TS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3.482(0.13)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3.899(2.35)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0.893(-2.17)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47.268(2.61)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DFT-TS-SCS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3.507(0.85)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3.869(1.58)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0.906(-0.72)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47.589(3.31)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HSE06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3.47(-0.23)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3.924(3.01)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0.884(-3.14)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47.238(2.54)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HSE06-MBD-212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3.472(-0.17)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3.922(2.97)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0.885(-3.05)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47.269(2.61)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HSE06-TS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3.446(-0.90)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3.916(2.82)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0.88(-3.62)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46.512(0.97)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HSE06-TS-SCS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3.47(-0.23)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3.885(2.00)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0.893(-2.18)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46.773(1.54)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MBD-202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3.498(0.58)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3.874(1.70)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0.903(-1.10)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47.397(2.89)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MBD-212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3.498(0.59)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3.873(1.69)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0.903(-1.08)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47.399(2.89)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optB86b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3.506(0.81)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3.859(1.33)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0.908(-0.51)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47.435(2.97)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revPBE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3.559(2.34)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3.896(2.28)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0.914(0.06)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49.35(7.13)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rPW86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3.597(3.43)</w:t>
            </w:r>
          </w:p>
        </w:tc>
        <w:tc>
          <w:tcPr>
            <w:tcW w:w="881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3.916(2.81)</w:t>
            </w:r>
          </w:p>
        </w:tc>
        <w:tc>
          <w:tcPr>
            <w:tcW w:w="933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0.918(0.60)</w:t>
            </w:r>
          </w:p>
        </w:tc>
        <w:tc>
          <w:tcPr>
            <w:tcW w:w="958" w:type="pct"/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50.661(9.98)</w:t>
            </w:r>
          </w:p>
        </w:tc>
      </w:tr>
      <w:tr>
        <w:trPr>
          <w:trHeight w:val="271" w:hRule="atLeast"/>
          <w:jc w:val="center"/>
        </w:trPr>
        <w:tc>
          <w:tcPr>
            <w:tcW w:w="129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Experiment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3.478</w:t>
            </w:r>
          </w:p>
        </w:tc>
        <w:tc>
          <w:tcPr>
            <w:tcW w:w="88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3.809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0.913</w:t>
            </w:r>
          </w:p>
        </w:tc>
        <w:tc>
          <w:tcPr>
            <w:tcW w:w="95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autoSpaceDE w:val="0"/>
              <w:autoSpaceDN w:val="0"/>
              <w:spacing w:line="220" w:lineRule="atLeast"/>
              <w:jc w:val="center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46.066</w:t>
            </w:r>
          </w:p>
        </w:tc>
      </w:tr>
    </w:tbl>
    <w:p/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T</w:t>
      </w:r>
      <w:r>
        <w:t xml:space="preserve">ABLE 7. Calculated lattice parameters for the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relaxed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β</m:t>
        </m:r>
      </m:oMath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SnO. </w:t>
      </w:r>
    </w:p>
    <w:tbl>
      <w:tblPr>
        <w:tblStyle w:val="20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666"/>
        <w:gridCol w:w="666"/>
        <w:gridCol w:w="666"/>
        <w:gridCol w:w="866"/>
        <w:gridCol w:w="416"/>
        <w:gridCol w:w="416"/>
        <w:gridCol w:w="961"/>
        <w:gridCol w:w="2682"/>
      </w:tblGrid>
      <w:tr>
        <w:trPr>
          <w:trHeight w:val="435" w:hRule="atLeast"/>
        </w:trPr>
        <w:tc>
          <w:tcPr>
            <w:tcW w:w="460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Method</w:t>
            </w:r>
          </w:p>
        </w:tc>
        <w:tc>
          <w:tcPr>
            <w:tcW w:w="369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a(</w:t>
            </w:r>
            <w:r>
              <w:rPr>
                <w:rFonts w:cs="Times New Roman"/>
                <w:szCs w:val="24"/>
              </w:rPr>
              <w:t>Å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69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b(</w:t>
            </w:r>
            <w:r>
              <w:rPr>
                <w:rFonts w:cs="Times New Roman"/>
                <w:szCs w:val="24"/>
              </w:rPr>
              <w:t>Å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69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cs="Times New Roman"/>
                <w:szCs w:val="24"/>
              </w:rPr>
              <w:t>Å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90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宋体" w:cs="Times New Roman"/>
                    <w:color w:val="000000"/>
                    <w:kern w:val="0"/>
                    <w:sz w:val="20"/>
                    <w:szCs w:val="20"/>
                  </w:rPr>
                  <m:t>α</m:t>
                </m:r>
              </m:oMath>
            </m:oMathPara>
          </w:p>
        </w:tc>
        <w:tc>
          <w:tcPr>
            <w:tcW w:w="344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β</m:t>
                </m:r>
              </m:oMath>
            </m:oMathPara>
          </w:p>
        </w:tc>
        <w:tc>
          <w:tcPr>
            <w:tcW w:w="344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kern w:val="0"/>
                    <w:sz w:val="20"/>
                    <w:szCs w:val="20"/>
                  </w:rPr>
                  <m:t>γ</m:t>
                </m:r>
              </m:oMath>
            </m:oMathPara>
          </w:p>
        </w:tc>
        <w:tc>
          <w:tcPr>
            <w:tcW w:w="324" w:type="pc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Pressure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GPa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30" w:type="pct"/>
            <w:tcBorders>
              <w:top w:val="single" w:color="auto" w:sz="12" w:space="0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Atomic coordinates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HSE06</w:t>
            </w:r>
          </w:p>
        </w:tc>
        <w:tc>
          <w:tcPr>
            <w:tcW w:w="369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4.916</w:t>
            </w:r>
          </w:p>
        </w:tc>
        <w:tc>
          <w:tcPr>
            <w:tcW w:w="369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5.577</w:t>
            </w:r>
          </w:p>
        </w:tc>
        <w:tc>
          <w:tcPr>
            <w:tcW w:w="369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5.828</w:t>
            </w:r>
          </w:p>
        </w:tc>
        <w:tc>
          <w:tcPr>
            <w:tcW w:w="390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101.394</w:t>
            </w:r>
          </w:p>
        </w:tc>
        <w:tc>
          <w:tcPr>
            <w:tcW w:w="344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30" w:type="pct"/>
            <w:tcBorders>
              <w:top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Sn(0.4949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0.2438, 0.2159)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O(0.1850, 0.1032, 0.3897)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4.849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5.519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5.950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103.560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Sn(0.5021, 0.2523, 0.2234)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O(0.1794, 0.1146, 0.3919)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4.739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5.449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5.933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104.159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Sn(0.5090, 0.2572, 0.2256)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O(0.1785, 0.1196, 0.3931)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4.647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5.406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5.916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104.578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Sn(0.5151, 0.2605, 0.2271)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O(0.1779, 0.1233, 0.3939)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4.582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5.369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5.897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104.836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Sn(0.5199, 0.2630, 0.2281)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O(0.1786, 0.1253, 0.3950)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4.514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5.347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5.884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105.119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Sn(0.5248, 0.2648, 0.2290)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O(0.1788, 0.1272, 0.3958)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4.453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5.329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5.871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105.333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Sn(0.5295, 0.2663, 0.2297)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O(0.1801, 0.1285, 0.3970)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4.394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5.316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5.861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105.565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Sn(0.5344, 0.2674, 0.2303)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O(0.1815, 0.1296, 0.3982)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4.329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5.314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5.858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105.849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Sn(0.5397, 0.2683, 0.2308)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O(0.1835, 0.1305, 0.3998)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4.269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5.311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5.855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106.134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Sn(0.5447, 0.2690, 0.2314)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O(0.1853, 0.1313, 0.4012)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4.205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5.318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5.855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106.475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Sn(0.5502, 0.2695, 0.2320)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O(0.1876, 0.1319, 0.4028)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4.125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5.332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5.866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106.925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Sn(0.5573, 0.2698, 0.2324)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O(0.1911, 0.1323, 0.4049)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4.083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5.329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5.856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107.044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Sn(0.5613, 0.2704, 0.2328)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O(0.1913, 0.1330, 0.4050)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4.004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5.345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5.873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107.422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Sn(0.5696, 0.2704, 0.2321)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O(0.1965, 0.1336, 0.4076)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3.951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5.349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5.876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107.645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Sn(0.5756, 0.2706, 0.2321)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O(0.1989, 0.1342, 0.4088)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3.899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5.357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5.881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107.845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Sn(0.5818, 0.2706, 0.2320)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O(0.2008, 0.1350, 0.4097)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3.853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5.364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5.884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108.061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Sn(0.5875, 0.2706, 0.2322)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O(0.2024, 0.1357, 0.4105)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3.805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5.376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5.888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108.378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Sn(0.5938, 0.2705, 0.2329)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O(0.2038, 0.1364, 0.4114)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3.768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5.376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5.889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108.477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Sn(0.5994, 0.2707, 0.2325)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O(0.2057, 0.1370, 0.4120)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3.710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5.402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5.903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108.998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Sn(0.6073, 0.2704, 0.2341)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O(0.2068, 0.1378, 0.4133)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3.680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5.406</w:t>
            </w:r>
          </w:p>
        </w:tc>
        <w:tc>
          <w:tcPr>
            <w:tcW w:w="369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5.902</w:t>
            </w:r>
          </w:p>
        </w:tc>
        <w:tc>
          <w:tcPr>
            <w:tcW w:w="39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109.196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Sn(0.6120, 0.2705, 0.2347)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O(0.2077, 0.1382, 0.4139)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60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DFT-D3-BJ</w:t>
            </w:r>
          </w:p>
        </w:tc>
        <w:tc>
          <w:tcPr>
            <w:tcW w:w="369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3.672</w:t>
            </w:r>
          </w:p>
        </w:tc>
        <w:tc>
          <w:tcPr>
            <w:tcW w:w="369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5.385</w:t>
            </w:r>
          </w:p>
        </w:tc>
        <w:tc>
          <w:tcPr>
            <w:tcW w:w="369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5.884</w:t>
            </w:r>
          </w:p>
        </w:tc>
        <w:tc>
          <w:tcPr>
            <w:tcW w:w="390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109.000</w:t>
            </w:r>
          </w:p>
        </w:tc>
        <w:tc>
          <w:tcPr>
            <w:tcW w:w="344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44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24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030" w:type="pct"/>
            <w:tcBorders>
              <w:bottom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Sn(0.6144, 0.2709, 0.2337)</w:t>
            </w:r>
          </w:p>
          <w:p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O(0.2092, 0.1385, 0.4139)</w:t>
            </w:r>
          </w:p>
        </w:tc>
      </w:tr>
    </w:tbl>
    <w:p/>
    <w:p>
      <w:pPr>
        <w:jc w:val="center"/>
      </w:pPr>
      <w:r>
        <w:rPr>
          <w:rFonts w:hint="eastAsia"/>
        </w:rPr>
        <w:t>T</w:t>
      </w:r>
      <w:r>
        <w:t xml:space="preserve">ABLE 8. Calculated Sn-O bond for the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relaxed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α</m:t>
        </m:r>
      </m:oMath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SnO</w:t>
      </w:r>
    </w:p>
    <w:tbl>
      <w:tblPr>
        <w:tblStyle w:val="8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6"/>
        <w:gridCol w:w="2991"/>
      </w:tblGrid>
      <w:tr>
        <w:trPr>
          <w:trHeight w:val="285" w:hRule="atLeast"/>
          <w:jc w:val="center"/>
        </w:trPr>
        <w:tc>
          <w:tcPr>
            <w:tcW w:w="4295" w:type="dxa"/>
            <w:gridSpan w:val="2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α</m:t>
              </m:r>
            </m:oMath>
            <w:r>
              <w:rPr>
                <w:rFonts w:cs="Times New Roman"/>
              </w:rPr>
              <w:t>-</w:t>
            </w: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SnO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Pressure (GPa)</w:t>
            </w:r>
          </w:p>
        </w:tc>
        <w:tc>
          <w:tcPr>
            <w:tcW w:w="299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shortest Sn-O bond (</w:t>
            </w:r>
            <w:r>
              <w:rPr>
                <w:rFonts w:cs="Times New Roman"/>
              </w:rPr>
              <w:t>Å</w:t>
            </w: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2.24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2.20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2.16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2.14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2.12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2.10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2.07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2.01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299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299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2.00</w:t>
            </w:r>
          </w:p>
        </w:tc>
      </w:tr>
    </w:tbl>
    <w:p/>
    <w:p>
      <w:pPr>
        <w:jc w:val="center"/>
      </w:pPr>
      <w:r>
        <w:rPr>
          <w:rFonts w:hint="eastAsia"/>
        </w:rPr>
        <w:t>T</w:t>
      </w:r>
      <w:r>
        <w:t xml:space="preserve">ABLE 8. Calculated top 6 shortest Sn-O bond for the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relaxed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SnO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6"/>
        <w:gridCol w:w="734"/>
        <w:gridCol w:w="734"/>
        <w:gridCol w:w="734"/>
        <w:gridCol w:w="734"/>
        <w:gridCol w:w="734"/>
        <w:gridCol w:w="735"/>
      </w:tblGrid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4405" w:type="dxa"/>
            <w:gridSpan w:val="6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β</m:t>
              </m:r>
            </m:oMath>
            <w:r>
              <w:rPr>
                <w:rFonts w:cs="Times New Roman"/>
              </w:rPr>
              <w:t>-</w:t>
            </w: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SnO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Pressure (GPa)</w:t>
            </w:r>
          </w:p>
        </w:tc>
        <w:tc>
          <w:tcPr>
            <w:tcW w:w="4405" w:type="dxa"/>
            <w:gridSpan w:val="6"/>
            <w:tcBorders>
              <w:bottom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top 6 shortest Sn-O bonds (</w:t>
            </w:r>
            <w:r>
              <w:rPr>
                <w:rFonts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Å</w:t>
            </w: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4.42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3.57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3.81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3.61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2.97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3.55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2.63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3.58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2.46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3.59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4.32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4.26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2.23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4.20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2.21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4.16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4.12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2.19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4.08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4.05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2.04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4.03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4.00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3.97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3.95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2.01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734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73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3.93</w:t>
            </w:r>
          </w:p>
        </w:tc>
      </w:tr>
    </w:tbl>
    <w:p/>
    <w:p>
      <w:pPr>
        <w:jc w:val="center"/>
      </w:pPr>
      <w:r>
        <w:rPr>
          <w:rFonts w:hint="eastAsia"/>
        </w:rPr>
        <w:t>T</w:t>
      </w:r>
      <w:r>
        <w:t xml:space="preserve">ABLE 9. Calculated top 6 shortest Sn-O bond for the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relaxed</w:t>
      </w:r>
      <w:r>
        <w:t xml:space="preserve"> </w:t>
      </w:r>
      <w:r>
        <w:rPr>
          <w:i/>
          <w:iCs/>
        </w:rPr>
        <w:t>Pnma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SnO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6"/>
        <w:gridCol w:w="613"/>
        <w:gridCol w:w="613"/>
        <w:gridCol w:w="613"/>
        <w:gridCol w:w="613"/>
        <w:gridCol w:w="613"/>
        <w:gridCol w:w="613"/>
        <w:gridCol w:w="613"/>
        <w:gridCol w:w="618"/>
      </w:tblGrid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jc w:val="center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9" w:type="dxa"/>
            <w:gridSpan w:val="8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i/>
                <w:iCs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Pnma</w:t>
            </w: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-SnO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tcBorders>
              <w:bottom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Pressure (GPa)</w:t>
            </w:r>
          </w:p>
        </w:tc>
        <w:tc>
          <w:tcPr>
            <w:tcW w:w="4909" w:type="dxa"/>
            <w:gridSpan w:val="8"/>
            <w:tcBorders>
              <w:bottom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top 8 shortest Sn-O bonds (Å)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2.47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2.47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3.69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3.59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3.40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3.69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2.37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2.37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3.40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3.24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3.40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2.31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2.31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3.24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3.09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3.24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3.13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2.96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3.02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3.13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2.98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3.04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2.21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2.06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2.83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2.91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2.92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2.16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2.88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2.86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2.84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2.03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2.84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2.81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2.13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2.82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2.75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2.81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2.75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2.79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2.11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2.58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2.78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2.70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140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2.10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2.56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2.77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2.68</w:t>
            </w:r>
          </w:p>
        </w:tc>
      </w:tr>
      <w:tr>
        <w:trPr>
          <w:trHeight w:val="285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1.99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2.66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2.54</w:t>
            </w:r>
          </w:p>
        </w:tc>
        <w:tc>
          <w:tcPr>
            <w:tcW w:w="613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2.75</w:t>
            </w:r>
          </w:p>
        </w:tc>
        <w:tc>
          <w:tcPr>
            <w:tcW w:w="618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bottom"/>
              <w:rPr>
                <w:rFonts w:eastAsia="等线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等线" w:cs="Times New Roman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2.66</w:t>
            </w:r>
          </w:p>
        </w:tc>
      </w:tr>
    </w:tbl>
    <w:p/>
    <w:p>
      <w:r>
        <w:drawing>
          <wp:inline distT="0" distB="0" distL="114300" distR="114300">
            <wp:extent cx="5274310" cy="3766820"/>
            <wp:effectExtent l="0" t="0" r="8890" b="17780"/>
            <wp:docPr id="15" name="图片 15" descr="/Users/likun/Desktop/Sn-O/dir-alpha/10_error_GPa.png10_error_G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/Users/likun/Desktop/Sn-O/dir-alpha/10_error_GPa.png10_error_GPa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center"/>
      </w:pPr>
      <w:r>
        <w:t xml:space="preserve">Fig. 1 Percentage errors of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</w:t>
      </w:r>
      <w:r>
        <w:rPr>
          <w:rFonts w:cs="Times New Roman"/>
          <w:i/>
          <w:iCs/>
          <w:szCs w:val="24"/>
        </w:rPr>
        <w:t xml:space="preserve"> a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ratio and volume of the unit cell</w:t>
      </w:r>
      <w:r>
        <w:t xml:space="preserve"> </w:t>
      </w:r>
      <w:r>
        <w:rPr>
          <w:rFonts w:cs="Times New Roman"/>
          <w:szCs w:val="24"/>
        </w:rPr>
        <w:t>of α-SnO</w:t>
      </w:r>
      <w:r>
        <w:t xml:space="preserve"> with respect to the experimental values at 10 GPa.</w:t>
      </w:r>
    </w:p>
    <w:p>
      <w:r>
        <w:drawing>
          <wp:inline distT="0" distB="0" distL="114300" distR="114300">
            <wp:extent cx="5274310" cy="3766820"/>
            <wp:effectExtent l="0" t="0" r="8890" b="17780"/>
            <wp:docPr id="22" name="图片 22" descr="/Users/likun/Desktop/Sn-O/dir-alpha/20_error_GPa.png20_error_G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/Users/likun/Desktop/Sn-O/dir-alpha/20_error_GPa.png20_error_GPa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center"/>
        <w:rPr>
          <w:rFonts w:cs="Times New Roman"/>
          <w:szCs w:val="24"/>
        </w:rPr>
      </w:pPr>
      <w:r>
        <w:t xml:space="preserve">Fig. 2 Percentage errors of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>/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ratio and volume of the unit cell</w:t>
      </w:r>
      <w:r>
        <w:t xml:space="preserve"> </w:t>
      </w:r>
      <w:r>
        <w:rPr>
          <w:rFonts w:cs="Times New Roman"/>
          <w:szCs w:val="24"/>
        </w:rPr>
        <w:t>of α-SnO</w:t>
      </w:r>
      <w:r>
        <w:t xml:space="preserve"> with respect to the experimental values at 20 GPa</w:t>
      </w:r>
    </w:p>
    <w:p>
      <w:r>
        <w:drawing>
          <wp:inline distT="0" distB="0" distL="114300" distR="114300">
            <wp:extent cx="5274310" cy="3766820"/>
            <wp:effectExtent l="0" t="0" r="8890" b="17780"/>
            <wp:docPr id="24" name="图片 24" descr="/Users/likun/Desktop/Sn-O/dir-alpha/30_error_GPa.png30_error_G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/Users/likun/Desktop/Sn-O/dir-alpha/30_error_GPa.png30_error_GPa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beforeAutospacing="1" w:after="200"/>
        <w:jc w:val="center"/>
        <w:rPr>
          <w:rFonts w:cs="Times New Roman"/>
          <w:szCs w:val="24"/>
        </w:rPr>
      </w:pPr>
      <w:r>
        <w:t xml:space="preserve">Fig. 3 Percentage </w:t>
      </w:r>
      <w:r>
        <w:rPr>
          <w:rFonts w:eastAsia="宋体" w:cs="Times New Roman"/>
          <w:szCs w:val="21"/>
          <w:lang w:bidi="ar"/>
        </w:rPr>
        <w:t>errors</w:t>
      </w:r>
      <w:r>
        <w:t xml:space="preserve"> of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a</w:t>
      </w:r>
      <w:r>
        <w:rPr>
          <w:rFonts w:eastAsia="微软雅黑" w:cs="Times New Roman"/>
          <w:kern w:val="0"/>
          <w:sz w:val="24"/>
          <w:szCs w:val="24"/>
          <w:lang w:bidi="ar"/>
        </w:rPr>
        <w:t>/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c</w:t>
      </w:r>
      <w:r>
        <w:rPr>
          <w:rFonts w:cs="Times New Roman"/>
          <w:szCs w:val="24"/>
        </w:rPr>
        <w:t xml:space="preserve"> ratio and volume of the unit cell</w:t>
      </w:r>
      <w:r>
        <w:t xml:space="preserve"> </w:t>
      </w:r>
      <w:r>
        <w:rPr>
          <w:rFonts w:cs="Times New Roman"/>
          <w:szCs w:val="24"/>
        </w:rPr>
        <w:t>of α-SnO</w:t>
      </w:r>
      <w:r>
        <w:t xml:space="preserve"> with respect to the experimental values at 30 GPa</w:t>
      </w:r>
    </w:p>
    <w:p/>
    <w:p>
      <w:r>
        <w:drawing>
          <wp:inline distT="0" distB="0" distL="114300" distR="114300">
            <wp:extent cx="5274310" cy="3766820"/>
            <wp:effectExtent l="0" t="0" r="8890" b="17780"/>
            <wp:docPr id="26" name="图片 26" descr="/Users/likun/Desktop/Sn-O/dir-alpha/40_error_GPa.png40_error_G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/Users/likun/Desktop/Sn-O/dir-alpha/40_error_GPa.png40_error_GPa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beforeAutospacing="1" w:after="200"/>
        <w:jc w:val="center"/>
        <w:rPr>
          <w:rFonts w:cs="Times New Roman"/>
          <w:szCs w:val="24"/>
        </w:rPr>
      </w:pPr>
      <w:r>
        <w:t>Fig. 4 Percentage</w:t>
      </w:r>
      <w:r>
        <w:rPr>
          <w:rFonts w:eastAsia="宋体" w:cs="Times New Roman"/>
          <w:szCs w:val="21"/>
          <w:lang w:bidi="ar"/>
        </w:rPr>
        <w:t xml:space="preserve"> errors </w:t>
      </w:r>
      <w:r>
        <w:t xml:space="preserve">of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a</w:t>
      </w:r>
      <w:r>
        <w:rPr>
          <w:rFonts w:eastAsia="微软雅黑" w:cs="Times New Roman"/>
          <w:kern w:val="0"/>
          <w:sz w:val="24"/>
          <w:szCs w:val="24"/>
          <w:lang w:bidi="ar"/>
        </w:rPr>
        <w:t>/</w:t>
      </w:r>
      <w:r>
        <w:rPr>
          <w:rFonts w:eastAsia="微软雅黑" w:cs="Times New Roman"/>
          <w:i/>
          <w:kern w:val="0"/>
          <w:sz w:val="24"/>
          <w:szCs w:val="24"/>
          <w:lang w:bidi="ar"/>
        </w:rPr>
        <w:t>c</w:t>
      </w:r>
      <w:r>
        <w:rPr>
          <w:rFonts w:cs="Times New Roman"/>
          <w:szCs w:val="24"/>
        </w:rPr>
        <w:t xml:space="preserve"> ratio and volume of the unit cell</w:t>
      </w:r>
      <w:r>
        <w:t xml:space="preserve"> </w:t>
      </w:r>
      <w:r>
        <w:rPr>
          <w:rFonts w:cs="Times New Roman"/>
          <w:szCs w:val="24"/>
        </w:rPr>
        <w:t>of α-SnO</w:t>
      </w:r>
      <w:r>
        <w:t xml:space="preserve"> with respect to the experimental values at 40 GPa</w:t>
      </w:r>
    </w:p>
    <w:p/>
    <w:p>
      <w:r>
        <w:drawing>
          <wp:inline distT="0" distB="0" distL="114300" distR="114300">
            <wp:extent cx="5274310" cy="3766820"/>
            <wp:effectExtent l="0" t="0" r="8890" b="17780"/>
            <wp:docPr id="2" name="图片 2" descr="/Users/likun/Desktop/Sn-O/dir-alpha/50_error_GPa.png50_error_G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Users/likun/Desktop/Sn-O/dir-alpha/50_error_GPa.png50_error_GPa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beforeAutospacing="1" w:after="200"/>
        <w:jc w:val="center"/>
      </w:pPr>
      <w:r>
        <w:t xml:space="preserve">Fig. 5 Percentage </w:t>
      </w:r>
      <w:r>
        <w:rPr>
          <w:rFonts w:eastAsia="宋体" w:cs="Times New Roman"/>
          <w:szCs w:val="21"/>
          <w:lang w:bidi="ar"/>
        </w:rPr>
        <w:t>errors</w:t>
      </w:r>
      <w:r>
        <w:t xml:space="preserve"> of </w:t>
      </w:r>
      <w:r>
        <w:rPr>
          <w:rFonts w:cs="Times New Roman"/>
          <w:i/>
          <w:iCs/>
          <w:szCs w:val="24"/>
        </w:rPr>
        <w:t>a</w:t>
      </w:r>
      <w:r>
        <w:rPr>
          <w:rFonts w:cs="Times New Roman"/>
          <w:szCs w:val="24"/>
        </w:rPr>
        <w:t xml:space="preserve"> and </w:t>
      </w:r>
      <w:r>
        <w:rPr>
          <w:rFonts w:cs="Times New Roman"/>
          <w:i/>
          <w:iCs/>
          <w:szCs w:val="24"/>
        </w:rPr>
        <w:t>c</w:t>
      </w:r>
      <w:r>
        <w:rPr>
          <w:rFonts w:cs="Times New Roman"/>
          <w:szCs w:val="24"/>
        </w:rPr>
        <w:t xml:space="preserve"> (in Å), </w:t>
      </w:r>
      <w:r>
        <w:rPr>
          <w:rStyle w:val="21"/>
          <w:rFonts w:eastAsia="微软雅黑"/>
          <w:i/>
          <w:sz w:val="24"/>
          <w:szCs w:val="24"/>
          <w:lang w:bidi="ar"/>
        </w:rPr>
        <w:t>a</w:t>
      </w:r>
      <w:r>
        <w:rPr>
          <w:rStyle w:val="21"/>
          <w:rFonts w:eastAsia="微软雅黑"/>
          <w:sz w:val="24"/>
          <w:szCs w:val="24"/>
          <w:lang w:bidi="ar"/>
        </w:rPr>
        <w:t>/</w:t>
      </w:r>
      <w:r>
        <w:rPr>
          <w:rStyle w:val="21"/>
          <w:rFonts w:eastAsia="微软雅黑"/>
          <w:i/>
          <w:sz w:val="24"/>
          <w:szCs w:val="24"/>
          <w:lang w:bidi="ar"/>
        </w:rPr>
        <w:t>c</w:t>
      </w:r>
      <w:r>
        <w:rPr>
          <w:rFonts w:cs="Times New Roman"/>
          <w:szCs w:val="24"/>
        </w:rPr>
        <w:t xml:space="preserve"> ratio and volume of the unit cell</w:t>
      </w:r>
      <w:r>
        <w:t xml:space="preserve"> </w:t>
      </w:r>
      <w:r>
        <w:rPr>
          <w:rFonts w:cs="Times New Roman"/>
          <w:szCs w:val="24"/>
        </w:rPr>
        <w:t>of α-SnO</w:t>
      </w:r>
      <w:r>
        <w:t xml:space="preserve"> with respect to the experimental values at 50 GPa</w:t>
      </w:r>
    </w:p>
    <w:p>
      <w:pPr>
        <w:jc w:val="center"/>
      </w:pPr>
      <w:r>
        <w:drawing>
          <wp:inline distT="0" distB="0" distL="114300" distR="114300">
            <wp:extent cx="2520315" cy="2160270"/>
            <wp:effectExtent l="0" t="0" r="19685" b="24130"/>
            <wp:docPr id="4" name="图片 4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hon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160270"/>
            <wp:effectExtent l="0" t="0" r="19685" b="24130"/>
            <wp:docPr id="29" name="图片 29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phon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160270"/>
            <wp:effectExtent l="0" t="0" r="19685" b="24130"/>
            <wp:docPr id="6" name="图片 6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phon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160270"/>
            <wp:effectExtent l="0" t="0" r="19685" b="24130"/>
            <wp:docPr id="8" name="图片 8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phon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160270"/>
            <wp:effectExtent l="0" t="0" r="19685" b="24130"/>
            <wp:docPr id="14" name="图片 14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phono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160270"/>
            <wp:effectExtent l="0" t="0" r="19685" b="24130"/>
            <wp:docPr id="20" name="图片 20" descr="phon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phono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</w:rPr>
      </w:pPr>
      <w:r>
        <w:t xml:space="preserve">Fig. 6 Calculated </w:t>
      </w:r>
      <w:r>
        <w:rPr>
          <w:rFonts w:cs="Times New Roman"/>
          <w:kern w:val="0"/>
          <w:sz w:val="22"/>
        </w:rPr>
        <w:t xml:space="preserve">phonon band structures of </w:t>
      </w:r>
      <w:r>
        <w:rPr>
          <w:rFonts w:cs="Times New Roman"/>
          <w:i/>
          <w:iCs/>
          <w:kern w:val="0"/>
          <w:sz w:val="22"/>
        </w:rPr>
        <w:t>Pnma</w:t>
      </w:r>
      <w:r>
        <w:rPr>
          <w:rFonts w:hint="eastAsia"/>
        </w:rPr>
        <w:t>-</w:t>
      </w:r>
      <w:r>
        <w:t xml:space="preserve"> and 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>2/</w:t>
      </w:r>
      <w:r>
        <w:rPr>
          <w:rFonts w:cs="Times New Roman"/>
          <w:i/>
          <w:iCs/>
        </w:rPr>
        <w:t>c-</w:t>
      </w:r>
      <w:r>
        <w:rPr>
          <w:rFonts w:cs="Times New Roman"/>
        </w:rPr>
        <w:t>SnO at different GPa</w:t>
      </w: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4780280" cy="3165475"/>
            <wp:effectExtent l="0" t="0" r="20320" b="9525"/>
            <wp:docPr id="3" name="图片 3" descr="图片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5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028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</w:rPr>
      </w:pPr>
      <w:r>
        <w:t xml:space="preserve">Fig. 7 The </w:t>
      </w:r>
      <w:r>
        <w:rPr>
          <w:rFonts w:hint="eastAsia"/>
        </w:rPr>
        <w:t>schematic diagram</w:t>
      </w:r>
      <w:r>
        <w:t xml:space="preserve"> of </w:t>
      </w:r>
      <w:r>
        <w:rPr>
          <w:b/>
        </w:rPr>
        <w:t>sql,</w:t>
      </w:r>
      <w:r>
        <w:t xml:space="preserve"> </w:t>
      </w:r>
      <w:r>
        <w:rPr>
          <w:b/>
        </w:rPr>
        <w:t xml:space="preserve">fes </w:t>
      </w:r>
      <w:r>
        <w:rPr>
          <w:bCs/>
        </w:rPr>
        <w:t>and</w:t>
      </w:r>
      <w:r>
        <w:rPr>
          <w:b/>
        </w:rPr>
        <w:t xml:space="preserve"> sra</w:t>
      </w:r>
      <w:r>
        <w:t xml:space="preserve"> topologies</w:t>
      </w: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  <w:r>
        <w:rPr>
          <w:rFonts w:cs="Times New Roman"/>
        </w:rPr>
        <w:drawing>
          <wp:inline distT="0" distB="0" distL="0" distR="0">
            <wp:extent cx="2519680" cy="25196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0" distR="0">
            <wp:extent cx="2519680" cy="25196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  <w:r>
        <w:t xml:space="preserve">Fig. 8 Calculated band structures of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-</w:t>
      </w:r>
      <w:r>
        <w:t>SnO at 0 GPa using functionals DFT-D3-BJ and HSE06.</w:t>
      </w:r>
    </w:p>
    <w:p>
      <w:pPr>
        <w:jc w:val="center"/>
      </w:pPr>
      <w:r>
        <w:drawing>
          <wp:inline distT="0" distB="0" distL="0" distR="0">
            <wp:extent cx="2519680" cy="21596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15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t>Fig. 9 The variation of calculated band gaps as a function of pressure in the range of 0-60 GPa.</w:t>
      </w:r>
    </w:p>
    <w:p>
      <w:pPr>
        <w:jc w:val="center"/>
      </w:pPr>
      <w:r>
        <w:drawing>
          <wp:inline distT="0" distB="0" distL="0" distR="0">
            <wp:extent cx="2519680" cy="21596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19680" cy="21596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848" cy="215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 xml:space="preserve">Fig. 10 </w:t>
      </w:r>
      <w:bookmarkStart w:id="5" w:name="_Hlk7961283"/>
      <w:r>
        <w:t xml:space="preserve">Calculated decomposed band structures of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-</w:t>
      </w:r>
      <w:r>
        <w:t>SnO</w:t>
      </w:r>
      <w:bookmarkEnd w:id="5"/>
      <w:r>
        <w:t>.</w:t>
      </w:r>
    </w:p>
    <w:p>
      <w:pPr>
        <w:jc w:val="center"/>
      </w:pPr>
      <w:r>
        <w:drawing>
          <wp:inline distT="0" distB="0" distL="0" distR="0">
            <wp:extent cx="3336925" cy="15068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44730" cy="1510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Fig. 11 Calculated electron localization function (ELF) of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>
        <w:rPr>
          <w:rFonts w:hint="eastAsia"/>
        </w:rPr>
        <w:t>-</w:t>
      </w:r>
      <w:r>
        <w:t xml:space="preserve">SnO. The value for the isosurface of ELF is 0.65. 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5261610" cy="29959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1740" cy="299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t>Fig. 12 Calculated decomposed band structures of β-SnO. The orbit Sn(</w:t>
      </w:r>
      <w:r>
        <w:rPr>
          <w:i/>
          <w:iCs/>
        </w:rPr>
        <w:t>s</w:t>
      </w:r>
      <w:r>
        <w:t>) is gradually shifted to the high level with the increase of pressure, making less contribution to the valence band than before. Conversely, the orbit Sn(</w:t>
      </w:r>
      <w:r>
        <w:rPr>
          <w:i/>
          <w:iCs/>
        </w:rPr>
        <w:t>p</w:t>
      </w:r>
      <w:r>
        <w:rPr>
          <w:i/>
          <w:iCs/>
          <w:vertAlign w:val="subscript"/>
        </w:rPr>
        <w:t>y</w:t>
      </w:r>
      <w:r>
        <w:t>) is occupied by more electrons below the fermi level, signaling that the electrons are transferred from the orbit Sn(</w:t>
      </w:r>
      <w:r>
        <w:rPr>
          <w:i/>
          <w:iCs/>
        </w:rPr>
        <w:t>s</w:t>
      </w:r>
      <w:r>
        <w:t>) to Sn(</w:t>
      </w:r>
      <w:r>
        <w:rPr>
          <w:i/>
          <w:iCs/>
        </w:rPr>
        <w:t>p</w:t>
      </w:r>
      <w:r>
        <w:rPr>
          <w:i/>
          <w:iCs/>
          <w:vertAlign w:val="subscript"/>
        </w:rPr>
        <w:t>y</w:t>
      </w:r>
      <w:r>
        <w:t>).</w:t>
      </w:r>
    </w:p>
    <w:p>
      <w:pPr>
        <w:jc w:val="center"/>
      </w:pPr>
    </w:p>
    <w:p>
      <w:pPr>
        <w:jc w:val="center"/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31064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1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 xml:space="preserve">Fig. 13 Calculated wave-function character of (a)VB-WΓ and (b)CB-WΓ at 0 GPa and (c)VB-ΓY and (d)CB-ΓY at 13 GPa. </w:t>
      </w:r>
    </w:p>
    <w:p>
      <w:pPr>
        <w:jc w:val="center"/>
      </w:pPr>
      <w:r>
        <w:drawing>
          <wp:inline distT="0" distB="0" distL="114300" distR="114300">
            <wp:extent cx="2520315" cy="2520315"/>
            <wp:effectExtent l="0" t="0" r="19685" b="19685"/>
            <wp:docPr id="30" name="图片 30" descr="DFT-D3-BJ 120 GPa_b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DFT-D3-BJ 120 GPa_band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20315" cy="2520315"/>
            <wp:effectExtent l="0" t="0" r="19685" b="19685"/>
            <wp:docPr id="28" name="图片 28" descr="DFT-D3-BJ 150 GPa_b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DFT-D3-BJ 150 GPa_band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</w:rPr>
      </w:pPr>
      <w:r>
        <w:t xml:space="preserve">Fig. 14. Calculated band structures of </w:t>
      </w:r>
      <w:r>
        <w:rPr>
          <w:i/>
          <w:iCs/>
        </w:rPr>
        <w:t>P</w:t>
      </w:r>
      <w:r>
        <w:t>2/</w:t>
      </w:r>
      <w:r>
        <w:rPr>
          <w:i/>
          <w:iCs/>
        </w:rPr>
        <w:t>c</w:t>
      </w:r>
      <w:r>
        <w:rPr>
          <w:rFonts w:hint="eastAsia"/>
        </w:rPr>
        <w:t>-</w:t>
      </w:r>
      <w:r>
        <w:t xml:space="preserve">SnO at 120 and 150 GPa </w:t>
      </w:r>
    </w:p>
    <w:p>
      <w:pPr>
        <w:jc w:val="center"/>
      </w:pPr>
    </w:p>
    <w:p>
      <w:pPr>
        <w:pStyle w:val="14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t>[1]</w:t>
      </w:r>
      <w:r>
        <w:tab/>
      </w:r>
      <w:r>
        <w:t xml:space="preserve">Blatov VA, Shevchenko AP, Proserpio DM. Applied topological analysis of crystal structures with the program package ToposPro. </w:t>
      </w:r>
      <w:r>
        <w:rPr>
          <w:i/>
        </w:rPr>
        <w:t xml:space="preserve">Crystal Growth &amp; Design </w:t>
      </w:r>
      <w:r>
        <w:t xml:space="preserve">2014, </w:t>
      </w:r>
      <w:r>
        <w:rPr>
          <w:b/>
        </w:rPr>
        <w:t>14</w:t>
      </w:r>
      <w:r>
        <w:t>: 3576-3586.</w:t>
      </w:r>
    </w:p>
    <w:p>
      <w:pPr>
        <w:pStyle w:val="14"/>
        <w:ind w:left="720" w:hanging="720"/>
      </w:pPr>
      <w:r>
        <w:t>[2]</w:t>
      </w:r>
      <w:r>
        <w:tab/>
      </w:r>
      <w:r>
        <w:t>Blatov VA, Golov AA, Yang C</w:t>
      </w:r>
      <w:r>
        <w:rPr>
          <w:i/>
        </w:rPr>
        <w:t>, et al.</w:t>
      </w:r>
      <w:r>
        <w:t xml:space="preserve"> Network topological model of reconstructive solid-state transformations. </w:t>
      </w:r>
      <w:r>
        <w:rPr>
          <w:i/>
        </w:rPr>
        <w:t xml:space="preserve">Scientific Reports </w:t>
      </w:r>
      <w:r>
        <w:t xml:space="preserve">2019, </w:t>
      </w:r>
      <w:r>
        <w:rPr>
          <w:b/>
        </w:rPr>
        <w:t>9</w:t>
      </w:r>
      <w:r>
        <w:t>: 6007.</w:t>
      </w:r>
    </w:p>
    <w:p>
      <w:pPr>
        <w:pStyle w:val="14"/>
        <w:ind w:left="720" w:hanging="720"/>
      </w:pPr>
      <w:r>
        <w:t>[3]</w:t>
      </w:r>
      <w:r>
        <w:tab/>
      </w:r>
      <w:r>
        <w:t>Wang J, Hanzawa K, Hiramatsu H</w:t>
      </w:r>
      <w:r>
        <w:rPr>
          <w:i/>
        </w:rPr>
        <w:t>, et al.</w:t>
      </w:r>
      <w:r>
        <w:t xml:space="preserve"> Exploration of stable strontium phosphide-based electrides: Theoretical structure prediction and experimental validation. </w:t>
      </w:r>
      <w:r>
        <w:rPr>
          <w:i/>
        </w:rPr>
        <w:t xml:space="preserve">Journal of the American Chemical Society </w:t>
      </w:r>
      <w:r>
        <w:t xml:space="preserve">2017, </w:t>
      </w:r>
      <w:r>
        <w:rPr>
          <w:b/>
        </w:rPr>
        <w:t>139</w:t>
      </w:r>
      <w:r>
        <w:t>: 15668-15680.</w:t>
      </w:r>
    </w:p>
    <w:p>
      <w:pPr>
        <w:jc w:val="center"/>
      </w:pPr>
      <w: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微软雅黑">
    <w:altName w:val="汉仪旗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Symbol">
    <w:altName w:val="Kingsoft Sign"/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C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vaa955n20xs4etd95xrwt2red2tda0drvx&quot;&gt;my EndNote lib&lt;record-ids&gt;&lt;item&gt;524&lt;/item&gt;&lt;item&gt;545&lt;/item&gt;&lt;/record-ids&gt;&lt;/item&gt;&lt;item db-id=&quot;vf0sdrefmtrw5tedfx2vs905r5w9axsesxat&quot;&gt;electrides-Converted&lt;record-ids&gt;&lt;item&gt;268&lt;/item&gt;&lt;/record-ids&gt;&lt;/item&gt;&lt;/Libraries&gt;"/>
  </w:docVars>
  <w:rsids>
    <w:rsidRoot w:val="00967D14"/>
    <w:rsid w:val="00017392"/>
    <w:rsid w:val="00022FDD"/>
    <w:rsid w:val="000328B6"/>
    <w:rsid w:val="00071D17"/>
    <w:rsid w:val="000746FA"/>
    <w:rsid w:val="000A6D89"/>
    <w:rsid w:val="000F35E9"/>
    <w:rsid w:val="000F3F19"/>
    <w:rsid w:val="001306A4"/>
    <w:rsid w:val="00137833"/>
    <w:rsid w:val="0014450F"/>
    <w:rsid w:val="00185BAE"/>
    <w:rsid w:val="001A2EF5"/>
    <w:rsid w:val="001C13E0"/>
    <w:rsid w:val="001E5E78"/>
    <w:rsid w:val="001E6D7F"/>
    <w:rsid w:val="00232F67"/>
    <w:rsid w:val="00240D78"/>
    <w:rsid w:val="0025535E"/>
    <w:rsid w:val="0026708D"/>
    <w:rsid w:val="0027176F"/>
    <w:rsid w:val="00276F5A"/>
    <w:rsid w:val="002962F7"/>
    <w:rsid w:val="002E1D9F"/>
    <w:rsid w:val="002E71FC"/>
    <w:rsid w:val="002F4590"/>
    <w:rsid w:val="003040B7"/>
    <w:rsid w:val="003146B6"/>
    <w:rsid w:val="003154AE"/>
    <w:rsid w:val="00316417"/>
    <w:rsid w:val="003244B0"/>
    <w:rsid w:val="00326043"/>
    <w:rsid w:val="00337425"/>
    <w:rsid w:val="0035571F"/>
    <w:rsid w:val="003A1035"/>
    <w:rsid w:val="003F667D"/>
    <w:rsid w:val="0040046B"/>
    <w:rsid w:val="004206E1"/>
    <w:rsid w:val="004B273E"/>
    <w:rsid w:val="004E63C9"/>
    <w:rsid w:val="00524FEE"/>
    <w:rsid w:val="00531BA8"/>
    <w:rsid w:val="005323AE"/>
    <w:rsid w:val="00551A5C"/>
    <w:rsid w:val="0056727D"/>
    <w:rsid w:val="0058281E"/>
    <w:rsid w:val="00594DB2"/>
    <w:rsid w:val="005D46FE"/>
    <w:rsid w:val="006324AC"/>
    <w:rsid w:val="00684E2E"/>
    <w:rsid w:val="00694DF3"/>
    <w:rsid w:val="006A10F3"/>
    <w:rsid w:val="006A23F3"/>
    <w:rsid w:val="006C362D"/>
    <w:rsid w:val="006D7B01"/>
    <w:rsid w:val="006E26D7"/>
    <w:rsid w:val="006F204E"/>
    <w:rsid w:val="007359F7"/>
    <w:rsid w:val="00736212"/>
    <w:rsid w:val="00736727"/>
    <w:rsid w:val="0075325E"/>
    <w:rsid w:val="0077080E"/>
    <w:rsid w:val="0077601A"/>
    <w:rsid w:val="008307E5"/>
    <w:rsid w:val="00832ABB"/>
    <w:rsid w:val="00844E89"/>
    <w:rsid w:val="00884DE5"/>
    <w:rsid w:val="008B7A22"/>
    <w:rsid w:val="008C62B0"/>
    <w:rsid w:val="008D555E"/>
    <w:rsid w:val="009008E4"/>
    <w:rsid w:val="00903457"/>
    <w:rsid w:val="00904D8A"/>
    <w:rsid w:val="009074D3"/>
    <w:rsid w:val="00927378"/>
    <w:rsid w:val="009379CA"/>
    <w:rsid w:val="009465C1"/>
    <w:rsid w:val="00954208"/>
    <w:rsid w:val="00967D14"/>
    <w:rsid w:val="009867A0"/>
    <w:rsid w:val="0099590A"/>
    <w:rsid w:val="009A70F3"/>
    <w:rsid w:val="009B338A"/>
    <w:rsid w:val="009D1CB2"/>
    <w:rsid w:val="009D5B1E"/>
    <w:rsid w:val="009D7DDF"/>
    <w:rsid w:val="009E23AB"/>
    <w:rsid w:val="00A23394"/>
    <w:rsid w:val="00A4753B"/>
    <w:rsid w:val="00A612DC"/>
    <w:rsid w:val="00A619B6"/>
    <w:rsid w:val="00A647BA"/>
    <w:rsid w:val="00AA1F8B"/>
    <w:rsid w:val="00AD0013"/>
    <w:rsid w:val="00AE40A0"/>
    <w:rsid w:val="00B17C8D"/>
    <w:rsid w:val="00B80798"/>
    <w:rsid w:val="00B80D87"/>
    <w:rsid w:val="00B81625"/>
    <w:rsid w:val="00B86FE9"/>
    <w:rsid w:val="00BC2625"/>
    <w:rsid w:val="00BD4FEA"/>
    <w:rsid w:val="00BF1BDF"/>
    <w:rsid w:val="00C30D8B"/>
    <w:rsid w:val="00C4523F"/>
    <w:rsid w:val="00C52766"/>
    <w:rsid w:val="00C872DC"/>
    <w:rsid w:val="00CC3C21"/>
    <w:rsid w:val="00CE2ACD"/>
    <w:rsid w:val="00D34EAF"/>
    <w:rsid w:val="00D35553"/>
    <w:rsid w:val="00D64290"/>
    <w:rsid w:val="00D76888"/>
    <w:rsid w:val="00D94F43"/>
    <w:rsid w:val="00DA0E58"/>
    <w:rsid w:val="00E238F7"/>
    <w:rsid w:val="00E84A12"/>
    <w:rsid w:val="00EB3DF4"/>
    <w:rsid w:val="00EC36A3"/>
    <w:rsid w:val="00ED7052"/>
    <w:rsid w:val="00ED7C0F"/>
    <w:rsid w:val="00EF684C"/>
    <w:rsid w:val="00F053C7"/>
    <w:rsid w:val="00F17F6D"/>
    <w:rsid w:val="00F3405E"/>
    <w:rsid w:val="00F44392"/>
    <w:rsid w:val="00F57624"/>
    <w:rsid w:val="00F75BA4"/>
    <w:rsid w:val="00F9173F"/>
    <w:rsid w:val="00FD5066"/>
    <w:rsid w:val="14BA0AF0"/>
    <w:rsid w:val="1B8EA58E"/>
    <w:rsid w:val="25C78D46"/>
    <w:rsid w:val="2FDC9C82"/>
    <w:rsid w:val="2FDE30DD"/>
    <w:rsid w:val="36D652DD"/>
    <w:rsid w:val="37F7CB97"/>
    <w:rsid w:val="3BB70F47"/>
    <w:rsid w:val="3FFF07A2"/>
    <w:rsid w:val="57D7CE7B"/>
    <w:rsid w:val="5F7F2991"/>
    <w:rsid w:val="5FA5F8B1"/>
    <w:rsid w:val="5FD3D42D"/>
    <w:rsid w:val="5FEBA354"/>
    <w:rsid w:val="635B9AE5"/>
    <w:rsid w:val="6F3EDB99"/>
    <w:rsid w:val="6FB9F737"/>
    <w:rsid w:val="70EC4C1A"/>
    <w:rsid w:val="76E1DA43"/>
    <w:rsid w:val="78FF992C"/>
    <w:rsid w:val="79BB6A43"/>
    <w:rsid w:val="7B5FE38D"/>
    <w:rsid w:val="7BE42261"/>
    <w:rsid w:val="7BEFCDB6"/>
    <w:rsid w:val="7BFD5F1B"/>
    <w:rsid w:val="7D5FCDCC"/>
    <w:rsid w:val="7EFC15AA"/>
    <w:rsid w:val="7F2EA836"/>
    <w:rsid w:val="7F4EF9A3"/>
    <w:rsid w:val="7FFF75EA"/>
    <w:rsid w:val="B3FF29B3"/>
    <w:rsid w:val="B5BBCC87"/>
    <w:rsid w:val="BFFBC7AE"/>
    <w:rsid w:val="C2DE8FA8"/>
    <w:rsid w:val="D0C961F2"/>
    <w:rsid w:val="D3F3B59B"/>
    <w:rsid w:val="D5672ECD"/>
    <w:rsid w:val="D8BF45A3"/>
    <w:rsid w:val="DDFF62E0"/>
    <w:rsid w:val="DF517CCD"/>
    <w:rsid w:val="E6F6C3AE"/>
    <w:rsid w:val="E7BBB43A"/>
    <w:rsid w:val="E7BF3BE3"/>
    <w:rsid w:val="EB7ED55C"/>
    <w:rsid w:val="EBBF8EA0"/>
    <w:rsid w:val="EBFB7D62"/>
    <w:rsid w:val="ED775A9F"/>
    <w:rsid w:val="EEFB7A00"/>
    <w:rsid w:val="EF5F9858"/>
    <w:rsid w:val="EF9EE825"/>
    <w:rsid w:val="F5DEDA3D"/>
    <w:rsid w:val="F7FF1264"/>
    <w:rsid w:val="FBC7247A"/>
    <w:rsid w:val="FCFF2CB6"/>
    <w:rsid w:val="FDBD4137"/>
    <w:rsid w:val="FE6DF412"/>
    <w:rsid w:val="FEDDD924"/>
    <w:rsid w:val="FEF8527A"/>
    <w:rsid w:val="FEFDD268"/>
    <w:rsid w:val="FFF8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unhideWhenUsed/>
    <w:uiPriority w:val="99"/>
    <w:rPr>
      <w:color w:val="0563C1"/>
      <w:u w:val="single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表格"/>
    <w:basedOn w:val="1"/>
    <w:link w:val="12"/>
    <w:qFormat/>
    <w:uiPriority w:val="0"/>
    <w:pPr>
      <w:widowControl/>
      <w:jc w:val="left"/>
    </w:pPr>
    <w:rPr>
      <w:rFonts w:eastAsia="等线" w:cs="宋体"/>
      <w:color w:val="000000"/>
      <w:kern w:val="0"/>
    </w:rPr>
  </w:style>
  <w:style w:type="paragraph" w:customStyle="1" w:styleId="11">
    <w:name w:val="EndNote Bibliography Title"/>
    <w:basedOn w:val="1"/>
    <w:link w:val="13"/>
    <w:qFormat/>
    <w:uiPriority w:val="0"/>
    <w:pPr>
      <w:jc w:val="center"/>
    </w:pPr>
    <w:rPr>
      <w:rFonts w:cs="Times New Roman"/>
      <w:sz w:val="20"/>
    </w:rPr>
  </w:style>
  <w:style w:type="character" w:customStyle="1" w:styleId="12">
    <w:name w:val="表格 字符"/>
    <w:basedOn w:val="5"/>
    <w:link w:val="10"/>
    <w:qFormat/>
    <w:uiPriority w:val="0"/>
    <w:rPr>
      <w:rFonts w:ascii="Times New Roman" w:hAnsi="Times New Roman" w:eastAsia="等线" w:cs="宋体"/>
      <w:color w:val="000000"/>
      <w:kern w:val="0"/>
    </w:rPr>
  </w:style>
  <w:style w:type="character" w:customStyle="1" w:styleId="13">
    <w:name w:val="EndNote Bibliography Title 字符"/>
    <w:basedOn w:val="5"/>
    <w:link w:val="11"/>
    <w:qFormat/>
    <w:uiPriority w:val="0"/>
    <w:rPr>
      <w:rFonts w:ascii="Times New Roman" w:hAnsi="Times New Roman" w:eastAsiaTheme="minorEastAsia"/>
      <w:kern w:val="2"/>
      <w:szCs w:val="22"/>
    </w:rPr>
  </w:style>
  <w:style w:type="paragraph" w:customStyle="1" w:styleId="14">
    <w:name w:val="EndNote Bibliography"/>
    <w:basedOn w:val="1"/>
    <w:link w:val="15"/>
    <w:qFormat/>
    <w:uiPriority w:val="0"/>
    <w:rPr>
      <w:rFonts w:cs="Times New Roman"/>
      <w:sz w:val="20"/>
    </w:rPr>
  </w:style>
  <w:style w:type="character" w:customStyle="1" w:styleId="15">
    <w:name w:val="EndNote Bibliography 字符"/>
    <w:basedOn w:val="5"/>
    <w:link w:val="14"/>
    <w:qFormat/>
    <w:uiPriority w:val="0"/>
    <w:rPr>
      <w:rFonts w:ascii="Times New Roman" w:hAnsi="Times New Roman" w:eastAsiaTheme="minorEastAsia"/>
      <w:kern w:val="2"/>
      <w:szCs w:val="22"/>
    </w:rPr>
  </w:style>
  <w:style w:type="character" w:customStyle="1" w:styleId="16">
    <w:name w:val="页眉字符"/>
    <w:basedOn w:val="5"/>
    <w:link w:val="4"/>
    <w:qFormat/>
    <w:uiPriority w:val="99"/>
    <w:rPr>
      <w:rFonts w:ascii="Times New Roman" w:hAnsi="Times New Roman"/>
      <w:sz w:val="18"/>
      <w:szCs w:val="18"/>
    </w:rPr>
  </w:style>
  <w:style w:type="character" w:customStyle="1" w:styleId="17">
    <w:name w:val="页脚字符"/>
    <w:basedOn w:val="5"/>
    <w:link w:val="3"/>
    <w:qFormat/>
    <w:uiPriority w:val="99"/>
    <w:rPr>
      <w:rFonts w:ascii="Times New Roman" w:hAnsi="Times New Roman"/>
      <w:sz w:val="18"/>
      <w:szCs w:val="18"/>
    </w:rPr>
  </w:style>
  <w:style w:type="character" w:customStyle="1" w:styleId="18">
    <w:name w:val="批注框文本字符"/>
    <w:basedOn w:val="5"/>
    <w:link w:val="2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9">
    <w:name w:val="占位符文本1"/>
    <w:basedOn w:val="5"/>
    <w:semiHidden/>
    <w:qFormat/>
    <w:uiPriority w:val="99"/>
    <w:rPr>
      <w:color w:val="808080"/>
    </w:rPr>
  </w:style>
  <w:style w:type="table" w:customStyle="1" w:styleId="20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15"/>
    <w:basedOn w:val="5"/>
    <w:qFormat/>
    <w:uiPriority w:val="0"/>
    <w:rPr>
      <w:rFonts w:hint="default" w:ascii="Times New Roman" w:hAnsi="Times New Roman" w:cs="Times New Roman"/>
      <w:sz w:val="21"/>
      <w:szCs w:val="21"/>
    </w:rPr>
  </w:style>
  <w:style w:type="character" w:customStyle="1" w:styleId="22">
    <w:name w:val="10"/>
    <w:basedOn w:val="5"/>
    <w:qFormat/>
    <w:uiPriority w:val="0"/>
    <w:rPr>
      <w:rFonts w:hint="default" w:ascii="Times New Roman" w:hAnsi="Times New Roman" w:cs="Times New Roman"/>
    </w:rPr>
  </w:style>
  <w:style w:type="paragraph" w:customStyle="1" w:styleId="23">
    <w:name w:val="TA_Main_Text"/>
    <w:basedOn w:val="1"/>
    <w:qFormat/>
    <w:uiPriority w:val="0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24">
    <w:name w:val="BB_Author_Name"/>
    <w:basedOn w:val="1"/>
    <w:next w:val="1"/>
    <w:uiPriority w:val="0"/>
    <w:pPr>
      <w:widowControl/>
      <w:spacing w:after="240" w:line="480" w:lineRule="auto"/>
      <w:jc w:val="left"/>
    </w:pPr>
    <w:rPr>
      <w:rFonts w:ascii="Times" w:hAnsi="Times" w:eastAsia="等线" w:cs="Times New Roman"/>
      <w:i/>
      <w:kern w:val="0"/>
      <w:sz w:val="24"/>
      <w:szCs w:val="20"/>
    </w:rPr>
  </w:style>
  <w:style w:type="paragraph" w:customStyle="1" w:styleId="25">
    <w:name w:val="BA_Title"/>
    <w:basedOn w:val="1"/>
    <w:next w:val="1"/>
    <w:uiPriority w:val="0"/>
    <w:pPr>
      <w:widowControl/>
      <w:spacing w:before="720" w:after="360" w:line="480" w:lineRule="auto"/>
      <w:jc w:val="left"/>
    </w:pPr>
    <w:rPr>
      <w:rFonts w:eastAsia="等线" w:cs="Times New Roman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3060</Words>
  <Characters>17447</Characters>
  <Lines>145</Lines>
  <Paragraphs>40</Paragraphs>
  <TotalTime>0</TotalTime>
  <ScaleCrop>false</ScaleCrop>
  <LinksUpToDate>false</LinksUpToDate>
  <CharactersWithSpaces>20467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2020-02-08T19:34:00Z</dcterms:created>
  <dc:creator>琨 李</dc:creator>
  <cp:lastModifiedBy>likun</cp:lastModifiedBy>
  <dcterms:modified xsi:type="dcterms:W3CDTF">2020-09-24T08:43:25Z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