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353" w:rsidRDefault="003B0353" w:rsidP="003B0353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79673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Appendix A.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bookmarkStart w:id="0" w:name="OLE_LINK8"/>
      <w:r w:rsidRPr="0079673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Supplementary</w:t>
      </w:r>
      <w:bookmarkEnd w:id="0"/>
      <w:r w:rsidRPr="0079673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data</w:t>
      </w:r>
    </w:p>
    <w:p w:rsidR="003B0353" w:rsidRPr="0079673D" w:rsidRDefault="003B0353" w:rsidP="003B0353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3B0353" w:rsidRDefault="003B0353" w:rsidP="003B0353">
      <w:pPr>
        <w:widowControl/>
        <w:adjustRightInd w:val="0"/>
        <w:snapToGrid w:val="0"/>
        <w:spacing w:before="50" w:line="48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6"/>
          <w:szCs w:val="26"/>
        </w:rPr>
        <w:drawing>
          <wp:inline distT="0" distB="0" distL="0" distR="0" wp14:anchorId="061A890E" wp14:editId="43089083">
            <wp:extent cx="4367530" cy="5234239"/>
            <wp:effectExtent l="0" t="0" r="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1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3"/>
                    <a:stretch/>
                  </pic:blipFill>
                  <pic:spPr bwMode="auto">
                    <a:xfrm>
                      <a:off x="0" y="0"/>
                      <a:ext cx="4367784" cy="5234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353" w:rsidRDefault="003B0353" w:rsidP="003B0353">
      <w:pPr>
        <w:widowControl/>
        <w:adjustRightInd w:val="0"/>
        <w:snapToGrid w:val="0"/>
        <w:spacing w:before="50" w:line="48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OLE_LINK249"/>
      <w:bookmarkStart w:id="2" w:name="OLE_LINK250"/>
      <w:bookmarkStart w:id="3" w:name="OLE_LINK255"/>
      <w:bookmarkStart w:id="4" w:name="OLE_LINK256"/>
      <w:bookmarkStart w:id="5" w:name="OLE_LINK284"/>
      <w:bookmarkStart w:id="6" w:name="OLE_LINK283"/>
      <w:r w:rsidRPr="00555747">
        <w:rPr>
          <w:rFonts w:ascii="Times New Roman" w:hAnsi="Times New Roman" w:cs="Times New Roman"/>
          <w:color w:val="000000" w:themeColor="text1"/>
          <w:sz w:val="26"/>
          <w:szCs w:val="26"/>
        </w:rPr>
        <w:t>Supplementary</w:t>
      </w:r>
      <w:bookmarkEnd w:id="1"/>
      <w:bookmarkEnd w:id="2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Fig. 1. Effects of WNT7B knockdown on OSCC cell proliferation and cell cycle.</w:t>
      </w:r>
    </w:p>
    <w:bookmarkEnd w:id="3"/>
    <w:bookmarkEnd w:id="4"/>
    <w:p w:rsidR="003B0353" w:rsidRDefault="003B0353" w:rsidP="003B0353">
      <w:pPr>
        <w:pStyle w:val="a3"/>
        <w:widowControl/>
        <w:numPr>
          <w:ilvl w:val="0"/>
          <w:numId w:val="1"/>
        </w:numPr>
        <w:adjustRightInd w:val="0"/>
        <w:snapToGrid w:val="0"/>
        <w:spacing w:beforeLines="50" w:before="156" w:line="480" w:lineRule="auto"/>
        <w:ind w:left="0" w:firstLineChars="0" w:firstLine="0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Detection of cell proliferation by CCK8 assay for the indicated OSCC cell lines and days. (B) Cell cycle detection by flow cytometry of wild-type and WNT7B stable knockdown OSCC cells after cell cycle synchronization. The cells released after cell cycle synchronization at</w:t>
      </w:r>
      <w:r>
        <w:rPr>
          <w:rFonts w:ascii="Times New Roman" w:hAnsi="Times New Roman" w:cs="Times New Roman"/>
          <w:color w:val="000000" w:themeColor="text1"/>
          <w:kern w:val="0"/>
          <w:sz w:val="26"/>
          <w:szCs w:val="26"/>
        </w:rPr>
        <w:t xml:space="preserve"> 0 or 24 hours were used for experiments. (C) Normalized G1 ratio of indicated cell lines. Each measurement was performed in three biological replicates.</w:t>
      </w:r>
      <w:bookmarkStart w:id="7" w:name="OLE_LINK169"/>
      <w:bookmarkStart w:id="8" w:name="OLE_LINK178"/>
      <w:bookmarkEnd w:id="5"/>
      <w:bookmarkEnd w:id="6"/>
    </w:p>
    <w:p w:rsidR="003B0353" w:rsidRPr="00A8031E" w:rsidRDefault="003B0353" w:rsidP="003B0353">
      <w:pPr>
        <w:spacing w:line="480" w:lineRule="auto"/>
      </w:pPr>
      <w:r>
        <w:rPr>
          <w:noProof/>
        </w:rPr>
        <w:drawing>
          <wp:inline distT="0" distB="0" distL="0" distR="0" wp14:anchorId="3A9CD4CC" wp14:editId="2D9C5C78">
            <wp:extent cx="5274310" cy="24225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.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5747">
        <w:rPr>
          <w:rFonts w:ascii="Times New Roman" w:hAnsi="Times New Roman" w:cs="Times New Roman"/>
          <w:color w:val="000000" w:themeColor="text1"/>
          <w:sz w:val="26"/>
          <w:szCs w:val="26"/>
        </w:rPr>
        <w:t>Supplementary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Fig. 2. </w:t>
      </w:r>
      <w:r>
        <w:rPr>
          <w:rFonts w:ascii="Times New Roman" w:hAnsi="Times New Roman" w:cs="Times New Roman" w:hint="eastAsia"/>
          <w:color w:val="000000" w:themeColor="text1"/>
          <w:sz w:val="26"/>
          <w:szCs w:val="26"/>
        </w:rPr>
        <w:t>Full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-length uncropped blots for Fig. 7B.</w:t>
      </w:r>
    </w:p>
    <w:p w:rsidR="003B0353" w:rsidRDefault="003B0353" w:rsidP="003B0353">
      <w:pPr>
        <w:widowControl/>
        <w:adjustRightInd w:val="0"/>
        <w:snapToGrid w:val="0"/>
        <w:spacing w:before="50" w:line="48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0353" w:rsidRDefault="003B0353" w:rsidP="003B0353">
      <w:pPr>
        <w:widowControl/>
        <w:adjustRightInd w:val="0"/>
        <w:snapToGrid w:val="0"/>
        <w:spacing w:before="50" w:line="48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B0353" w:rsidRPr="00395C20" w:rsidRDefault="003B0353" w:rsidP="003B0353">
      <w:pPr>
        <w:spacing w:line="480" w:lineRule="auto"/>
      </w:pPr>
      <w:r>
        <w:rPr>
          <w:noProof/>
        </w:rPr>
        <w:drawing>
          <wp:inline distT="0" distB="0" distL="0" distR="0" wp14:anchorId="62943092" wp14:editId="6A184E18">
            <wp:extent cx="5274310" cy="40100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. 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0E66" w:rsidRPr="003B0353" w:rsidRDefault="003B0353" w:rsidP="003B0353">
      <w:r w:rsidRPr="00555747">
        <w:rPr>
          <w:rFonts w:ascii="Times New Roman" w:hAnsi="Times New Roman" w:cs="Times New Roman"/>
          <w:color w:val="000000" w:themeColor="text1"/>
          <w:sz w:val="26"/>
          <w:szCs w:val="26"/>
        </w:rPr>
        <w:t>Supplementary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Fig. 3. </w:t>
      </w:r>
      <w:r>
        <w:rPr>
          <w:rFonts w:ascii="Times New Roman" w:hAnsi="Times New Roman" w:cs="Times New Roman" w:hint="eastAsia"/>
          <w:color w:val="000000" w:themeColor="text1"/>
          <w:sz w:val="26"/>
          <w:szCs w:val="26"/>
        </w:rPr>
        <w:t>Full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-length uncropped blots for Fig. 7G.</w:t>
      </w:r>
      <w:bookmarkStart w:id="9" w:name="_GoBack"/>
      <w:bookmarkEnd w:id="7"/>
      <w:bookmarkEnd w:id="8"/>
      <w:bookmarkEnd w:id="9"/>
    </w:p>
    <w:sectPr w:rsidR="007F0E66" w:rsidRPr="003B0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353" w:rsidRDefault="003B0353" w:rsidP="003B0353">
      <w:r>
        <w:separator/>
      </w:r>
    </w:p>
  </w:endnote>
  <w:endnote w:type="continuationSeparator" w:id="0">
    <w:p w:rsidR="003B0353" w:rsidRDefault="003B0353" w:rsidP="003B0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0353" w:rsidRDefault="003B0353" w:rsidP="003B0353">
      <w:r>
        <w:separator/>
      </w:r>
    </w:p>
  </w:footnote>
  <w:footnote w:type="continuationSeparator" w:id="0">
    <w:p w:rsidR="003B0353" w:rsidRDefault="003B0353" w:rsidP="003B03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5025D"/>
    <w:multiLevelType w:val="hybridMultilevel"/>
    <w:tmpl w:val="10F2826C"/>
    <w:lvl w:ilvl="0" w:tplc="02FA974E">
      <w:start w:val="1"/>
      <w:numFmt w:val="upperLetter"/>
      <w:lvlText w:val="(%1)"/>
      <w:lvlJc w:val="left"/>
      <w:pPr>
        <w:ind w:left="370" w:hanging="37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5FE"/>
    <w:rsid w:val="002C35FE"/>
    <w:rsid w:val="003B0353"/>
    <w:rsid w:val="007F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51DADC-18D6-457C-A92D-E3EF46510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3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5F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B0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B03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0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B03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2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Zheng</dc:creator>
  <cp:keywords/>
  <dc:description/>
  <cp:lastModifiedBy>Yi Zheng</cp:lastModifiedBy>
  <cp:revision>2</cp:revision>
  <dcterms:created xsi:type="dcterms:W3CDTF">2022-01-31T12:38:00Z</dcterms:created>
  <dcterms:modified xsi:type="dcterms:W3CDTF">2022-01-31T12:43:00Z</dcterms:modified>
</cp:coreProperties>
</file>