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D1DA6" w14:textId="77777777" w:rsidR="00C735A9" w:rsidRDefault="00C735A9" w:rsidP="009C4710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0" w:name="_Hlk89239841"/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Tailoring the crystal structure of</w:t>
      </w:r>
      <w:r w:rsidRPr="000D231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C</w:t>
      </w:r>
      <w:r w:rsidRPr="000D231E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a</w:t>
      </w:r>
      <w:r w:rsidRPr="000D231E">
        <w:rPr>
          <w:rFonts w:ascii="Times New Roman" w:hAnsi="Times New Roman"/>
          <w:b/>
          <w:bCs/>
          <w:color w:val="000000" w:themeColor="text1"/>
          <w:sz w:val="24"/>
          <w:szCs w:val="24"/>
        </w:rPr>
        <w:t>TiO</w:t>
      </w:r>
      <w:r w:rsidRPr="000D231E">
        <w:rPr>
          <w:rFonts w:ascii="Times New Roman" w:hAnsi="Times New Roman"/>
          <w:b/>
          <w:bCs/>
          <w:color w:val="000000" w:themeColor="text1"/>
          <w:sz w:val="24"/>
          <w:szCs w:val="24"/>
          <w:vertAlign w:val="subscript"/>
        </w:rPr>
        <w:t>3</w:t>
      </w:r>
      <w:r w:rsidRPr="000D231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by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multielement doping for photo-assisted</w:t>
      </w:r>
      <w:r w:rsidRPr="000D231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activation of NO</w:t>
      </w:r>
    </w:p>
    <w:bookmarkEnd w:id="0"/>
    <w:p w14:paraId="609744A4" w14:textId="0353AF3E" w:rsidR="00C735A9" w:rsidRPr="00C561BA" w:rsidRDefault="00C735A9" w:rsidP="0046087E">
      <w:pPr>
        <w:spacing w:line="360" w:lineRule="auto"/>
        <w:rPr>
          <w:rFonts w:ascii="Times New Roman" w:hAnsi="Times New Roman"/>
          <w:sz w:val="20"/>
          <w:szCs w:val="20"/>
        </w:rPr>
      </w:pPr>
      <w:r w:rsidRPr="00C561BA">
        <w:rPr>
          <w:rFonts w:ascii="Times New Roman" w:hAnsi="Times New Roman" w:hint="eastAsia"/>
          <w:b/>
          <w:bCs/>
          <w:sz w:val="20"/>
          <w:szCs w:val="20"/>
        </w:rPr>
        <w:t>T</w:t>
      </w:r>
      <w:r w:rsidRPr="00C561BA">
        <w:rPr>
          <w:rFonts w:ascii="Times New Roman" w:hAnsi="Times New Roman"/>
          <w:b/>
          <w:bCs/>
          <w:sz w:val="20"/>
          <w:szCs w:val="20"/>
        </w:rPr>
        <w:t>i-slag</w:t>
      </w:r>
      <w:r>
        <w:rPr>
          <w:rFonts w:ascii="Times New Roman" w:hAnsi="Times New Roman"/>
          <w:b/>
          <w:bCs/>
          <w:sz w:val="20"/>
          <w:szCs w:val="20"/>
        </w:rPr>
        <w:t xml:space="preserve">. </w:t>
      </w:r>
      <w:r w:rsidRPr="00C561BA">
        <w:rPr>
          <w:rFonts w:ascii="Times New Roman" w:hAnsi="Times New Roman" w:hint="eastAsia"/>
          <w:color w:val="000000" w:themeColor="text1"/>
          <w:sz w:val="20"/>
          <w:szCs w:val="20"/>
        </w:rPr>
        <w:t>Va</w:t>
      </w:r>
      <w:r w:rsidRPr="00C561BA">
        <w:rPr>
          <w:rFonts w:ascii="Times New Roman" w:hAnsi="Times New Roman"/>
          <w:color w:val="000000" w:themeColor="text1"/>
          <w:sz w:val="20"/>
          <w:szCs w:val="20"/>
        </w:rPr>
        <w:t xml:space="preserve">nadium titanium magnetite </w:t>
      </w:r>
      <w:r w:rsidRPr="00C561BA">
        <w:rPr>
          <w:rFonts w:ascii="Times New Roman" w:hAnsi="Times New Roman" w:hint="eastAsia"/>
          <w:color w:val="000000" w:themeColor="text1"/>
          <w:sz w:val="20"/>
          <w:szCs w:val="20"/>
        </w:rPr>
        <w:t>accounts</w:t>
      </w:r>
      <w:r w:rsidRPr="00C561BA">
        <w:rPr>
          <w:rFonts w:ascii="Times New Roman" w:hAnsi="Times New Roman"/>
          <w:color w:val="000000" w:themeColor="text1"/>
          <w:sz w:val="20"/>
          <w:szCs w:val="20"/>
        </w:rPr>
        <w:t xml:space="preserve"> for about 35% of the world titanium reserves and is an important source of titanium, vanadium</w:t>
      </w:r>
      <w:r w:rsidR="00085292">
        <w:rPr>
          <w:rFonts w:ascii="Times New Roman" w:hAnsi="Times New Roman"/>
          <w:color w:val="000000" w:themeColor="text1"/>
          <w:sz w:val="20"/>
          <w:szCs w:val="20"/>
        </w:rPr>
        <w:t>,</w:t>
      </w:r>
      <w:r w:rsidRPr="00C561BA">
        <w:rPr>
          <w:rFonts w:ascii="Times New Roman" w:hAnsi="Times New Roman"/>
          <w:color w:val="000000" w:themeColor="text1"/>
          <w:sz w:val="20"/>
          <w:szCs w:val="20"/>
        </w:rPr>
        <w:t xml:space="preserve"> and ferrum. After the separation of Fe and V by a blast furnace process, titanium is enriched in the slag. This </w:t>
      </w:r>
      <w:r w:rsidRPr="00C561BA">
        <w:rPr>
          <w:rFonts w:ascii="Times New Roman" w:hAnsi="Times New Roman" w:hint="eastAsia"/>
          <w:sz w:val="20"/>
          <w:szCs w:val="20"/>
        </w:rPr>
        <w:t>T</w:t>
      </w:r>
      <w:r w:rsidRPr="00C561BA">
        <w:rPr>
          <w:rFonts w:ascii="Times New Roman" w:hAnsi="Times New Roman"/>
          <w:sz w:val="20"/>
          <w:szCs w:val="20"/>
        </w:rPr>
        <w:t>i-bearing blast furnace slag (Ti-slag) contains 20-25 mass pct TiO</w:t>
      </w:r>
      <w:r w:rsidRPr="00C561BA">
        <w:rPr>
          <w:rFonts w:ascii="Times New Roman" w:hAnsi="Times New Roman"/>
          <w:sz w:val="20"/>
          <w:szCs w:val="20"/>
          <w:vertAlign w:val="subscript"/>
        </w:rPr>
        <w:t>2</w:t>
      </w:r>
      <w:r w:rsidRPr="00C561BA">
        <w:rPr>
          <w:rFonts w:ascii="Times New Roman" w:hAnsi="Times New Roman"/>
          <w:sz w:val="20"/>
          <w:szCs w:val="20"/>
        </w:rPr>
        <w:t xml:space="preserve"> and mainly consist</w:t>
      </w:r>
      <w:r w:rsidR="00085292">
        <w:rPr>
          <w:rFonts w:ascii="Times New Roman" w:hAnsi="Times New Roman"/>
          <w:sz w:val="20"/>
          <w:szCs w:val="20"/>
        </w:rPr>
        <w:t>s</w:t>
      </w:r>
      <w:r w:rsidRPr="00C561BA">
        <w:rPr>
          <w:rFonts w:ascii="Times New Roman" w:hAnsi="Times New Roman"/>
          <w:sz w:val="20"/>
          <w:szCs w:val="20"/>
        </w:rPr>
        <w:t xml:space="preserve"> of perovskite and augite</w:t>
      </w:r>
      <w:r w:rsidRPr="00C561BA">
        <w:rPr>
          <w:rFonts w:ascii="Times New Roman" w:hAnsi="Times New Roman"/>
          <w:noProof/>
          <w:sz w:val="20"/>
          <w:szCs w:val="20"/>
          <w:vertAlign w:val="superscript"/>
        </w:rPr>
        <w:t>1</w:t>
      </w:r>
      <w:r w:rsidRPr="00C561BA">
        <w:rPr>
          <w:rFonts w:ascii="Times New Roman" w:hAnsi="Times New Roman"/>
          <w:sz w:val="20"/>
          <w:szCs w:val="20"/>
        </w:rPr>
        <w:t xml:space="preserve">. Titanium in such a slag is distributed in both two minerals. </w:t>
      </w:r>
      <w:r w:rsidRPr="00C561BA">
        <w:rPr>
          <w:rFonts w:ascii="Times New Roman" w:hAnsi="Times New Roman"/>
          <w:color w:val="000000" w:themeColor="text1"/>
          <w:sz w:val="20"/>
          <w:szCs w:val="20"/>
        </w:rPr>
        <w:t>Owing to low Ti grade and conductivity, most attempts to extract titanium from Ti-slag, such as acid leaching, carbo-chlorination, electro-deoxidation, aluminothermic reduction</w:t>
      </w:r>
      <w:r w:rsidR="00085292">
        <w:rPr>
          <w:rFonts w:ascii="Times New Roman" w:hAnsi="Times New Roman"/>
          <w:color w:val="000000" w:themeColor="text1"/>
          <w:sz w:val="20"/>
          <w:szCs w:val="20"/>
        </w:rPr>
        <w:t>,</w:t>
      </w:r>
      <w:r w:rsidRPr="00C561BA">
        <w:rPr>
          <w:rFonts w:ascii="Times New Roman" w:hAnsi="Times New Roman"/>
          <w:color w:val="000000" w:themeColor="text1"/>
          <w:sz w:val="20"/>
          <w:szCs w:val="20"/>
        </w:rPr>
        <w:t xml:space="preserve"> and upgrading to Ti concentrates, are subjected to low titanium yield, high energy consumption, high emission</w:t>
      </w:r>
      <w:r>
        <w:rPr>
          <w:rFonts w:ascii="Times New Roman" w:hAnsi="Times New Roman"/>
          <w:color w:val="000000" w:themeColor="text1"/>
          <w:sz w:val="20"/>
          <w:szCs w:val="20"/>
        </w:rPr>
        <w:t>,</w:t>
      </w:r>
      <w:r w:rsidRPr="00C561BA">
        <w:rPr>
          <w:rFonts w:ascii="Times New Roman" w:hAnsi="Times New Roman"/>
          <w:color w:val="000000" w:themeColor="text1"/>
          <w:sz w:val="20"/>
          <w:szCs w:val="20"/>
        </w:rPr>
        <w:t xml:space="preserve"> or engineering problems</w:t>
      </w:r>
      <w:r w:rsidRPr="00C561BA">
        <w:rPr>
          <w:rFonts w:ascii="Times New Roman" w:hAnsi="Times New Roman"/>
          <w:noProof/>
          <w:color w:val="000000" w:themeColor="text1"/>
          <w:sz w:val="20"/>
          <w:szCs w:val="20"/>
          <w:vertAlign w:val="superscript"/>
        </w:rPr>
        <w:t>2-5</w:t>
      </w:r>
      <w:r w:rsidRPr="00C561BA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Pr="00C561BA">
        <w:rPr>
          <w:rFonts w:ascii="Times New Roman" w:hAnsi="Times New Roman"/>
          <w:sz w:val="20"/>
          <w:szCs w:val="20"/>
        </w:rPr>
        <w:t>Lack of efficient utilization makes Ti-slag be long abandoned in the open atmosphere, not only taking a lot of land, but causing soil, water pollution and even geological disasters.</w:t>
      </w:r>
    </w:p>
    <w:p w14:paraId="26313187" w14:textId="77777777" w:rsidR="00C735A9" w:rsidRDefault="00C735A9" w:rsidP="00B71E36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4845DBBD" w14:textId="77777777" w:rsidR="00C735A9" w:rsidRPr="007F52A7" w:rsidRDefault="00C735A9" w:rsidP="00CD307A">
      <w:pPr>
        <w:spacing w:line="360" w:lineRule="auto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7F52A7">
        <w:rPr>
          <w:rFonts w:ascii="Arial" w:hAnsi="Arial" w:cs="Arial"/>
          <w:b/>
          <w:color w:val="000000" w:themeColor="text1"/>
          <w:sz w:val="18"/>
          <w:szCs w:val="18"/>
        </w:rPr>
        <w:t xml:space="preserve">Table 1 </w:t>
      </w:r>
      <w:r w:rsidRPr="007F52A7">
        <w:rPr>
          <w:rFonts w:ascii="Arial" w:hAnsi="Arial" w:cs="Arial"/>
          <w:bCs/>
          <w:color w:val="000000" w:themeColor="text1"/>
          <w:sz w:val="18"/>
          <w:szCs w:val="18"/>
        </w:rPr>
        <w:t>Main chemical compositions of the Ti-slag in wt%</w:t>
      </w:r>
    </w:p>
    <w:tbl>
      <w:tblPr>
        <w:tblW w:w="0" w:type="auto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869"/>
        <w:gridCol w:w="869"/>
        <w:gridCol w:w="898"/>
        <w:gridCol w:w="840"/>
        <w:gridCol w:w="898"/>
        <w:gridCol w:w="869"/>
        <w:gridCol w:w="956"/>
      </w:tblGrid>
      <w:tr w:rsidR="00C735A9" w:rsidRPr="007F52A7" w14:paraId="6A2A511E" w14:textId="77777777" w:rsidTr="00CD307A">
        <w:trPr>
          <w:trHeight w:hRule="exact" w:val="567"/>
        </w:trPr>
        <w:tc>
          <w:tcPr>
            <w:tcW w:w="1178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B0BB761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Elements</w:t>
            </w:r>
          </w:p>
        </w:tc>
        <w:tc>
          <w:tcPr>
            <w:tcW w:w="869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B86D649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CaO</w:t>
            </w:r>
          </w:p>
        </w:tc>
        <w:tc>
          <w:tcPr>
            <w:tcW w:w="869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ED78464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TiO</w:t>
            </w: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98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CFEA9F2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Fe</w:t>
            </w: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O</w:t>
            </w: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0CA9CE7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MgO</w:t>
            </w:r>
          </w:p>
        </w:tc>
        <w:tc>
          <w:tcPr>
            <w:tcW w:w="898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7F22AA7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Al</w:t>
            </w: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O</w:t>
            </w: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69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05B0F3F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SiO</w:t>
            </w: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064E822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Others</w:t>
            </w:r>
          </w:p>
        </w:tc>
      </w:tr>
      <w:tr w:rsidR="00C735A9" w:rsidRPr="007F52A7" w14:paraId="1A3C25E1" w14:textId="77777777" w:rsidTr="00CD307A">
        <w:trPr>
          <w:trHeight w:hRule="exact" w:val="567"/>
        </w:trPr>
        <w:tc>
          <w:tcPr>
            <w:tcW w:w="1178" w:type="dxa"/>
            <w:tcBorders>
              <w:top w:val="single" w:sz="8" w:space="0" w:color="auto"/>
            </w:tcBorders>
            <w:vAlign w:val="center"/>
            <w:hideMark/>
          </w:tcPr>
          <w:p w14:paraId="7476D3F9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wt%</w:t>
            </w:r>
          </w:p>
        </w:tc>
        <w:tc>
          <w:tcPr>
            <w:tcW w:w="869" w:type="dxa"/>
            <w:tcBorders>
              <w:top w:val="single" w:sz="8" w:space="0" w:color="auto"/>
            </w:tcBorders>
            <w:vAlign w:val="center"/>
            <w:hideMark/>
          </w:tcPr>
          <w:p w14:paraId="0DAEDCC3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26.54</w:t>
            </w:r>
          </w:p>
        </w:tc>
        <w:tc>
          <w:tcPr>
            <w:tcW w:w="869" w:type="dxa"/>
            <w:tcBorders>
              <w:top w:val="single" w:sz="8" w:space="0" w:color="auto"/>
            </w:tcBorders>
            <w:vAlign w:val="center"/>
            <w:hideMark/>
          </w:tcPr>
          <w:p w14:paraId="0857EE80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23.83</w:t>
            </w:r>
          </w:p>
        </w:tc>
        <w:tc>
          <w:tcPr>
            <w:tcW w:w="898" w:type="dxa"/>
            <w:tcBorders>
              <w:top w:val="single" w:sz="8" w:space="0" w:color="auto"/>
            </w:tcBorders>
            <w:vAlign w:val="center"/>
            <w:hideMark/>
          </w:tcPr>
          <w:p w14:paraId="306546D2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1.09</w:t>
            </w:r>
          </w:p>
        </w:tc>
        <w:tc>
          <w:tcPr>
            <w:tcW w:w="840" w:type="dxa"/>
            <w:tcBorders>
              <w:top w:val="single" w:sz="8" w:space="0" w:color="auto"/>
            </w:tcBorders>
            <w:vAlign w:val="center"/>
            <w:hideMark/>
          </w:tcPr>
          <w:p w14:paraId="385AA11C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8.48</w:t>
            </w:r>
          </w:p>
        </w:tc>
        <w:tc>
          <w:tcPr>
            <w:tcW w:w="898" w:type="dxa"/>
            <w:tcBorders>
              <w:top w:val="single" w:sz="8" w:space="0" w:color="auto"/>
            </w:tcBorders>
            <w:vAlign w:val="center"/>
            <w:hideMark/>
          </w:tcPr>
          <w:p w14:paraId="07E37934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13.76</w:t>
            </w:r>
          </w:p>
        </w:tc>
        <w:tc>
          <w:tcPr>
            <w:tcW w:w="869" w:type="dxa"/>
            <w:tcBorders>
              <w:top w:val="single" w:sz="8" w:space="0" w:color="auto"/>
            </w:tcBorders>
            <w:vAlign w:val="center"/>
            <w:hideMark/>
          </w:tcPr>
          <w:p w14:paraId="3CAD850D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24.37</w:t>
            </w:r>
          </w:p>
        </w:tc>
        <w:tc>
          <w:tcPr>
            <w:tcW w:w="956" w:type="dxa"/>
            <w:tcBorders>
              <w:top w:val="single" w:sz="8" w:space="0" w:color="auto"/>
            </w:tcBorders>
            <w:vAlign w:val="center"/>
            <w:hideMark/>
          </w:tcPr>
          <w:p w14:paraId="67D6104C" w14:textId="77777777" w:rsidR="00C735A9" w:rsidRPr="007F52A7" w:rsidRDefault="00C735A9" w:rsidP="00CD307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52A7">
              <w:rPr>
                <w:rFonts w:ascii="Arial" w:hAnsi="Arial" w:cs="Arial"/>
                <w:color w:val="000000" w:themeColor="text1"/>
                <w:sz w:val="18"/>
                <w:szCs w:val="18"/>
              </w:rPr>
              <w:t>1.13</w:t>
            </w:r>
          </w:p>
        </w:tc>
      </w:tr>
    </w:tbl>
    <w:p w14:paraId="1085DC4B" w14:textId="77777777" w:rsidR="00C735A9" w:rsidRDefault="00C735A9" w:rsidP="00DF7C76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</w:p>
    <w:p w14:paraId="7A60DB85" w14:textId="77777777" w:rsidR="00C735A9" w:rsidRDefault="00C735A9" w:rsidP="00DF7C76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</w:p>
    <w:p w14:paraId="70D278F2" w14:textId="77777777" w:rsidR="00C735A9" w:rsidRDefault="00C735A9" w:rsidP="00DF7C76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0" distR="0" wp14:anchorId="64477979" wp14:editId="250BFD76">
            <wp:extent cx="3454400" cy="2444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6D107" w14:textId="77777777" w:rsidR="00C735A9" w:rsidRPr="007F52A7" w:rsidRDefault="00C735A9" w:rsidP="00DF7C76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7F52A7">
        <w:rPr>
          <w:rFonts w:ascii="Arial" w:hAnsi="Arial" w:cs="Arial"/>
          <w:b/>
          <w:bCs/>
          <w:sz w:val="18"/>
          <w:szCs w:val="18"/>
        </w:rPr>
        <w:t>Fig. 1. XRD patterns of the composite oxides by roasting Ti-slag with NaOH at 1400</w:t>
      </w:r>
      <w:r w:rsidRPr="007F52A7">
        <w:rPr>
          <w:rFonts w:ascii="Arial" w:eastAsia="等线" w:hAnsi="Arial" w:cs="Arial"/>
          <w:b/>
          <w:bCs/>
          <w:sz w:val="18"/>
          <w:szCs w:val="18"/>
        </w:rPr>
        <w:t>°</w:t>
      </w:r>
      <w:r w:rsidRPr="007F52A7">
        <w:rPr>
          <w:rFonts w:ascii="Arial" w:hAnsi="Arial" w:cs="Arial"/>
          <w:b/>
          <w:bCs/>
          <w:sz w:val="18"/>
          <w:szCs w:val="18"/>
        </w:rPr>
        <w:t>C.</w:t>
      </w:r>
    </w:p>
    <w:p w14:paraId="4A3DCFC9" w14:textId="77777777" w:rsidR="00C735A9" w:rsidRDefault="00C735A9" w:rsidP="00DF7C76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40592E7B" w14:textId="77777777" w:rsidR="00C735A9" w:rsidRPr="007F52A7" w:rsidRDefault="00C735A9" w:rsidP="00DF7C76">
      <w:pPr>
        <w:spacing w:line="360" w:lineRule="auto"/>
        <w:rPr>
          <w:rFonts w:ascii="Arial" w:hAnsi="Arial" w:cs="Arial"/>
          <w:sz w:val="18"/>
          <w:szCs w:val="18"/>
        </w:rPr>
      </w:pPr>
      <w:r w:rsidRPr="007F52A7">
        <w:rPr>
          <w:rFonts w:ascii="Arial" w:hAnsi="Arial" w:cs="Arial"/>
          <w:b/>
          <w:bCs/>
          <w:sz w:val="18"/>
          <w:szCs w:val="18"/>
        </w:rPr>
        <w:t xml:space="preserve">Table 2 </w:t>
      </w:r>
      <w:r w:rsidRPr="007F52A7">
        <w:rPr>
          <w:rFonts w:ascii="Arial" w:hAnsi="Arial" w:cs="Arial"/>
          <w:sz w:val="18"/>
          <w:szCs w:val="18"/>
        </w:rPr>
        <w:t>Chemical compostions of the catalysts determined by XRF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994"/>
        <w:gridCol w:w="992"/>
        <w:gridCol w:w="1004"/>
        <w:gridCol w:w="1011"/>
        <w:gridCol w:w="998"/>
        <w:gridCol w:w="995"/>
        <w:gridCol w:w="1005"/>
      </w:tblGrid>
      <w:tr w:rsidR="00C735A9" w:rsidRPr="007F52A7" w14:paraId="27C70DD5" w14:textId="77777777" w:rsidTr="00EC6181">
        <w:trPr>
          <w:jc w:val="center"/>
        </w:trPr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90411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lastRenderedPageBreak/>
              <w:t>Sample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DE2C8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CaO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1EDFF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TiO</w:t>
            </w:r>
            <w:r w:rsidRPr="007F52A7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41338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CeO</w:t>
            </w:r>
            <w:r w:rsidRPr="007F52A7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24566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Fe</w:t>
            </w:r>
            <w:r w:rsidRPr="007F52A7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7F52A7">
              <w:rPr>
                <w:rFonts w:ascii="Arial" w:hAnsi="Arial" w:cs="Arial"/>
                <w:sz w:val="18"/>
                <w:szCs w:val="18"/>
              </w:rPr>
              <w:t>O</w:t>
            </w:r>
            <w:r w:rsidRPr="007F52A7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D5636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MnO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12EB6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SiO</w:t>
            </w:r>
            <w:r w:rsidRPr="007F52A7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9AE78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Al</w:t>
            </w:r>
            <w:r w:rsidRPr="007F52A7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7F52A7">
              <w:rPr>
                <w:rFonts w:ascii="Arial" w:hAnsi="Arial" w:cs="Arial"/>
                <w:sz w:val="18"/>
                <w:szCs w:val="18"/>
              </w:rPr>
              <w:t>O</w:t>
            </w:r>
            <w:r w:rsidRPr="007F52A7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</w:tr>
      <w:tr w:rsidR="00C735A9" w:rsidRPr="007F52A7" w14:paraId="0538E7F0" w14:textId="77777777" w:rsidTr="00EC6181">
        <w:trPr>
          <w:jc w:val="center"/>
        </w:trPr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1A6A6EDC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10Ce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002BB688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27.9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28063342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40.6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10E93922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19.7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5E417A28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10F84233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1F10670F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534E7DB2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1.7</w:t>
            </w:r>
          </w:p>
        </w:tc>
      </w:tr>
      <w:tr w:rsidR="00C735A9" w:rsidRPr="007F52A7" w14:paraId="7945ECBD" w14:textId="77777777" w:rsidTr="00EC6181">
        <w:trPr>
          <w:jc w:val="center"/>
        </w:trPr>
        <w:tc>
          <w:tcPr>
            <w:tcW w:w="1065" w:type="dxa"/>
            <w:vAlign w:val="center"/>
          </w:tcPr>
          <w:p w14:paraId="7326A698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10Fe</w:t>
            </w:r>
          </w:p>
        </w:tc>
        <w:tc>
          <w:tcPr>
            <w:tcW w:w="1065" w:type="dxa"/>
            <w:vAlign w:val="center"/>
          </w:tcPr>
          <w:p w14:paraId="2CD20F34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34.6</w:t>
            </w:r>
          </w:p>
        </w:tc>
        <w:tc>
          <w:tcPr>
            <w:tcW w:w="1065" w:type="dxa"/>
            <w:vAlign w:val="center"/>
          </w:tcPr>
          <w:p w14:paraId="119E0CA5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43.2</w:t>
            </w:r>
          </w:p>
        </w:tc>
        <w:tc>
          <w:tcPr>
            <w:tcW w:w="1065" w:type="dxa"/>
            <w:vAlign w:val="center"/>
          </w:tcPr>
          <w:p w14:paraId="7757C5BE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5" w:type="dxa"/>
            <w:vAlign w:val="center"/>
          </w:tcPr>
          <w:p w14:paraId="7D4A05E0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  <w:tc>
          <w:tcPr>
            <w:tcW w:w="1065" w:type="dxa"/>
            <w:vAlign w:val="center"/>
          </w:tcPr>
          <w:p w14:paraId="1BD06C52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6" w:type="dxa"/>
            <w:vAlign w:val="center"/>
          </w:tcPr>
          <w:p w14:paraId="25D848B4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066" w:type="dxa"/>
            <w:vAlign w:val="center"/>
          </w:tcPr>
          <w:p w14:paraId="7569DCBB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</w:tr>
      <w:tr w:rsidR="00C735A9" w:rsidRPr="007F52A7" w14:paraId="07666843" w14:textId="77777777" w:rsidTr="00EC6181">
        <w:trPr>
          <w:jc w:val="center"/>
        </w:trPr>
        <w:tc>
          <w:tcPr>
            <w:tcW w:w="1065" w:type="dxa"/>
            <w:vAlign w:val="center"/>
          </w:tcPr>
          <w:p w14:paraId="0A9803C7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10Mn</w:t>
            </w:r>
          </w:p>
        </w:tc>
        <w:tc>
          <w:tcPr>
            <w:tcW w:w="1065" w:type="dxa"/>
            <w:vAlign w:val="center"/>
          </w:tcPr>
          <w:p w14:paraId="04D5992D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37.9</w:t>
            </w:r>
          </w:p>
        </w:tc>
        <w:tc>
          <w:tcPr>
            <w:tcW w:w="1065" w:type="dxa"/>
            <w:vAlign w:val="center"/>
          </w:tcPr>
          <w:p w14:paraId="11620973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43.1</w:t>
            </w:r>
          </w:p>
        </w:tc>
        <w:tc>
          <w:tcPr>
            <w:tcW w:w="1065" w:type="dxa"/>
            <w:vAlign w:val="center"/>
          </w:tcPr>
          <w:p w14:paraId="791139CB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5" w:type="dxa"/>
            <w:vAlign w:val="center"/>
          </w:tcPr>
          <w:p w14:paraId="24E329B8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1065" w:type="dxa"/>
            <w:vAlign w:val="center"/>
          </w:tcPr>
          <w:p w14:paraId="39C42CD2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10.4</w:t>
            </w:r>
          </w:p>
        </w:tc>
        <w:tc>
          <w:tcPr>
            <w:tcW w:w="1066" w:type="dxa"/>
            <w:vAlign w:val="center"/>
          </w:tcPr>
          <w:p w14:paraId="35F837E0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3.9</w:t>
            </w:r>
          </w:p>
        </w:tc>
        <w:tc>
          <w:tcPr>
            <w:tcW w:w="1066" w:type="dxa"/>
            <w:vAlign w:val="center"/>
          </w:tcPr>
          <w:p w14:paraId="0E846013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1.3</w:t>
            </w:r>
          </w:p>
        </w:tc>
      </w:tr>
      <w:tr w:rsidR="00C735A9" w:rsidRPr="007F52A7" w14:paraId="67566A33" w14:textId="77777777" w:rsidTr="00EC6181">
        <w:trPr>
          <w:jc w:val="center"/>
        </w:trPr>
        <w:tc>
          <w:tcPr>
            <w:tcW w:w="1065" w:type="dxa"/>
            <w:vAlign w:val="center"/>
          </w:tcPr>
          <w:p w14:paraId="7EBA7E05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5Fe10Mn</w:t>
            </w:r>
          </w:p>
        </w:tc>
        <w:tc>
          <w:tcPr>
            <w:tcW w:w="1065" w:type="dxa"/>
            <w:vAlign w:val="center"/>
          </w:tcPr>
          <w:p w14:paraId="5381820C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36.4</w:t>
            </w:r>
          </w:p>
        </w:tc>
        <w:tc>
          <w:tcPr>
            <w:tcW w:w="1065" w:type="dxa"/>
            <w:vAlign w:val="center"/>
          </w:tcPr>
          <w:p w14:paraId="2A66E67E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41.0</w:t>
            </w:r>
          </w:p>
        </w:tc>
        <w:tc>
          <w:tcPr>
            <w:tcW w:w="1065" w:type="dxa"/>
            <w:vAlign w:val="center"/>
          </w:tcPr>
          <w:p w14:paraId="48A54B56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5" w:type="dxa"/>
            <w:vAlign w:val="center"/>
          </w:tcPr>
          <w:p w14:paraId="0847FABC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5.2</w:t>
            </w:r>
          </w:p>
        </w:tc>
        <w:tc>
          <w:tcPr>
            <w:tcW w:w="1065" w:type="dxa"/>
            <w:vAlign w:val="center"/>
          </w:tcPr>
          <w:p w14:paraId="4C6AC5A1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1066" w:type="dxa"/>
            <w:vAlign w:val="center"/>
          </w:tcPr>
          <w:p w14:paraId="372C8855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3.1</w:t>
            </w:r>
          </w:p>
        </w:tc>
        <w:tc>
          <w:tcPr>
            <w:tcW w:w="1066" w:type="dxa"/>
            <w:vAlign w:val="center"/>
          </w:tcPr>
          <w:p w14:paraId="4276EC5C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</w:tr>
      <w:tr w:rsidR="00C735A9" w:rsidRPr="007F52A7" w14:paraId="3093AE47" w14:textId="77777777" w:rsidTr="00EC6181">
        <w:trPr>
          <w:jc w:val="center"/>
        </w:trPr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79350C20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5Ce5Fe10Mn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031F3385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31.2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5F082D96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36.7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57C9BD24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8.6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716A0343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0B0C24D8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11.1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6BEE1D8D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3.8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28F09512" w14:textId="77777777" w:rsidR="00C735A9" w:rsidRPr="007F52A7" w:rsidRDefault="00C735A9" w:rsidP="00FE30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</w:tr>
    </w:tbl>
    <w:p w14:paraId="2C91B25C" w14:textId="77777777" w:rsidR="00C735A9" w:rsidRPr="00F16CDA" w:rsidRDefault="00C735A9" w:rsidP="00DF7C7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6C7441B8" w14:textId="77777777" w:rsidR="00C735A9" w:rsidRPr="00C561BA" w:rsidRDefault="00C735A9" w:rsidP="00DF7C76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 w:rsidRPr="00C561BA"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0" distR="0" wp14:anchorId="58075DED" wp14:editId="2DAB2092">
            <wp:extent cx="2520000" cy="2520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A28EE" w14:textId="77777777" w:rsidR="00C735A9" w:rsidRPr="007F52A7" w:rsidRDefault="00C735A9" w:rsidP="00DF7C76">
      <w:pPr>
        <w:spacing w:line="360" w:lineRule="auto"/>
        <w:rPr>
          <w:rFonts w:ascii="Arial" w:hAnsi="Arial" w:cs="Arial"/>
          <w:sz w:val="18"/>
          <w:szCs w:val="18"/>
        </w:rPr>
      </w:pPr>
      <w:r w:rsidRPr="007F52A7">
        <w:rPr>
          <w:rFonts w:ascii="Arial" w:hAnsi="Arial" w:cs="Arial"/>
          <w:b/>
          <w:bCs/>
          <w:sz w:val="18"/>
          <w:szCs w:val="18"/>
        </w:rPr>
        <w:t>Fig. 2.</w:t>
      </w:r>
      <w:r w:rsidRPr="007F52A7">
        <w:rPr>
          <w:rFonts w:ascii="Arial" w:hAnsi="Arial" w:cs="Arial"/>
          <w:sz w:val="18"/>
          <w:szCs w:val="18"/>
        </w:rPr>
        <w:t xml:space="preserve"> </w:t>
      </w:r>
      <w:r w:rsidRPr="007F52A7">
        <w:rPr>
          <w:rFonts w:ascii="Arial" w:hAnsi="Arial" w:cs="Arial"/>
          <w:b/>
          <w:bCs/>
          <w:sz w:val="18"/>
          <w:szCs w:val="18"/>
        </w:rPr>
        <w:t>HAADF-STEM image of 5Ce5Fe10Mn.</w:t>
      </w:r>
      <w:r w:rsidRPr="007F52A7">
        <w:rPr>
          <w:rFonts w:ascii="Arial" w:hAnsi="Arial" w:cs="Arial"/>
          <w:sz w:val="18"/>
          <w:szCs w:val="18"/>
        </w:rPr>
        <w:t xml:space="preserve"> </w:t>
      </w:r>
    </w:p>
    <w:p w14:paraId="77D0FA50" w14:textId="77777777" w:rsidR="00C735A9" w:rsidRPr="00837A1F" w:rsidRDefault="00C735A9" w:rsidP="00DF7C76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271FD6AF" w14:textId="77777777" w:rsidR="00C735A9" w:rsidRPr="00C561BA" w:rsidRDefault="00C735A9" w:rsidP="005808C1">
      <w:pPr>
        <w:spacing w:line="360" w:lineRule="auto"/>
        <w:rPr>
          <w:rFonts w:ascii="Times New Roman" w:hAnsi="Times New Roman"/>
          <w:color w:val="0070C0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90D41DB" wp14:editId="2CA4269B">
            <wp:extent cx="5220335" cy="396494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C8BA" w14:textId="77777777" w:rsidR="00C735A9" w:rsidRPr="007F52A7" w:rsidRDefault="00C735A9" w:rsidP="005808C1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7F52A7">
        <w:rPr>
          <w:rFonts w:ascii="Arial" w:hAnsi="Arial" w:cs="Arial"/>
          <w:b/>
          <w:bCs/>
          <w:color w:val="000000" w:themeColor="text1"/>
          <w:sz w:val="18"/>
          <w:szCs w:val="18"/>
        </w:rPr>
        <w:lastRenderedPageBreak/>
        <w:t>Fig. 3.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7F52A7">
        <w:rPr>
          <w:rFonts w:ascii="Arial" w:hAnsi="Arial" w:cs="Arial"/>
          <w:b/>
          <w:bCs/>
          <w:color w:val="000000" w:themeColor="text1"/>
          <w:sz w:val="18"/>
          <w:szCs w:val="18"/>
        </w:rPr>
        <w:t>EXAFS fitting of doped perovskite in k-space.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7F52A7">
        <w:rPr>
          <w:rFonts w:ascii="Arial" w:hAnsi="Arial" w:cs="Arial"/>
          <w:b/>
          <w:bCs/>
          <w:color w:val="000000" w:themeColor="text1"/>
          <w:sz w:val="18"/>
          <w:szCs w:val="18"/>
        </w:rPr>
        <w:t>a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>, Fe K-edge EXAFS (points) and the curvefit (line) for 5Ce5Fe10Mn, shown in k</w:t>
      </w:r>
      <w:r w:rsidRPr="007F52A7">
        <w:rPr>
          <w:rFonts w:ascii="Arial" w:hAnsi="Arial" w:cs="Arial"/>
          <w:color w:val="000000" w:themeColor="text1"/>
          <w:sz w:val="18"/>
          <w:szCs w:val="18"/>
          <w:vertAlign w:val="superscript"/>
        </w:rPr>
        <w:t>3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 xml:space="preserve">weighted </w:t>
      </w:r>
      <w:r w:rsidRPr="007F52A7">
        <w:rPr>
          <w:rFonts w:ascii="Arial" w:hAnsi="Arial" w:cs="Arial"/>
          <w:i/>
          <w:iCs/>
          <w:color w:val="000000" w:themeColor="text1"/>
          <w:sz w:val="18"/>
          <w:szCs w:val="18"/>
        </w:rPr>
        <w:t>k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 xml:space="preserve">-space; </w:t>
      </w:r>
      <w:r w:rsidRPr="007F52A7">
        <w:rPr>
          <w:rFonts w:ascii="Arial" w:hAnsi="Arial" w:cs="Arial"/>
          <w:b/>
          <w:bCs/>
          <w:color w:val="000000" w:themeColor="text1"/>
          <w:sz w:val="18"/>
          <w:szCs w:val="18"/>
        </w:rPr>
        <w:t>b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>, Mn K-edge EXAFS (points) and the curvefit (line) for 5Ce5Fe10Mn, shown in k</w:t>
      </w:r>
      <w:r w:rsidRPr="007F52A7">
        <w:rPr>
          <w:rFonts w:ascii="Arial" w:hAnsi="Arial" w:cs="Arial"/>
          <w:color w:val="000000" w:themeColor="text1"/>
          <w:sz w:val="18"/>
          <w:szCs w:val="18"/>
          <w:vertAlign w:val="superscript"/>
        </w:rPr>
        <w:t>3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 xml:space="preserve">weighted </w:t>
      </w:r>
      <w:r w:rsidRPr="007F52A7">
        <w:rPr>
          <w:rFonts w:ascii="Arial" w:hAnsi="Arial" w:cs="Arial"/>
          <w:i/>
          <w:iCs/>
          <w:color w:val="000000" w:themeColor="text1"/>
          <w:sz w:val="18"/>
          <w:szCs w:val="18"/>
        </w:rPr>
        <w:t>k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 xml:space="preserve">-space; </w:t>
      </w:r>
      <w:r w:rsidRPr="007F52A7">
        <w:rPr>
          <w:rFonts w:ascii="Arial" w:hAnsi="Arial" w:cs="Arial"/>
          <w:b/>
          <w:bCs/>
          <w:color w:val="000000" w:themeColor="text1"/>
          <w:sz w:val="18"/>
          <w:szCs w:val="18"/>
        </w:rPr>
        <w:t>c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>, Ce L</w:t>
      </w:r>
      <w:r w:rsidRPr="007F52A7">
        <w:rPr>
          <w:rFonts w:ascii="宋体" w:hAnsi="宋体" w:cs="宋体" w:hint="eastAsia"/>
          <w:color w:val="000000" w:themeColor="text1"/>
          <w:sz w:val="18"/>
          <w:szCs w:val="18"/>
          <w:vertAlign w:val="subscript"/>
        </w:rPr>
        <w:t>Ⅲ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>-edge EXAFS (points) and the curvefit (line) for 10Ce, shown in k</w:t>
      </w:r>
      <w:r w:rsidRPr="007F52A7">
        <w:rPr>
          <w:rFonts w:ascii="Arial" w:hAnsi="Arial" w:cs="Arial"/>
          <w:color w:val="000000" w:themeColor="text1"/>
          <w:sz w:val="18"/>
          <w:szCs w:val="18"/>
          <w:vertAlign w:val="superscript"/>
        </w:rPr>
        <w:t>3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 xml:space="preserve">weighted </w:t>
      </w:r>
      <w:r w:rsidRPr="007F52A7">
        <w:rPr>
          <w:rFonts w:ascii="Arial" w:hAnsi="Arial" w:cs="Arial"/>
          <w:i/>
          <w:iCs/>
          <w:color w:val="000000" w:themeColor="text1"/>
          <w:sz w:val="18"/>
          <w:szCs w:val="18"/>
        </w:rPr>
        <w:t>k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>-space.</w:t>
      </w:r>
    </w:p>
    <w:p w14:paraId="26D0302F" w14:textId="2C29B8BA" w:rsidR="00C735A9" w:rsidRDefault="00C735A9" w:rsidP="006917E0">
      <w:pPr>
        <w:spacing w:line="360" w:lineRule="auto"/>
        <w:ind w:firstLineChars="100" w:firstLine="200"/>
        <w:rPr>
          <w:rFonts w:ascii="Times New Roman" w:eastAsia="等线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T</w:t>
      </w:r>
      <w:r>
        <w:rPr>
          <w:rFonts w:ascii="Times New Roman" w:hAnsi="Times New Roman" w:hint="eastAsia"/>
          <w:color w:val="000000" w:themeColor="text1"/>
          <w:sz w:val="20"/>
          <w:szCs w:val="20"/>
        </w:rPr>
        <w:t>he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data quality of Ce </w:t>
      </w:r>
      <w:r w:rsidRPr="0019595E">
        <w:rPr>
          <w:rFonts w:ascii="Times New Roman" w:hAnsi="Times New Roman"/>
          <w:color w:val="000000" w:themeColor="text1"/>
          <w:sz w:val="20"/>
          <w:szCs w:val="20"/>
        </w:rPr>
        <w:t>L</w:t>
      </w:r>
      <w:r w:rsidRPr="0019595E">
        <w:rPr>
          <w:rFonts w:ascii="Times New Roman" w:eastAsia="等线" w:hAnsi="Times New Roman"/>
          <w:color w:val="000000" w:themeColor="text1"/>
          <w:sz w:val="20"/>
          <w:szCs w:val="20"/>
          <w:vertAlign w:val="subscript"/>
        </w:rPr>
        <w:t>Ⅲ</w:t>
      </w:r>
      <w:r>
        <w:rPr>
          <w:rFonts w:ascii="Times New Roman" w:eastAsia="等线" w:hAnsi="Times New Roman"/>
          <w:color w:val="000000" w:themeColor="text1"/>
          <w:sz w:val="20"/>
          <w:szCs w:val="20"/>
        </w:rPr>
        <w:t>-edge EXAFS spectra from 5Ce5Fe10Mn is too poor to be analyzed, possibly due to the low mole ratio of Ce in the sample. We approached this challenge by r</w:t>
      </w:r>
      <w:r w:rsidR="00085292">
        <w:rPr>
          <w:rFonts w:ascii="Times New Roman" w:eastAsia="等线" w:hAnsi="Times New Roman"/>
          <w:color w:val="000000" w:themeColor="text1"/>
          <w:sz w:val="20"/>
          <w:szCs w:val="20"/>
        </w:rPr>
        <w:t>a</w:t>
      </w:r>
      <w:r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ising the doping amount of Ce, and thus a 10Ce sample was used to probe the coordination environment of </w:t>
      </w:r>
      <w:r w:rsidR="00085292"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the </w:t>
      </w:r>
      <w:r>
        <w:rPr>
          <w:rFonts w:ascii="Times New Roman" w:eastAsia="等线" w:hAnsi="Times New Roman"/>
          <w:color w:val="000000" w:themeColor="text1"/>
          <w:sz w:val="20"/>
          <w:szCs w:val="20"/>
        </w:rPr>
        <w:t>Ce atom.</w:t>
      </w:r>
    </w:p>
    <w:p w14:paraId="1BD53FC9" w14:textId="77777777" w:rsidR="00C735A9" w:rsidRDefault="00C735A9" w:rsidP="006917E0">
      <w:pPr>
        <w:spacing w:line="360" w:lineRule="auto"/>
        <w:ind w:firstLineChars="100" w:firstLine="201"/>
        <w:rPr>
          <w:rFonts w:ascii="Times New Roman" w:hAnsi="Times New Roman"/>
          <w:b/>
          <w:bCs/>
          <w:sz w:val="20"/>
          <w:szCs w:val="20"/>
        </w:rPr>
      </w:pPr>
    </w:p>
    <w:p w14:paraId="5EFCCB26" w14:textId="77777777" w:rsidR="00C735A9" w:rsidRPr="00840BBF" w:rsidRDefault="00C735A9" w:rsidP="009176AB">
      <w:pPr>
        <w:spacing w:line="360" w:lineRule="auto"/>
        <w:rPr>
          <w:rFonts w:ascii="Arial" w:hAnsi="Arial" w:cs="Arial"/>
          <w:sz w:val="18"/>
          <w:szCs w:val="18"/>
        </w:rPr>
      </w:pPr>
      <w:r w:rsidRPr="00840BBF">
        <w:rPr>
          <w:rFonts w:ascii="Arial" w:hAnsi="Arial" w:cs="Arial"/>
          <w:b/>
          <w:bCs/>
          <w:sz w:val="18"/>
          <w:szCs w:val="18"/>
        </w:rPr>
        <w:t>Table 3</w:t>
      </w:r>
      <w:r w:rsidRPr="00840BBF">
        <w:rPr>
          <w:rFonts w:ascii="Arial" w:hAnsi="Arial" w:cs="Arial"/>
          <w:sz w:val="18"/>
          <w:szCs w:val="18"/>
        </w:rPr>
        <w:t xml:space="preserve"> Curvefit parameters</w:t>
      </w:r>
      <w:r w:rsidRPr="00840BBF">
        <w:rPr>
          <w:rFonts w:ascii="Arial" w:hAnsi="Arial" w:cs="Arial"/>
          <w:sz w:val="18"/>
          <w:szCs w:val="18"/>
          <w:vertAlign w:val="superscript"/>
        </w:rPr>
        <w:t>a</w:t>
      </w:r>
      <w:r w:rsidRPr="00840BBF">
        <w:rPr>
          <w:rFonts w:ascii="Arial" w:hAnsi="Arial" w:cs="Arial"/>
          <w:sz w:val="18"/>
          <w:szCs w:val="18"/>
        </w:rPr>
        <w:t xml:space="preserve"> for Fe K-edge EXAFS for </w:t>
      </w:r>
      <w:r w:rsidRPr="00840BBF">
        <w:rPr>
          <w:rFonts w:ascii="Arial" w:hAnsi="Arial" w:cs="Arial"/>
          <w:color w:val="000000" w:themeColor="text1"/>
          <w:sz w:val="18"/>
          <w:szCs w:val="18"/>
        </w:rPr>
        <w:t>5Ce5Fe10Mn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9"/>
        <w:gridCol w:w="1408"/>
        <w:gridCol w:w="1408"/>
        <w:gridCol w:w="1409"/>
        <w:gridCol w:w="1409"/>
      </w:tblGrid>
      <w:tr w:rsidR="00C735A9" w:rsidRPr="00840BBF" w14:paraId="375FDE49" w14:textId="77777777" w:rsidTr="0074736D"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230A556F" w14:textId="77777777" w:rsidR="00C735A9" w:rsidRPr="00840BBF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40BBF">
              <w:rPr>
                <w:rFonts w:ascii="Arial" w:hAnsi="Arial" w:cs="Arial"/>
                <w:sz w:val="18"/>
                <w:szCs w:val="18"/>
              </w:rPr>
              <w:t>Path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5E7C5AFD" w14:textId="77777777" w:rsidR="00C735A9" w:rsidRPr="00840BBF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40BBF">
              <w:rPr>
                <w:rFonts w:ascii="Arial" w:hAnsi="Arial" w:cs="Arial"/>
                <w:sz w:val="18"/>
                <w:szCs w:val="18"/>
              </w:rPr>
              <w:t>d</w:t>
            </w:r>
            <w:r w:rsidRPr="00840BBF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  <w:r w:rsidRPr="00840BBF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840BBF">
              <w:rPr>
                <w:rFonts w:ascii="Arial" w:eastAsia="等线" w:hAnsi="Arial" w:cs="Arial"/>
                <w:sz w:val="18"/>
                <w:szCs w:val="18"/>
              </w:rPr>
              <w:t>Å</w:t>
            </w:r>
            <w:r w:rsidRPr="00840BB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63BB89AE" w14:textId="77777777" w:rsidR="00C735A9" w:rsidRPr="00840BBF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40BB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2C9DB606" w14:textId="77777777" w:rsidR="00C735A9" w:rsidRPr="00840BBF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40BBF">
              <w:rPr>
                <w:rFonts w:ascii="Arial" w:hAnsi="Arial" w:cs="Arial"/>
                <w:sz w:val="18"/>
                <w:szCs w:val="18"/>
              </w:rPr>
              <w:t>R (</w:t>
            </w:r>
            <w:r w:rsidRPr="00840BBF">
              <w:rPr>
                <w:rFonts w:ascii="Arial" w:eastAsia="等线" w:hAnsi="Arial" w:cs="Arial"/>
                <w:sz w:val="18"/>
                <w:szCs w:val="18"/>
              </w:rPr>
              <w:t>Å</w:t>
            </w:r>
            <w:r w:rsidRPr="00840BB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395CC78A" w14:textId="77777777" w:rsidR="00C735A9" w:rsidRPr="00840BBF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40BBF">
              <w:rPr>
                <w:rFonts w:ascii="Arial" w:hAnsi="Arial" w:cs="Arial"/>
                <w:sz w:val="18"/>
                <w:szCs w:val="18"/>
              </w:rPr>
              <w:t>σ</w:t>
            </w:r>
            <w:r w:rsidRPr="00840BBF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840BBF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840BBF">
              <w:rPr>
                <w:rFonts w:ascii="Arial" w:eastAsia="等线" w:hAnsi="Arial" w:cs="Arial"/>
                <w:sz w:val="18"/>
                <w:szCs w:val="18"/>
              </w:rPr>
              <w:t>Å</w:t>
            </w:r>
            <w:r w:rsidRPr="00840BBF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840BBF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C735A9" w:rsidRPr="00840BBF" w14:paraId="103349F7" w14:textId="77777777" w:rsidTr="0074736D">
        <w:tc>
          <w:tcPr>
            <w:tcW w:w="1479" w:type="dxa"/>
            <w:tcBorders>
              <w:top w:val="single" w:sz="4" w:space="0" w:color="auto"/>
            </w:tcBorders>
          </w:tcPr>
          <w:p w14:paraId="73DF7899" w14:textId="77777777" w:rsidR="00C735A9" w:rsidRPr="00840BBF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40BBF">
              <w:rPr>
                <w:rFonts w:ascii="Arial" w:hAnsi="Arial" w:cs="Arial"/>
                <w:sz w:val="18"/>
                <w:szCs w:val="18"/>
              </w:rPr>
              <w:t>Fe-O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5F227CDE" w14:textId="77777777" w:rsidR="00C735A9" w:rsidRPr="00840BBF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40BBF">
              <w:rPr>
                <w:rFonts w:ascii="Arial" w:hAnsi="Arial" w:cs="Arial"/>
                <w:sz w:val="18"/>
                <w:szCs w:val="18"/>
              </w:rPr>
              <w:t>1.958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491D3115" w14:textId="77777777" w:rsidR="00C735A9" w:rsidRPr="00840BBF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40BBF">
              <w:rPr>
                <w:rFonts w:ascii="Arial" w:hAnsi="Arial" w:cs="Arial"/>
                <w:sz w:val="18"/>
                <w:szCs w:val="18"/>
              </w:rPr>
              <w:t>6.0(1)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14:paraId="7FF0C3B3" w14:textId="77777777" w:rsidR="00C735A9" w:rsidRPr="00840BBF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40BBF">
              <w:rPr>
                <w:rFonts w:ascii="Arial" w:hAnsi="Arial" w:cs="Arial"/>
                <w:sz w:val="18"/>
                <w:szCs w:val="18"/>
              </w:rPr>
              <w:t>1.99(2)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14:paraId="52909865" w14:textId="77777777" w:rsidR="00C735A9" w:rsidRPr="00840BBF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40BBF">
              <w:rPr>
                <w:rFonts w:ascii="Arial" w:hAnsi="Arial" w:cs="Arial"/>
                <w:sz w:val="18"/>
                <w:szCs w:val="18"/>
              </w:rPr>
              <w:t>0.001(4)</w:t>
            </w:r>
          </w:p>
        </w:tc>
      </w:tr>
    </w:tbl>
    <w:p w14:paraId="1AA93218" w14:textId="77777777" w:rsidR="00C735A9" w:rsidRPr="00F438A7" w:rsidRDefault="00C735A9" w:rsidP="009176AB">
      <w:pPr>
        <w:spacing w:line="360" w:lineRule="auto"/>
        <w:rPr>
          <w:rFonts w:ascii="Arial" w:hAnsi="Arial" w:cs="Arial"/>
          <w:sz w:val="16"/>
          <w:szCs w:val="16"/>
        </w:rPr>
      </w:pPr>
      <w:r w:rsidRPr="00F438A7">
        <w:rPr>
          <w:rFonts w:ascii="Arial" w:hAnsi="Arial" w:cs="Arial"/>
          <w:sz w:val="16"/>
          <w:szCs w:val="16"/>
          <w:vertAlign w:val="superscript"/>
        </w:rPr>
        <w:t>a</w:t>
      </w:r>
      <w:r w:rsidRPr="00F438A7">
        <w:rPr>
          <w:rFonts w:ascii="Arial" w:hAnsi="Arial" w:cs="Arial"/>
          <w:sz w:val="16"/>
          <w:szCs w:val="16"/>
        </w:rPr>
        <w:t xml:space="preserve"> S</w:t>
      </w:r>
      <w:r w:rsidRPr="00F438A7">
        <w:rPr>
          <w:rFonts w:ascii="Arial" w:hAnsi="Arial" w:cs="Arial"/>
          <w:sz w:val="16"/>
          <w:szCs w:val="16"/>
          <w:vertAlign w:val="subscript"/>
        </w:rPr>
        <w:t>0</w:t>
      </w:r>
      <w:r w:rsidRPr="00F438A7">
        <w:rPr>
          <w:rFonts w:ascii="Arial" w:hAnsi="Arial" w:cs="Arial"/>
          <w:sz w:val="16"/>
          <w:szCs w:val="16"/>
          <w:vertAlign w:val="superscript"/>
        </w:rPr>
        <w:t>2</w:t>
      </w:r>
      <w:r w:rsidRPr="00F438A7">
        <w:rPr>
          <w:rFonts w:ascii="Arial" w:hAnsi="Arial" w:cs="Arial"/>
          <w:sz w:val="16"/>
          <w:szCs w:val="16"/>
        </w:rPr>
        <w:t xml:space="preserve"> was fixed as 0.9. ΔE</w:t>
      </w:r>
      <w:r w:rsidRPr="00F438A7">
        <w:rPr>
          <w:rFonts w:ascii="Arial" w:hAnsi="Arial" w:cs="Arial"/>
          <w:sz w:val="16"/>
          <w:szCs w:val="16"/>
          <w:vertAlign w:val="subscript"/>
        </w:rPr>
        <w:t>0</w:t>
      </w:r>
      <w:r w:rsidRPr="00F438A7">
        <w:rPr>
          <w:rFonts w:ascii="Arial" w:hAnsi="Arial" w:cs="Arial"/>
          <w:sz w:val="16"/>
          <w:szCs w:val="16"/>
        </w:rPr>
        <w:t xml:space="preserve"> was refined as a global fit parameter, returning a value of (-2 ± 2) eV. Data ranges: 2 ≤ k ≤ 9 Å</w:t>
      </w:r>
      <w:r w:rsidRPr="00F438A7">
        <w:rPr>
          <w:rFonts w:ascii="Arial" w:hAnsi="Arial" w:cs="Arial"/>
          <w:sz w:val="16"/>
          <w:szCs w:val="16"/>
          <w:vertAlign w:val="superscript"/>
        </w:rPr>
        <w:t>-1</w:t>
      </w:r>
      <w:r w:rsidRPr="00F438A7">
        <w:rPr>
          <w:rFonts w:ascii="Arial" w:hAnsi="Arial" w:cs="Arial"/>
          <w:sz w:val="16"/>
          <w:szCs w:val="16"/>
        </w:rPr>
        <w:t xml:space="preserve">, 1.0 ≤ R ≤ 2.2 Å. The number of variable parameters is 4, out of a total of 4.3 independent data points. R factor for this fit is 1.8%. </w:t>
      </w:r>
      <w:r w:rsidRPr="00F438A7">
        <w:rPr>
          <w:rFonts w:ascii="Arial" w:hAnsi="Arial" w:cs="Arial"/>
          <w:sz w:val="16"/>
          <w:szCs w:val="16"/>
          <w:vertAlign w:val="superscript"/>
        </w:rPr>
        <w:t>b</w:t>
      </w:r>
      <w:r w:rsidRPr="00F438A7">
        <w:rPr>
          <w:rFonts w:ascii="Arial" w:hAnsi="Arial" w:cs="Arial"/>
          <w:sz w:val="16"/>
          <w:szCs w:val="16"/>
        </w:rPr>
        <w:t xml:space="preserve"> The distance for Fe-O is from the crystal structure of CaFeO</w:t>
      </w:r>
      <w:r w:rsidRPr="00F438A7">
        <w:rPr>
          <w:rFonts w:ascii="Arial" w:hAnsi="Arial" w:cs="Arial"/>
          <w:sz w:val="16"/>
          <w:szCs w:val="16"/>
          <w:vertAlign w:val="subscript"/>
        </w:rPr>
        <w:t>3</w:t>
      </w:r>
      <w:r w:rsidRPr="00F438A7">
        <w:rPr>
          <w:rFonts w:ascii="Arial" w:hAnsi="Arial" w:cs="Arial"/>
          <w:sz w:val="16"/>
          <w:szCs w:val="16"/>
        </w:rPr>
        <w:t>.</w:t>
      </w:r>
    </w:p>
    <w:p w14:paraId="67F38062" w14:textId="62D904F3" w:rsidR="00C735A9" w:rsidRDefault="00C735A9" w:rsidP="009176AB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3A9FC06F" w14:textId="77777777" w:rsidR="001910FB" w:rsidRDefault="001910FB" w:rsidP="009176AB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03911C40" w14:textId="77777777" w:rsidR="00C735A9" w:rsidRPr="007F52A7" w:rsidRDefault="00C735A9" w:rsidP="009176AB">
      <w:pPr>
        <w:spacing w:line="360" w:lineRule="auto"/>
        <w:rPr>
          <w:rFonts w:ascii="Arial" w:hAnsi="Arial" w:cs="Arial"/>
          <w:sz w:val="18"/>
          <w:szCs w:val="18"/>
        </w:rPr>
      </w:pPr>
      <w:r w:rsidRPr="007F52A7">
        <w:rPr>
          <w:rFonts w:ascii="Arial" w:hAnsi="Arial" w:cs="Arial"/>
          <w:b/>
          <w:bCs/>
          <w:sz w:val="18"/>
          <w:szCs w:val="18"/>
        </w:rPr>
        <w:t xml:space="preserve">Table 4 </w:t>
      </w:r>
      <w:r w:rsidRPr="007F52A7">
        <w:rPr>
          <w:rFonts w:ascii="Arial" w:hAnsi="Arial" w:cs="Arial"/>
          <w:sz w:val="18"/>
          <w:szCs w:val="18"/>
        </w:rPr>
        <w:t>Curvefit parameters</w:t>
      </w:r>
      <w:r w:rsidRPr="007F52A7">
        <w:rPr>
          <w:rFonts w:ascii="Arial" w:hAnsi="Arial" w:cs="Arial"/>
          <w:sz w:val="18"/>
          <w:szCs w:val="18"/>
          <w:vertAlign w:val="superscript"/>
        </w:rPr>
        <w:t>a</w:t>
      </w:r>
      <w:r w:rsidRPr="007F52A7">
        <w:rPr>
          <w:rFonts w:ascii="Arial" w:hAnsi="Arial" w:cs="Arial"/>
          <w:sz w:val="18"/>
          <w:szCs w:val="18"/>
        </w:rPr>
        <w:t xml:space="preserve"> for Mn K-edge EXAFS fo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>r 5Ce5Fe10Mn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9"/>
        <w:gridCol w:w="1408"/>
        <w:gridCol w:w="1408"/>
        <w:gridCol w:w="1409"/>
        <w:gridCol w:w="1409"/>
      </w:tblGrid>
      <w:tr w:rsidR="00C735A9" w:rsidRPr="007F52A7" w14:paraId="7DB62B0C" w14:textId="77777777" w:rsidTr="0074736D"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70F58542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Path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16063628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d</w:t>
            </w:r>
            <w:r w:rsidRPr="007F52A7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  <w:r w:rsidRPr="007F52A7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F52A7">
              <w:rPr>
                <w:rFonts w:ascii="Arial" w:eastAsia="等线" w:hAnsi="Arial" w:cs="Arial"/>
                <w:sz w:val="18"/>
                <w:szCs w:val="18"/>
              </w:rPr>
              <w:t>Å</w:t>
            </w:r>
            <w:r w:rsidRPr="007F52A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075855B5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62DCA491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R (</w:t>
            </w:r>
            <w:r w:rsidRPr="007F52A7">
              <w:rPr>
                <w:rFonts w:ascii="Arial" w:eastAsia="等线" w:hAnsi="Arial" w:cs="Arial"/>
                <w:sz w:val="18"/>
                <w:szCs w:val="18"/>
              </w:rPr>
              <w:t>Å</w:t>
            </w:r>
            <w:r w:rsidRPr="007F52A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45A24822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σ</w:t>
            </w:r>
            <w:r w:rsidRPr="007F52A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7F52A7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F52A7">
              <w:rPr>
                <w:rFonts w:ascii="Arial" w:eastAsia="等线" w:hAnsi="Arial" w:cs="Arial"/>
                <w:sz w:val="18"/>
                <w:szCs w:val="18"/>
              </w:rPr>
              <w:t>Å</w:t>
            </w:r>
            <w:r w:rsidRPr="007F52A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7F52A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C735A9" w:rsidRPr="007F52A7" w14:paraId="43362127" w14:textId="77777777" w:rsidTr="0074736D">
        <w:tc>
          <w:tcPr>
            <w:tcW w:w="1479" w:type="dxa"/>
            <w:tcBorders>
              <w:top w:val="single" w:sz="4" w:space="0" w:color="auto"/>
              <w:bottom w:val="nil"/>
            </w:tcBorders>
          </w:tcPr>
          <w:p w14:paraId="509E5E60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Mn-O</w:t>
            </w:r>
          </w:p>
        </w:tc>
        <w:tc>
          <w:tcPr>
            <w:tcW w:w="1408" w:type="dxa"/>
            <w:tcBorders>
              <w:top w:val="single" w:sz="4" w:space="0" w:color="auto"/>
              <w:bottom w:val="nil"/>
            </w:tcBorders>
          </w:tcPr>
          <w:p w14:paraId="66975BD2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1.931</w:t>
            </w:r>
          </w:p>
        </w:tc>
        <w:tc>
          <w:tcPr>
            <w:tcW w:w="1408" w:type="dxa"/>
            <w:tcBorders>
              <w:top w:val="single" w:sz="4" w:space="0" w:color="auto"/>
              <w:bottom w:val="nil"/>
            </w:tcBorders>
          </w:tcPr>
          <w:p w14:paraId="57AA640D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6</w:t>
            </w:r>
            <w:r w:rsidRPr="00CF153F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09" w:type="dxa"/>
            <w:tcBorders>
              <w:top w:val="single" w:sz="4" w:space="0" w:color="auto"/>
              <w:bottom w:val="nil"/>
            </w:tcBorders>
          </w:tcPr>
          <w:p w14:paraId="3ECD1B9E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1.89(1)</w:t>
            </w:r>
          </w:p>
        </w:tc>
        <w:tc>
          <w:tcPr>
            <w:tcW w:w="1409" w:type="dxa"/>
            <w:tcBorders>
              <w:top w:val="single" w:sz="4" w:space="0" w:color="auto"/>
              <w:bottom w:val="nil"/>
            </w:tcBorders>
          </w:tcPr>
          <w:p w14:paraId="5DA94E85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0.003(1)</w:t>
            </w:r>
          </w:p>
        </w:tc>
      </w:tr>
      <w:tr w:rsidR="00C735A9" w:rsidRPr="007F52A7" w14:paraId="7AA28054" w14:textId="77777777" w:rsidTr="0074736D">
        <w:tc>
          <w:tcPr>
            <w:tcW w:w="1479" w:type="dxa"/>
            <w:tcBorders>
              <w:top w:val="nil"/>
              <w:bottom w:val="nil"/>
            </w:tcBorders>
          </w:tcPr>
          <w:p w14:paraId="0EA2B109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Mn-Ca1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126E4DE9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3.143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2CAF9A7E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2</w:t>
            </w:r>
            <w:r w:rsidRPr="007F52A7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67C6AC1D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3.05(2)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4BC5B44B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0.003(1)</w:t>
            </w:r>
          </w:p>
        </w:tc>
      </w:tr>
      <w:tr w:rsidR="00C735A9" w:rsidRPr="007F52A7" w14:paraId="285A4C24" w14:textId="77777777" w:rsidTr="0074736D">
        <w:tc>
          <w:tcPr>
            <w:tcW w:w="1479" w:type="dxa"/>
            <w:tcBorders>
              <w:top w:val="nil"/>
            </w:tcBorders>
          </w:tcPr>
          <w:p w14:paraId="4722039C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Mn-Ca2</w:t>
            </w:r>
          </w:p>
        </w:tc>
        <w:tc>
          <w:tcPr>
            <w:tcW w:w="1408" w:type="dxa"/>
            <w:tcBorders>
              <w:top w:val="nil"/>
            </w:tcBorders>
          </w:tcPr>
          <w:p w14:paraId="7EF1637D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3.271</w:t>
            </w:r>
          </w:p>
        </w:tc>
        <w:tc>
          <w:tcPr>
            <w:tcW w:w="1408" w:type="dxa"/>
            <w:tcBorders>
              <w:top w:val="nil"/>
            </w:tcBorders>
          </w:tcPr>
          <w:p w14:paraId="0D82C13A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2</w:t>
            </w:r>
            <w:r w:rsidRPr="007F52A7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09" w:type="dxa"/>
            <w:tcBorders>
              <w:top w:val="nil"/>
            </w:tcBorders>
          </w:tcPr>
          <w:p w14:paraId="6C3B89A3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3.20(3)</w:t>
            </w:r>
          </w:p>
        </w:tc>
        <w:tc>
          <w:tcPr>
            <w:tcW w:w="1409" w:type="dxa"/>
            <w:tcBorders>
              <w:top w:val="nil"/>
            </w:tcBorders>
          </w:tcPr>
          <w:p w14:paraId="431C1B90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0.003(1)</w:t>
            </w:r>
          </w:p>
        </w:tc>
      </w:tr>
    </w:tbl>
    <w:p w14:paraId="2B27B8FA" w14:textId="77777777" w:rsidR="00C735A9" w:rsidRPr="007F52A7" w:rsidRDefault="00C735A9" w:rsidP="009176AB">
      <w:pPr>
        <w:spacing w:line="360" w:lineRule="auto"/>
        <w:rPr>
          <w:rFonts w:ascii="Arial" w:hAnsi="Arial" w:cs="Arial"/>
          <w:color w:val="000000" w:themeColor="text1"/>
          <w:sz w:val="16"/>
          <w:szCs w:val="16"/>
        </w:rPr>
      </w:pPr>
      <w:r w:rsidRPr="007F52A7">
        <w:rPr>
          <w:rFonts w:ascii="Arial" w:hAnsi="Arial" w:cs="Arial"/>
          <w:sz w:val="16"/>
          <w:szCs w:val="16"/>
          <w:vertAlign w:val="superscript"/>
        </w:rPr>
        <w:t>a</w:t>
      </w:r>
      <w:r w:rsidRPr="007F52A7">
        <w:rPr>
          <w:rFonts w:ascii="Arial" w:hAnsi="Arial" w:cs="Arial"/>
          <w:sz w:val="16"/>
          <w:szCs w:val="16"/>
        </w:rPr>
        <w:t xml:space="preserve"> S</w:t>
      </w:r>
      <w:r w:rsidRPr="007F52A7">
        <w:rPr>
          <w:rFonts w:ascii="Arial" w:hAnsi="Arial" w:cs="Arial"/>
          <w:sz w:val="16"/>
          <w:szCs w:val="16"/>
          <w:vertAlign w:val="subscript"/>
        </w:rPr>
        <w:t>0</w:t>
      </w:r>
      <w:r w:rsidRPr="007F52A7">
        <w:rPr>
          <w:rFonts w:ascii="Arial" w:hAnsi="Arial" w:cs="Arial"/>
          <w:sz w:val="16"/>
          <w:szCs w:val="16"/>
          <w:vertAlign w:val="superscript"/>
        </w:rPr>
        <w:t>2</w:t>
      </w:r>
      <w:r w:rsidRPr="007F52A7">
        <w:rPr>
          <w:rFonts w:ascii="Arial" w:hAnsi="Arial" w:cs="Arial"/>
          <w:sz w:val="16"/>
          <w:szCs w:val="16"/>
        </w:rPr>
        <w:t xml:space="preserve"> was</w:t>
      </w:r>
      <w:r w:rsidRPr="007F52A7">
        <w:rPr>
          <w:rFonts w:ascii="Arial" w:hAnsi="Arial" w:cs="Arial"/>
          <w:color w:val="FF0000"/>
          <w:sz w:val="16"/>
          <w:szCs w:val="16"/>
        </w:rPr>
        <w:t xml:space="preserve"> 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>returned a</w:t>
      </w:r>
      <w:r w:rsidRPr="007F52A7">
        <w:rPr>
          <w:rFonts w:ascii="Arial" w:hAnsi="Arial" w:cs="Arial"/>
          <w:sz w:val="16"/>
          <w:szCs w:val="16"/>
        </w:rPr>
        <w:t>s 0.7. ΔE</w:t>
      </w:r>
      <w:r w:rsidRPr="007F52A7">
        <w:rPr>
          <w:rFonts w:ascii="Arial" w:hAnsi="Arial" w:cs="Arial"/>
          <w:sz w:val="16"/>
          <w:szCs w:val="16"/>
          <w:vertAlign w:val="subscript"/>
        </w:rPr>
        <w:t>0</w:t>
      </w:r>
      <w:r w:rsidRPr="007F52A7">
        <w:rPr>
          <w:rFonts w:ascii="Arial" w:hAnsi="Arial" w:cs="Arial"/>
          <w:sz w:val="16"/>
          <w:szCs w:val="16"/>
        </w:rPr>
        <w:t xml:space="preserve"> was refined as a global fit parameter, returning a value of (-6 ± 1) eV. Data ranges: 2 ≤ k ≤ 10.5 Å</w:t>
      </w:r>
      <w:r w:rsidRPr="007F52A7">
        <w:rPr>
          <w:rFonts w:ascii="Arial" w:hAnsi="Arial" w:cs="Arial"/>
          <w:sz w:val="16"/>
          <w:szCs w:val="16"/>
          <w:vertAlign w:val="superscript"/>
        </w:rPr>
        <w:t>-1</w:t>
      </w:r>
      <w:r w:rsidRPr="007F52A7">
        <w:rPr>
          <w:rFonts w:ascii="Arial" w:hAnsi="Arial" w:cs="Arial"/>
          <w:sz w:val="16"/>
          <w:szCs w:val="16"/>
        </w:rPr>
        <w:t xml:space="preserve">, 1.0 ≤ R ≤ 3 Å. The number of variable parameters is 6, out of a total of 10.6 independent data points. R factor for this fit is 1.5%. </w:t>
      </w:r>
      <w:r w:rsidRPr="007F52A7">
        <w:rPr>
          <w:rFonts w:ascii="Arial" w:hAnsi="Arial" w:cs="Arial"/>
          <w:sz w:val="16"/>
          <w:szCs w:val="16"/>
          <w:vertAlign w:val="superscript"/>
        </w:rPr>
        <w:t>b</w:t>
      </w:r>
      <w:r w:rsidRPr="007F52A7">
        <w:rPr>
          <w:rFonts w:ascii="Arial" w:hAnsi="Arial" w:cs="Arial"/>
          <w:sz w:val="16"/>
          <w:szCs w:val="16"/>
        </w:rPr>
        <w:t xml:space="preserve"> The distances for Mn-O, Mn-Ca1, and Mn-Ca2 are from the crystal structure of Ca</w:t>
      </w:r>
      <w:r w:rsidRPr="007F52A7">
        <w:rPr>
          <w:rFonts w:ascii="Arial" w:hAnsi="Arial" w:cs="Arial"/>
          <w:sz w:val="16"/>
          <w:szCs w:val="16"/>
          <w:vertAlign w:val="subscript"/>
        </w:rPr>
        <w:t>2</w:t>
      </w:r>
      <w:r w:rsidRPr="007F52A7">
        <w:rPr>
          <w:rFonts w:ascii="Arial" w:hAnsi="Arial" w:cs="Arial"/>
          <w:sz w:val="16"/>
          <w:szCs w:val="16"/>
        </w:rPr>
        <w:t>Ti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>MnO</w:t>
      </w:r>
      <w:r w:rsidRPr="007F52A7">
        <w:rPr>
          <w:rFonts w:ascii="Arial" w:hAnsi="Arial" w:cs="Arial"/>
          <w:color w:val="000000" w:themeColor="text1"/>
          <w:sz w:val="16"/>
          <w:szCs w:val="16"/>
          <w:vertAlign w:val="subscript"/>
        </w:rPr>
        <w:t>6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  <w:r w:rsidRPr="007F52A7">
        <w:rPr>
          <w:rFonts w:ascii="Arial" w:hAnsi="Arial" w:cs="Arial"/>
          <w:color w:val="000000" w:themeColor="text1"/>
          <w:sz w:val="16"/>
          <w:szCs w:val="16"/>
          <w:vertAlign w:val="superscript"/>
        </w:rPr>
        <w:t>c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 xml:space="preserve"> These coordination numbers were constrained as N(Mn-Ca1) = N(Mn-Ca2) = 2</w:t>
      </w:r>
      <w:r>
        <w:rPr>
          <w:rFonts w:ascii="Arial" w:hAnsi="Arial" w:cs="Arial"/>
          <w:color w:val="000000" w:themeColor="text1"/>
          <w:sz w:val="16"/>
          <w:szCs w:val="16"/>
        </w:rPr>
        <w:t>, and N(Mn-O) = 6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 xml:space="preserve"> based on the crystal structure.</w:t>
      </w:r>
    </w:p>
    <w:p w14:paraId="2DF015A1" w14:textId="77777777" w:rsidR="00C735A9" w:rsidRPr="00C561BA" w:rsidRDefault="00C735A9" w:rsidP="009176AB">
      <w:pPr>
        <w:spacing w:line="360" w:lineRule="auto"/>
        <w:rPr>
          <w:rFonts w:ascii="Times New Roman" w:hAnsi="Times New Roman"/>
          <w:color w:val="FF0000"/>
          <w:sz w:val="20"/>
          <w:szCs w:val="20"/>
        </w:rPr>
      </w:pPr>
    </w:p>
    <w:p w14:paraId="6E7A8DEA" w14:textId="77777777" w:rsidR="00C735A9" w:rsidRPr="007F52A7" w:rsidRDefault="00C735A9" w:rsidP="009176AB">
      <w:pPr>
        <w:spacing w:line="360" w:lineRule="auto"/>
        <w:rPr>
          <w:rFonts w:ascii="Arial" w:hAnsi="Arial" w:cs="Arial"/>
          <w:sz w:val="18"/>
          <w:szCs w:val="18"/>
        </w:rPr>
      </w:pPr>
      <w:r w:rsidRPr="007F52A7">
        <w:rPr>
          <w:rFonts w:ascii="Arial" w:hAnsi="Arial" w:cs="Arial"/>
          <w:b/>
          <w:bCs/>
          <w:sz w:val="18"/>
          <w:szCs w:val="18"/>
        </w:rPr>
        <w:t xml:space="preserve">Table 5 </w:t>
      </w:r>
      <w:r w:rsidRPr="007F52A7">
        <w:rPr>
          <w:rFonts w:ascii="Arial" w:hAnsi="Arial" w:cs="Arial"/>
          <w:sz w:val="18"/>
          <w:szCs w:val="18"/>
        </w:rPr>
        <w:t>Curvefit parameters</w:t>
      </w:r>
      <w:r w:rsidRPr="007F52A7">
        <w:rPr>
          <w:rFonts w:ascii="Arial" w:hAnsi="Arial" w:cs="Arial"/>
          <w:sz w:val="18"/>
          <w:szCs w:val="18"/>
          <w:vertAlign w:val="superscript"/>
        </w:rPr>
        <w:t>a</w:t>
      </w:r>
      <w:r w:rsidRPr="007F52A7">
        <w:rPr>
          <w:rFonts w:ascii="Arial" w:hAnsi="Arial" w:cs="Arial"/>
          <w:sz w:val="18"/>
          <w:szCs w:val="18"/>
        </w:rPr>
        <w:t xml:space="preserve"> for Ce L</w:t>
      </w:r>
      <w:r w:rsidRPr="007F52A7">
        <w:rPr>
          <w:rFonts w:ascii="宋体" w:hAnsi="宋体" w:cs="宋体" w:hint="eastAsia"/>
          <w:sz w:val="18"/>
          <w:szCs w:val="18"/>
          <w:vertAlign w:val="subscript"/>
        </w:rPr>
        <w:t>Ⅲ</w:t>
      </w:r>
      <w:r w:rsidRPr="007F52A7">
        <w:rPr>
          <w:rFonts w:ascii="Arial" w:hAnsi="Arial" w:cs="Arial"/>
          <w:sz w:val="18"/>
          <w:szCs w:val="18"/>
        </w:rPr>
        <w:t xml:space="preserve">-edge EXAFS for 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>10Ce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9"/>
        <w:gridCol w:w="1408"/>
        <w:gridCol w:w="1408"/>
        <w:gridCol w:w="1409"/>
        <w:gridCol w:w="1409"/>
      </w:tblGrid>
      <w:tr w:rsidR="00C735A9" w:rsidRPr="007F52A7" w14:paraId="3114FF1D" w14:textId="77777777" w:rsidTr="0074736D"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6EA32E56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Path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05357B7A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d</w:t>
            </w:r>
            <w:r w:rsidRPr="007F52A7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  <w:r w:rsidRPr="007F52A7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F52A7">
              <w:rPr>
                <w:rFonts w:ascii="Arial" w:eastAsia="等线" w:hAnsi="Arial" w:cs="Arial"/>
                <w:sz w:val="18"/>
                <w:szCs w:val="18"/>
              </w:rPr>
              <w:t>Å</w:t>
            </w:r>
            <w:r w:rsidRPr="007F52A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6FCEAFE3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673E9CFC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R (</w:t>
            </w:r>
            <w:r w:rsidRPr="007F52A7">
              <w:rPr>
                <w:rFonts w:ascii="Arial" w:eastAsia="等线" w:hAnsi="Arial" w:cs="Arial"/>
                <w:sz w:val="18"/>
                <w:szCs w:val="18"/>
              </w:rPr>
              <w:t>Å</w:t>
            </w:r>
            <w:r w:rsidRPr="007F52A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681963C2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σ</w:t>
            </w:r>
            <w:r w:rsidRPr="007F52A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7F52A7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7F52A7">
              <w:rPr>
                <w:rFonts w:ascii="Arial" w:eastAsia="等线" w:hAnsi="Arial" w:cs="Arial"/>
                <w:sz w:val="18"/>
                <w:szCs w:val="18"/>
              </w:rPr>
              <w:t>Å</w:t>
            </w:r>
            <w:r w:rsidRPr="007F52A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7F52A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C735A9" w:rsidRPr="007F52A7" w14:paraId="73B68475" w14:textId="77777777" w:rsidTr="0074736D">
        <w:tc>
          <w:tcPr>
            <w:tcW w:w="1479" w:type="dxa"/>
            <w:tcBorders>
              <w:top w:val="single" w:sz="4" w:space="0" w:color="auto"/>
              <w:bottom w:val="nil"/>
            </w:tcBorders>
          </w:tcPr>
          <w:p w14:paraId="0D8BDC1F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lastRenderedPageBreak/>
              <w:t>Ce-O1</w:t>
            </w:r>
          </w:p>
        </w:tc>
        <w:tc>
          <w:tcPr>
            <w:tcW w:w="1408" w:type="dxa"/>
            <w:tcBorders>
              <w:top w:val="single" w:sz="4" w:space="0" w:color="auto"/>
              <w:bottom w:val="nil"/>
            </w:tcBorders>
          </w:tcPr>
          <w:p w14:paraId="498849E8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2.788</w:t>
            </w:r>
          </w:p>
        </w:tc>
        <w:tc>
          <w:tcPr>
            <w:tcW w:w="1408" w:type="dxa"/>
            <w:tcBorders>
              <w:top w:val="single" w:sz="4" w:space="0" w:color="auto"/>
              <w:bottom w:val="nil"/>
            </w:tcBorders>
          </w:tcPr>
          <w:p w14:paraId="0C882F69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7F52A7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09" w:type="dxa"/>
            <w:tcBorders>
              <w:top w:val="single" w:sz="4" w:space="0" w:color="auto"/>
              <w:bottom w:val="nil"/>
            </w:tcBorders>
          </w:tcPr>
          <w:p w14:paraId="5F8F98B9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71</w:t>
            </w:r>
            <w:r w:rsidRPr="007F52A7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7F52A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bottom w:val="nil"/>
            </w:tcBorders>
          </w:tcPr>
          <w:p w14:paraId="22E2D949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7F52A7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7F52A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C735A9" w:rsidRPr="007F52A7" w14:paraId="6176B826" w14:textId="77777777" w:rsidTr="0074736D">
        <w:tc>
          <w:tcPr>
            <w:tcW w:w="1479" w:type="dxa"/>
            <w:tcBorders>
              <w:top w:val="nil"/>
              <w:bottom w:val="nil"/>
            </w:tcBorders>
          </w:tcPr>
          <w:p w14:paraId="3C046C86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Ce-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 w:hint="eastAsia"/>
                <w:sz w:val="18"/>
                <w:szCs w:val="18"/>
              </w:rPr>
              <w:t>i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10C41970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3.414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4E109F79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8</w:t>
            </w:r>
            <w:r w:rsidRPr="007F52A7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6EC2D13A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3.34</w:t>
            </w:r>
            <w:r w:rsidRPr="007F52A7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7F52A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42E189F8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Pr="007F52A7">
              <w:rPr>
                <w:rFonts w:ascii="Arial" w:hAnsi="Arial" w:cs="Arial"/>
                <w:sz w:val="18"/>
                <w:szCs w:val="18"/>
              </w:rPr>
              <w:t>(8)</w:t>
            </w:r>
          </w:p>
        </w:tc>
      </w:tr>
      <w:tr w:rsidR="00C735A9" w:rsidRPr="007F52A7" w14:paraId="59B494DB" w14:textId="77777777" w:rsidTr="0074736D">
        <w:tc>
          <w:tcPr>
            <w:tcW w:w="1479" w:type="dxa"/>
            <w:tcBorders>
              <w:top w:val="nil"/>
              <w:bottom w:val="nil"/>
            </w:tcBorders>
          </w:tcPr>
          <w:p w14:paraId="22836778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Ce-O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26251C05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343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78B0B2D8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7F52A7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2DCA102A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007F52A7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7F52A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3BDAF34D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Pr="007F52A7">
              <w:rPr>
                <w:rFonts w:ascii="Arial" w:hAnsi="Arial" w:cs="Arial"/>
                <w:sz w:val="18"/>
                <w:szCs w:val="18"/>
              </w:rPr>
              <w:t>(8)</w:t>
            </w:r>
          </w:p>
        </w:tc>
      </w:tr>
      <w:tr w:rsidR="00C735A9" w:rsidRPr="007F52A7" w14:paraId="46DA1310" w14:textId="77777777" w:rsidTr="0074736D">
        <w:tc>
          <w:tcPr>
            <w:tcW w:w="1479" w:type="dxa"/>
            <w:tcBorders>
              <w:top w:val="nil"/>
              <w:bottom w:val="nil"/>
            </w:tcBorders>
          </w:tcPr>
          <w:p w14:paraId="7FBF8520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Ce-O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71630838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3.696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7F3F4640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7F52A7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3976F378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3.67</w:t>
            </w:r>
            <w:r w:rsidRPr="007F52A7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7F52A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236723ED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Pr="007F52A7">
              <w:rPr>
                <w:rFonts w:ascii="Arial" w:hAnsi="Arial" w:cs="Arial"/>
                <w:sz w:val="18"/>
                <w:szCs w:val="18"/>
              </w:rPr>
              <w:t>(7)</w:t>
            </w:r>
          </w:p>
        </w:tc>
      </w:tr>
      <w:tr w:rsidR="00C735A9" w:rsidRPr="007F52A7" w14:paraId="673DC81E" w14:textId="77777777" w:rsidTr="0074736D">
        <w:tc>
          <w:tcPr>
            <w:tcW w:w="1479" w:type="dxa"/>
            <w:tcBorders>
              <w:top w:val="nil"/>
            </w:tcBorders>
          </w:tcPr>
          <w:p w14:paraId="371A3018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Ce-</w:t>
            </w:r>
            <w:r>
              <w:rPr>
                <w:rFonts w:ascii="Arial" w:hAnsi="Arial" w:cs="Arial"/>
                <w:sz w:val="18"/>
                <w:szCs w:val="18"/>
              </w:rPr>
              <w:t>Ce</w:t>
            </w:r>
          </w:p>
        </w:tc>
        <w:tc>
          <w:tcPr>
            <w:tcW w:w="1408" w:type="dxa"/>
            <w:tcBorders>
              <w:top w:val="nil"/>
            </w:tcBorders>
          </w:tcPr>
          <w:p w14:paraId="02B3D60C" w14:textId="77777777" w:rsidR="00C735A9" w:rsidRPr="00A82589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82589">
              <w:rPr>
                <w:rFonts w:ascii="Arial" w:hAnsi="Arial" w:cs="Arial"/>
                <w:sz w:val="18"/>
                <w:szCs w:val="18"/>
              </w:rPr>
              <w:t>3.826</w:t>
            </w:r>
          </w:p>
        </w:tc>
        <w:tc>
          <w:tcPr>
            <w:tcW w:w="1408" w:type="dxa"/>
            <w:tcBorders>
              <w:top w:val="nil"/>
            </w:tcBorders>
          </w:tcPr>
          <w:p w14:paraId="48274F38" w14:textId="77777777" w:rsidR="00C735A9" w:rsidRPr="00A82589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82589">
              <w:rPr>
                <w:rFonts w:ascii="Arial" w:hAnsi="Arial" w:cs="Arial"/>
                <w:sz w:val="18"/>
                <w:szCs w:val="18"/>
              </w:rPr>
              <w:t>12</w:t>
            </w:r>
            <w:r w:rsidRPr="00A82589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09" w:type="dxa"/>
            <w:tcBorders>
              <w:top w:val="nil"/>
            </w:tcBorders>
          </w:tcPr>
          <w:p w14:paraId="2716EE6A" w14:textId="77777777" w:rsidR="00C735A9" w:rsidRPr="00A82589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82589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82589">
              <w:rPr>
                <w:rFonts w:ascii="Arial" w:hAnsi="Arial" w:cs="Arial"/>
                <w:sz w:val="18"/>
                <w:szCs w:val="18"/>
              </w:rPr>
              <w:t>3(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A825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nil"/>
            </w:tcBorders>
          </w:tcPr>
          <w:p w14:paraId="35C52589" w14:textId="77777777" w:rsidR="00C735A9" w:rsidRPr="007F52A7" w:rsidRDefault="00C735A9" w:rsidP="0074736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F52A7">
              <w:rPr>
                <w:rFonts w:ascii="Arial" w:hAnsi="Arial" w:cs="Arial"/>
                <w:sz w:val="18"/>
                <w:szCs w:val="18"/>
              </w:rPr>
              <w:t>0.005(7)</w:t>
            </w:r>
          </w:p>
        </w:tc>
      </w:tr>
    </w:tbl>
    <w:p w14:paraId="48330E73" w14:textId="77777777" w:rsidR="00C735A9" w:rsidRPr="007F52A7" w:rsidRDefault="00C735A9" w:rsidP="009176AB">
      <w:pPr>
        <w:spacing w:line="360" w:lineRule="auto"/>
        <w:rPr>
          <w:rFonts w:ascii="Arial" w:hAnsi="Arial" w:cs="Arial"/>
          <w:color w:val="000000" w:themeColor="text1"/>
          <w:sz w:val="16"/>
          <w:szCs w:val="16"/>
        </w:rPr>
      </w:pPr>
      <w:r w:rsidRPr="007F52A7">
        <w:rPr>
          <w:rFonts w:ascii="Arial" w:hAnsi="Arial" w:cs="Arial"/>
          <w:sz w:val="16"/>
          <w:szCs w:val="16"/>
          <w:vertAlign w:val="superscript"/>
        </w:rPr>
        <w:t>a</w:t>
      </w:r>
      <w:r w:rsidRPr="007F52A7">
        <w:rPr>
          <w:rFonts w:ascii="Arial" w:hAnsi="Arial" w:cs="Arial"/>
          <w:sz w:val="16"/>
          <w:szCs w:val="16"/>
        </w:rPr>
        <w:t xml:space="preserve"> S</w:t>
      </w:r>
      <w:r w:rsidRPr="007F52A7">
        <w:rPr>
          <w:rFonts w:ascii="Arial" w:hAnsi="Arial" w:cs="Arial"/>
          <w:sz w:val="16"/>
          <w:szCs w:val="16"/>
          <w:vertAlign w:val="subscript"/>
        </w:rPr>
        <w:t>0</w:t>
      </w:r>
      <w:r w:rsidRPr="007F52A7">
        <w:rPr>
          <w:rFonts w:ascii="Arial" w:hAnsi="Arial" w:cs="Arial"/>
          <w:sz w:val="16"/>
          <w:szCs w:val="16"/>
          <w:vertAlign w:val="superscript"/>
        </w:rPr>
        <w:t>2</w:t>
      </w:r>
      <w:r w:rsidRPr="007F52A7">
        <w:rPr>
          <w:rFonts w:ascii="Arial" w:hAnsi="Arial" w:cs="Arial"/>
          <w:sz w:val="16"/>
          <w:szCs w:val="16"/>
        </w:rPr>
        <w:t xml:space="preserve"> was</w:t>
      </w:r>
      <w:r w:rsidRPr="007F52A7">
        <w:rPr>
          <w:rFonts w:ascii="Arial" w:hAnsi="Arial" w:cs="Arial"/>
          <w:color w:val="FF0000"/>
          <w:sz w:val="16"/>
          <w:szCs w:val="16"/>
        </w:rPr>
        <w:t xml:space="preserve"> 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>returned as</w:t>
      </w:r>
      <w:r w:rsidRPr="000E107F">
        <w:rPr>
          <w:rFonts w:ascii="Arial" w:hAnsi="Arial" w:cs="Arial"/>
          <w:color w:val="FF0000"/>
          <w:sz w:val="16"/>
          <w:szCs w:val="16"/>
        </w:rPr>
        <w:t xml:space="preserve"> </w:t>
      </w:r>
      <w:r w:rsidRPr="00534474">
        <w:rPr>
          <w:rFonts w:ascii="Arial" w:hAnsi="Arial" w:cs="Arial"/>
          <w:sz w:val="16"/>
          <w:szCs w:val="16"/>
        </w:rPr>
        <w:t>0.6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  <w:r w:rsidRPr="007F52A7">
        <w:rPr>
          <w:rFonts w:ascii="Arial" w:hAnsi="Arial" w:cs="Arial"/>
          <w:sz w:val="16"/>
          <w:szCs w:val="16"/>
        </w:rPr>
        <w:t>ΔE</w:t>
      </w:r>
      <w:r w:rsidRPr="007F52A7">
        <w:rPr>
          <w:rFonts w:ascii="Arial" w:hAnsi="Arial" w:cs="Arial"/>
          <w:sz w:val="16"/>
          <w:szCs w:val="16"/>
          <w:vertAlign w:val="subscript"/>
        </w:rPr>
        <w:t>0</w:t>
      </w:r>
      <w:r w:rsidRPr="007F52A7">
        <w:rPr>
          <w:rFonts w:ascii="Arial" w:hAnsi="Arial" w:cs="Arial"/>
          <w:sz w:val="16"/>
          <w:szCs w:val="16"/>
        </w:rPr>
        <w:t xml:space="preserve"> was refined as a global fit parameter, returning a value of (</w:t>
      </w:r>
      <w:r>
        <w:rPr>
          <w:rFonts w:ascii="Arial" w:hAnsi="Arial" w:cs="Arial"/>
          <w:sz w:val="16"/>
          <w:szCs w:val="16"/>
        </w:rPr>
        <w:t>2.9</w:t>
      </w:r>
      <w:r w:rsidRPr="007F52A7">
        <w:rPr>
          <w:rFonts w:ascii="Arial" w:hAnsi="Arial" w:cs="Arial"/>
          <w:sz w:val="16"/>
          <w:szCs w:val="16"/>
        </w:rPr>
        <w:t xml:space="preserve"> ± </w:t>
      </w:r>
      <w:r>
        <w:rPr>
          <w:rFonts w:ascii="Arial" w:hAnsi="Arial" w:cs="Arial"/>
          <w:sz w:val="16"/>
          <w:szCs w:val="16"/>
        </w:rPr>
        <w:t>2</w:t>
      </w:r>
      <w:r w:rsidRPr="007F52A7">
        <w:rPr>
          <w:rFonts w:ascii="Arial" w:hAnsi="Arial" w:cs="Arial"/>
          <w:sz w:val="16"/>
          <w:szCs w:val="16"/>
        </w:rPr>
        <w:t>) eV. Data ranges: 2 ≤ k ≤ 10 Å</w:t>
      </w:r>
      <w:r w:rsidRPr="007F52A7">
        <w:rPr>
          <w:rFonts w:ascii="Arial" w:hAnsi="Arial" w:cs="Arial"/>
          <w:sz w:val="16"/>
          <w:szCs w:val="16"/>
          <w:vertAlign w:val="superscript"/>
        </w:rPr>
        <w:t>-1</w:t>
      </w:r>
      <w:r w:rsidRPr="007F52A7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1.5</w:t>
      </w:r>
      <w:r w:rsidRPr="007F52A7">
        <w:rPr>
          <w:rFonts w:ascii="Arial" w:hAnsi="Arial" w:cs="Arial"/>
          <w:sz w:val="16"/>
          <w:szCs w:val="16"/>
        </w:rPr>
        <w:t xml:space="preserve"> ≤ R ≤ </w:t>
      </w:r>
      <w:r>
        <w:rPr>
          <w:rFonts w:ascii="Arial" w:hAnsi="Arial" w:cs="Arial"/>
          <w:sz w:val="16"/>
          <w:szCs w:val="16"/>
        </w:rPr>
        <w:t>4</w:t>
      </w:r>
      <w:r w:rsidRPr="007F52A7">
        <w:rPr>
          <w:rFonts w:ascii="Arial" w:hAnsi="Arial" w:cs="Arial"/>
          <w:sz w:val="16"/>
          <w:szCs w:val="16"/>
        </w:rPr>
        <w:t xml:space="preserve"> Å. The number of variable parameters is 1</w:t>
      </w:r>
      <w:r>
        <w:rPr>
          <w:rFonts w:ascii="Arial" w:hAnsi="Arial" w:cs="Arial"/>
          <w:sz w:val="16"/>
          <w:szCs w:val="16"/>
        </w:rPr>
        <w:t>4</w:t>
      </w:r>
      <w:r w:rsidRPr="007F52A7">
        <w:rPr>
          <w:rFonts w:ascii="Arial" w:hAnsi="Arial" w:cs="Arial"/>
          <w:sz w:val="16"/>
          <w:szCs w:val="16"/>
        </w:rPr>
        <w:t>, out of a total of 1</w:t>
      </w:r>
      <w:r>
        <w:rPr>
          <w:rFonts w:ascii="Arial" w:hAnsi="Arial" w:cs="Arial"/>
          <w:sz w:val="16"/>
          <w:szCs w:val="16"/>
        </w:rPr>
        <w:t>5.1</w:t>
      </w:r>
      <w:r w:rsidRPr="007F52A7">
        <w:rPr>
          <w:rFonts w:ascii="Arial" w:hAnsi="Arial" w:cs="Arial"/>
          <w:sz w:val="16"/>
          <w:szCs w:val="16"/>
        </w:rPr>
        <w:t xml:space="preserve"> independent data points. R factor for this fit is </w:t>
      </w:r>
      <w:r>
        <w:rPr>
          <w:rFonts w:ascii="Arial" w:hAnsi="Arial" w:cs="Arial"/>
          <w:sz w:val="16"/>
          <w:szCs w:val="16"/>
        </w:rPr>
        <w:t>0.6</w:t>
      </w:r>
      <w:r w:rsidRPr="007F52A7">
        <w:rPr>
          <w:rFonts w:ascii="Arial" w:hAnsi="Arial" w:cs="Arial"/>
          <w:sz w:val="16"/>
          <w:szCs w:val="16"/>
        </w:rPr>
        <w:t xml:space="preserve">%. </w:t>
      </w:r>
      <w:r w:rsidRPr="007F52A7">
        <w:rPr>
          <w:rFonts w:ascii="Arial" w:hAnsi="Arial" w:cs="Arial"/>
          <w:sz w:val="16"/>
          <w:szCs w:val="16"/>
          <w:vertAlign w:val="superscript"/>
        </w:rPr>
        <w:t>b</w:t>
      </w:r>
      <w:r w:rsidRPr="007F52A7">
        <w:rPr>
          <w:rFonts w:ascii="Arial" w:hAnsi="Arial" w:cs="Arial"/>
          <w:sz w:val="16"/>
          <w:szCs w:val="16"/>
        </w:rPr>
        <w:t xml:space="preserve"> The distances for Ce-O1 and Ce-</w:t>
      </w:r>
      <w:r>
        <w:rPr>
          <w:rFonts w:ascii="Arial" w:hAnsi="Arial" w:cs="Arial"/>
          <w:sz w:val="16"/>
          <w:szCs w:val="16"/>
        </w:rPr>
        <w:t>Ti</w:t>
      </w:r>
      <w:r w:rsidRPr="007F52A7">
        <w:rPr>
          <w:rFonts w:ascii="Arial" w:hAnsi="Arial" w:cs="Arial"/>
          <w:sz w:val="16"/>
          <w:szCs w:val="16"/>
        </w:rPr>
        <w:t xml:space="preserve"> are from the crystal structure of Ce</w:t>
      </w:r>
      <w:r>
        <w:rPr>
          <w:rFonts w:ascii="Arial" w:hAnsi="Arial" w:cs="Arial"/>
          <w:sz w:val="16"/>
          <w:szCs w:val="16"/>
        </w:rPr>
        <w:t>Ti</w:t>
      </w:r>
      <w:r w:rsidRPr="007F52A7">
        <w:rPr>
          <w:rFonts w:ascii="Arial" w:hAnsi="Arial" w:cs="Arial"/>
          <w:sz w:val="16"/>
          <w:szCs w:val="16"/>
        </w:rPr>
        <w:t>O</w:t>
      </w:r>
      <w:r w:rsidRPr="007F52A7">
        <w:rPr>
          <w:rFonts w:ascii="Arial" w:hAnsi="Arial" w:cs="Arial"/>
          <w:sz w:val="16"/>
          <w:szCs w:val="16"/>
          <w:vertAlign w:val="subscript"/>
        </w:rPr>
        <w:t>3</w:t>
      </w:r>
      <w:r w:rsidRPr="007F52A7">
        <w:rPr>
          <w:rFonts w:ascii="Arial" w:hAnsi="Arial" w:cs="Arial"/>
          <w:sz w:val="16"/>
          <w:szCs w:val="16"/>
        </w:rPr>
        <w:t>, and those for Ce-O</w:t>
      </w:r>
      <w:r>
        <w:rPr>
          <w:rFonts w:ascii="Arial" w:hAnsi="Arial" w:cs="Arial"/>
          <w:sz w:val="16"/>
          <w:szCs w:val="16"/>
        </w:rPr>
        <w:t xml:space="preserve">2, Ce-O3, </w:t>
      </w:r>
      <w:r w:rsidRPr="007F52A7">
        <w:rPr>
          <w:rFonts w:ascii="Arial" w:hAnsi="Arial" w:cs="Arial"/>
          <w:sz w:val="16"/>
          <w:szCs w:val="16"/>
        </w:rPr>
        <w:t>and Ce-</w:t>
      </w:r>
      <w:r>
        <w:rPr>
          <w:rFonts w:ascii="Arial" w:hAnsi="Arial" w:cs="Arial"/>
          <w:sz w:val="16"/>
          <w:szCs w:val="16"/>
        </w:rPr>
        <w:t>Ce</w:t>
      </w:r>
      <w:r w:rsidRPr="007F52A7">
        <w:rPr>
          <w:rFonts w:ascii="Arial" w:hAnsi="Arial" w:cs="Arial"/>
          <w:sz w:val="16"/>
          <w:szCs w:val="16"/>
        </w:rPr>
        <w:t xml:space="preserve"> are from Ce</w:t>
      </w:r>
      <w:r>
        <w:rPr>
          <w:rFonts w:ascii="Arial" w:hAnsi="Arial" w:cs="Arial"/>
          <w:sz w:val="16"/>
          <w:szCs w:val="16"/>
        </w:rPr>
        <w:t>O</w:t>
      </w:r>
      <w:r w:rsidRPr="00407F9B">
        <w:rPr>
          <w:rFonts w:ascii="Arial" w:hAnsi="Arial" w:cs="Arial"/>
          <w:sz w:val="16"/>
          <w:szCs w:val="16"/>
          <w:vertAlign w:val="subscript"/>
        </w:rPr>
        <w:t>2</w:t>
      </w:r>
      <w:r w:rsidRPr="007F52A7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  <w:r w:rsidRPr="00BB185A">
        <w:rPr>
          <w:rFonts w:ascii="Arial" w:hAnsi="Arial" w:cs="Arial"/>
          <w:sz w:val="16"/>
          <w:szCs w:val="16"/>
          <w:vertAlign w:val="superscript"/>
        </w:rPr>
        <w:t>c</w:t>
      </w:r>
      <w:r>
        <w:rPr>
          <w:rFonts w:ascii="Arial" w:hAnsi="Arial" w:cs="Arial"/>
          <w:sz w:val="16"/>
          <w:szCs w:val="16"/>
        </w:rPr>
        <w:t xml:space="preserve"> 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 xml:space="preserve">These coordination numbers were constrained as </w:t>
      </w:r>
      <w:r>
        <w:rPr>
          <w:rFonts w:ascii="Arial" w:hAnsi="Arial" w:cs="Arial"/>
          <w:color w:val="000000" w:themeColor="text1"/>
          <w:sz w:val="16"/>
          <w:szCs w:val="16"/>
        </w:rPr>
        <w:t>N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>(</w:t>
      </w:r>
      <w:r>
        <w:rPr>
          <w:rFonts w:ascii="Arial" w:hAnsi="Arial" w:cs="Arial"/>
          <w:color w:val="000000" w:themeColor="text1"/>
          <w:sz w:val="16"/>
          <w:szCs w:val="16"/>
        </w:rPr>
        <w:t>Ce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>-</w:t>
      </w:r>
      <w:r>
        <w:rPr>
          <w:rFonts w:ascii="Arial" w:hAnsi="Arial" w:cs="Arial"/>
          <w:color w:val="000000" w:themeColor="text1"/>
          <w:sz w:val="16"/>
          <w:szCs w:val="16"/>
        </w:rPr>
        <w:t>O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>1) = N(</w:t>
      </w:r>
      <w:r>
        <w:rPr>
          <w:rFonts w:ascii="Arial" w:hAnsi="Arial" w:cs="Arial"/>
          <w:color w:val="000000" w:themeColor="text1"/>
          <w:sz w:val="16"/>
          <w:szCs w:val="16"/>
        </w:rPr>
        <w:t>Ce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>-</w:t>
      </w:r>
      <w:r>
        <w:rPr>
          <w:rFonts w:ascii="Arial" w:hAnsi="Arial" w:cs="Arial"/>
          <w:color w:val="000000" w:themeColor="text1"/>
          <w:sz w:val="16"/>
          <w:szCs w:val="16"/>
        </w:rPr>
        <w:t>Ce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 xml:space="preserve">) =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12, 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>N(</w:t>
      </w:r>
      <w:r>
        <w:rPr>
          <w:rFonts w:ascii="Arial" w:hAnsi="Arial" w:cs="Arial"/>
          <w:color w:val="000000" w:themeColor="text1"/>
          <w:sz w:val="16"/>
          <w:szCs w:val="16"/>
        </w:rPr>
        <w:t>Ce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>-</w:t>
      </w:r>
      <w:r>
        <w:rPr>
          <w:rFonts w:ascii="Arial" w:hAnsi="Arial" w:cs="Arial"/>
          <w:color w:val="000000" w:themeColor="text1"/>
          <w:sz w:val="16"/>
          <w:szCs w:val="16"/>
        </w:rPr>
        <w:t>Ti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>) =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N(Ce-O) = 8, and N(Ce-O3) = 24</w:t>
      </w:r>
      <w:r w:rsidRPr="007F52A7">
        <w:rPr>
          <w:rFonts w:ascii="Arial" w:hAnsi="Arial" w:cs="Arial"/>
          <w:color w:val="000000" w:themeColor="text1"/>
          <w:sz w:val="16"/>
          <w:szCs w:val="16"/>
        </w:rPr>
        <w:t xml:space="preserve"> based on the crystal structure</w:t>
      </w:r>
      <w:r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69BE2CAA" w14:textId="77777777" w:rsidR="00C735A9" w:rsidRDefault="00C735A9" w:rsidP="009176AB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3FC45C43" w14:textId="77777777" w:rsidR="00C735A9" w:rsidRDefault="00C735A9" w:rsidP="009176AB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6B143C65" w14:textId="77777777" w:rsidR="00C735A9" w:rsidRDefault="00C735A9" w:rsidP="009176AB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25DE887" w14:textId="77777777" w:rsidR="00C735A9" w:rsidRDefault="00C735A9" w:rsidP="009176AB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67AE4401" w14:textId="77777777" w:rsidR="00C735A9" w:rsidRDefault="00C735A9" w:rsidP="009176AB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2373C6B7" w14:textId="77777777" w:rsidR="00C735A9" w:rsidRDefault="00C735A9" w:rsidP="009176AB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2B9B17A0" w14:textId="77777777" w:rsidR="00C735A9" w:rsidRPr="0012661A" w:rsidRDefault="00C735A9" w:rsidP="0012661A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12661A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Table 6 </w:t>
      </w:r>
      <w:r w:rsidRPr="0012661A">
        <w:rPr>
          <w:rFonts w:ascii="Arial" w:hAnsi="Arial" w:cs="Arial"/>
          <w:color w:val="000000" w:themeColor="text1"/>
          <w:sz w:val="18"/>
          <w:szCs w:val="18"/>
        </w:rPr>
        <w:t>BET surface area and pore parameters of catalysts measured by N</w:t>
      </w:r>
      <w:r w:rsidRPr="0012661A">
        <w:rPr>
          <w:rFonts w:ascii="Arial" w:hAnsi="Arial" w:cs="Arial"/>
          <w:color w:val="000000" w:themeColor="text1"/>
          <w:sz w:val="18"/>
          <w:szCs w:val="18"/>
          <w:vertAlign w:val="subscript"/>
        </w:rPr>
        <w:t>2</w:t>
      </w:r>
      <w:r w:rsidRPr="0012661A">
        <w:rPr>
          <w:rFonts w:ascii="Arial" w:hAnsi="Arial" w:cs="Arial"/>
          <w:color w:val="000000" w:themeColor="text1"/>
          <w:sz w:val="18"/>
          <w:szCs w:val="18"/>
        </w:rPr>
        <w:t xml:space="preserve"> adsorption experiments</w:t>
      </w:r>
    </w:p>
    <w:tbl>
      <w:tblPr>
        <w:tblStyle w:val="ae"/>
        <w:tblW w:w="6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5"/>
        <w:gridCol w:w="1781"/>
        <w:gridCol w:w="1413"/>
        <w:gridCol w:w="1513"/>
      </w:tblGrid>
      <w:tr w:rsidR="00C735A9" w:rsidRPr="0012661A" w14:paraId="11B735B9" w14:textId="77777777" w:rsidTr="0043481C">
        <w:trPr>
          <w:trHeight w:val="366"/>
        </w:trPr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610FD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Samples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6BF22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BET surface area</w:t>
            </w:r>
          </w:p>
          <w:p w14:paraId="797F53B0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(m</w:t>
            </w: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/g)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A8D10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Pore volume</w:t>
            </w:r>
          </w:p>
          <w:p w14:paraId="23C257AF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(cm</w:t>
            </w: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/g)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AA93E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Pore diameter</w:t>
            </w:r>
          </w:p>
          <w:p w14:paraId="3B2B931B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(nm)</w:t>
            </w:r>
          </w:p>
        </w:tc>
      </w:tr>
      <w:tr w:rsidR="00C735A9" w:rsidRPr="0012661A" w14:paraId="14EFD951" w14:textId="77777777" w:rsidTr="0043481C">
        <w:trPr>
          <w:trHeight w:val="487"/>
        </w:trPr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14:paraId="3C94B58D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10Mn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vAlign w:val="center"/>
          </w:tcPr>
          <w:p w14:paraId="3005B6AB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15.2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663D8CCB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0.022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vAlign w:val="center"/>
          </w:tcPr>
          <w:p w14:paraId="624F3D4F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3.82</w:t>
            </w:r>
          </w:p>
        </w:tc>
      </w:tr>
      <w:tr w:rsidR="00C735A9" w:rsidRPr="0012661A" w14:paraId="6FC2E90A" w14:textId="77777777" w:rsidTr="0043481C">
        <w:trPr>
          <w:trHeight w:val="476"/>
        </w:trPr>
        <w:tc>
          <w:tcPr>
            <w:tcW w:w="1505" w:type="dxa"/>
            <w:vAlign w:val="center"/>
          </w:tcPr>
          <w:p w14:paraId="5070B531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5Fe10Mn</w:t>
            </w:r>
          </w:p>
        </w:tc>
        <w:tc>
          <w:tcPr>
            <w:tcW w:w="1781" w:type="dxa"/>
            <w:vAlign w:val="center"/>
          </w:tcPr>
          <w:p w14:paraId="0EE3FE8F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14.9</w:t>
            </w:r>
          </w:p>
        </w:tc>
        <w:tc>
          <w:tcPr>
            <w:tcW w:w="1413" w:type="dxa"/>
            <w:vAlign w:val="center"/>
          </w:tcPr>
          <w:p w14:paraId="5BA95AB0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0.022</w:t>
            </w:r>
          </w:p>
        </w:tc>
        <w:tc>
          <w:tcPr>
            <w:tcW w:w="1513" w:type="dxa"/>
            <w:vAlign w:val="center"/>
          </w:tcPr>
          <w:p w14:paraId="0B08E842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3.82</w:t>
            </w:r>
          </w:p>
        </w:tc>
      </w:tr>
      <w:tr w:rsidR="00C735A9" w:rsidRPr="0012661A" w14:paraId="7F7017D2" w14:textId="77777777" w:rsidTr="0043481C">
        <w:trPr>
          <w:trHeight w:val="66"/>
        </w:trPr>
        <w:tc>
          <w:tcPr>
            <w:tcW w:w="1505" w:type="dxa"/>
            <w:tcBorders>
              <w:bottom w:val="single" w:sz="4" w:space="0" w:color="auto"/>
            </w:tcBorders>
            <w:vAlign w:val="center"/>
          </w:tcPr>
          <w:p w14:paraId="23732643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5Ce5Fe10Mn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138F951C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16.5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6581291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0.033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14:paraId="7BCCEB69" w14:textId="77777777" w:rsidR="00C735A9" w:rsidRPr="0012661A" w:rsidRDefault="00C735A9" w:rsidP="0043481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2661A">
              <w:rPr>
                <w:rFonts w:ascii="Arial" w:hAnsi="Arial" w:cs="Arial"/>
                <w:color w:val="000000" w:themeColor="text1"/>
                <w:sz w:val="18"/>
                <w:szCs w:val="18"/>
              </w:rPr>
              <w:t>3.82</w:t>
            </w:r>
          </w:p>
        </w:tc>
      </w:tr>
    </w:tbl>
    <w:p w14:paraId="0A4EDD16" w14:textId="77777777" w:rsidR="00C735A9" w:rsidRDefault="00C735A9" w:rsidP="009176AB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E8449F8" w14:textId="77777777" w:rsidR="00C735A9" w:rsidRDefault="00C735A9" w:rsidP="009176AB">
      <w:pPr>
        <w:spacing w:line="36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41672AF" w14:textId="77777777" w:rsidR="00C735A9" w:rsidRPr="00C561BA" w:rsidRDefault="00C735A9" w:rsidP="00DF7C76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6C3A50E7" w14:textId="77777777" w:rsidR="00C735A9" w:rsidRDefault="00C735A9" w:rsidP="00DF7C76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0" distR="0" wp14:anchorId="3069DD0E" wp14:editId="68522645">
            <wp:extent cx="4320000" cy="149378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49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EAA01" w14:textId="40CF5F1B" w:rsidR="00C735A9" w:rsidRPr="007F52A7" w:rsidRDefault="00C735A9" w:rsidP="00DF7C76">
      <w:pPr>
        <w:spacing w:line="360" w:lineRule="auto"/>
        <w:rPr>
          <w:rFonts w:ascii="Arial" w:hAnsi="Arial" w:cs="Arial"/>
          <w:sz w:val="18"/>
          <w:szCs w:val="18"/>
        </w:rPr>
      </w:pPr>
      <w:r w:rsidRPr="007F52A7">
        <w:rPr>
          <w:rFonts w:ascii="Arial" w:hAnsi="Arial" w:cs="Arial"/>
          <w:b/>
          <w:bCs/>
          <w:sz w:val="18"/>
          <w:szCs w:val="18"/>
        </w:rPr>
        <w:lastRenderedPageBreak/>
        <w:t>Fig. 4. Relaxed cry</w:t>
      </w:r>
      <w:r w:rsidR="00085292">
        <w:rPr>
          <w:rFonts w:ascii="Arial" w:hAnsi="Arial" w:cs="Arial"/>
          <w:b/>
          <w:bCs/>
          <w:sz w:val="18"/>
          <w:szCs w:val="18"/>
        </w:rPr>
        <w:t>s</w:t>
      </w:r>
      <w:r w:rsidRPr="007F52A7">
        <w:rPr>
          <w:rFonts w:ascii="Arial" w:hAnsi="Arial" w:cs="Arial"/>
          <w:b/>
          <w:bCs/>
          <w:sz w:val="18"/>
          <w:szCs w:val="18"/>
        </w:rPr>
        <w:t xml:space="preserve">tal structure of </w:t>
      </w:r>
      <w:r w:rsidRPr="007F52A7">
        <w:rPr>
          <w:rFonts w:ascii="Arial" w:hAnsi="Arial" w:cs="Arial"/>
          <w:sz w:val="18"/>
          <w:szCs w:val="18"/>
        </w:rPr>
        <w:t>Ca(Ti, Mn)O</w:t>
      </w:r>
      <w:r w:rsidRPr="007F52A7">
        <w:rPr>
          <w:rFonts w:ascii="Arial" w:hAnsi="Arial" w:cs="Arial"/>
          <w:sz w:val="18"/>
          <w:szCs w:val="18"/>
          <w:vertAlign w:val="subscript"/>
        </w:rPr>
        <w:t>3</w:t>
      </w:r>
      <w:r w:rsidRPr="007F52A7">
        <w:rPr>
          <w:rFonts w:ascii="Arial" w:hAnsi="Arial" w:cs="Arial"/>
          <w:sz w:val="18"/>
          <w:szCs w:val="18"/>
        </w:rPr>
        <w:t xml:space="preserve">. </w:t>
      </w:r>
      <w:r w:rsidRPr="007F52A7">
        <w:rPr>
          <w:rFonts w:ascii="Arial" w:hAnsi="Arial" w:cs="Arial"/>
          <w:b/>
          <w:bCs/>
          <w:sz w:val="18"/>
          <w:szCs w:val="18"/>
        </w:rPr>
        <w:t>a</w:t>
      </w:r>
      <w:r w:rsidRPr="007F52A7">
        <w:rPr>
          <w:rFonts w:ascii="Arial" w:hAnsi="Arial" w:cs="Arial"/>
          <w:sz w:val="18"/>
          <w:szCs w:val="18"/>
        </w:rPr>
        <w:t>, The relaxed unit cell of Ca(Ti, Mn)O</w:t>
      </w:r>
      <w:r w:rsidRPr="007F52A7">
        <w:rPr>
          <w:rFonts w:ascii="Arial" w:hAnsi="Arial" w:cs="Arial"/>
          <w:sz w:val="18"/>
          <w:szCs w:val="18"/>
          <w:vertAlign w:val="subscript"/>
        </w:rPr>
        <w:t>3</w:t>
      </w:r>
      <w:r w:rsidRPr="007F52A7">
        <w:rPr>
          <w:rFonts w:ascii="Arial" w:hAnsi="Arial" w:cs="Arial"/>
          <w:sz w:val="18"/>
          <w:szCs w:val="18"/>
        </w:rPr>
        <w:t xml:space="preserve">. </w:t>
      </w:r>
      <w:r w:rsidRPr="007F52A7">
        <w:rPr>
          <w:rFonts w:ascii="Arial" w:hAnsi="Arial" w:cs="Arial"/>
          <w:b/>
          <w:bCs/>
          <w:sz w:val="18"/>
          <w:szCs w:val="18"/>
        </w:rPr>
        <w:t>b</w:t>
      </w:r>
      <w:r w:rsidRPr="007F52A7">
        <w:rPr>
          <w:rFonts w:ascii="Arial" w:hAnsi="Arial" w:cs="Arial"/>
          <w:sz w:val="18"/>
          <w:szCs w:val="18"/>
        </w:rPr>
        <w:t>, Bond le</w:t>
      </w:r>
      <w:r w:rsidR="00085292">
        <w:rPr>
          <w:rFonts w:ascii="Arial" w:hAnsi="Arial" w:cs="Arial"/>
          <w:sz w:val="18"/>
          <w:szCs w:val="18"/>
        </w:rPr>
        <w:t>ng</w:t>
      </w:r>
      <w:r w:rsidRPr="007F52A7">
        <w:rPr>
          <w:rFonts w:ascii="Arial" w:hAnsi="Arial" w:cs="Arial"/>
          <w:sz w:val="18"/>
          <w:szCs w:val="18"/>
        </w:rPr>
        <w:t>th in MnO</w:t>
      </w:r>
      <w:r w:rsidRPr="007F52A7">
        <w:rPr>
          <w:rFonts w:ascii="Arial" w:hAnsi="Arial" w:cs="Arial"/>
          <w:sz w:val="18"/>
          <w:szCs w:val="18"/>
          <w:vertAlign w:val="subscript"/>
        </w:rPr>
        <w:t>6</w:t>
      </w:r>
      <w:r w:rsidRPr="007F52A7">
        <w:rPr>
          <w:rFonts w:ascii="Arial" w:hAnsi="Arial" w:cs="Arial"/>
          <w:sz w:val="18"/>
          <w:szCs w:val="18"/>
        </w:rPr>
        <w:t xml:space="preserve"> and TiO</w:t>
      </w:r>
      <w:r w:rsidRPr="007F52A7">
        <w:rPr>
          <w:rFonts w:ascii="Arial" w:hAnsi="Arial" w:cs="Arial"/>
          <w:sz w:val="18"/>
          <w:szCs w:val="18"/>
          <w:vertAlign w:val="subscript"/>
        </w:rPr>
        <w:t>6</w:t>
      </w:r>
      <w:r w:rsidRPr="007F52A7">
        <w:rPr>
          <w:rFonts w:ascii="Arial" w:hAnsi="Arial" w:cs="Arial"/>
          <w:sz w:val="18"/>
          <w:szCs w:val="18"/>
        </w:rPr>
        <w:t xml:space="preserve"> octahedrons of the relaxed Ca(Ti, Mn)O</w:t>
      </w:r>
      <w:r w:rsidRPr="007F52A7">
        <w:rPr>
          <w:rFonts w:ascii="Arial" w:hAnsi="Arial" w:cs="Arial"/>
          <w:sz w:val="18"/>
          <w:szCs w:val="18"/>
          <w:vertAlign w:val="subscript"/>
        </w:rPr>
        <w:t>3</w:t>
      </w:r>
      <w:r w:rsidRPr="007F52A7">
        <w:rPr>
          <w:rFonts w:ascii="Arial" w:hAnsi="Arial" w:cs="Arial"/>
          <w:sz w:val="18"/>
          <w:szCs w:val="18"/>
        </w:rPr>
        <w:t>.</w:t>
      </w:r>
    </w:p>
    <w:p w14:paraId="430C940C" w14:textId="77777777" w:rsidR="00C735A9" w:rsidRPr="000D231E" w:rsidRDefault="00C735A9" w:rsidP="00A44480">
      <w:pPr>
        <w:spacing w:line="360" w:lineRule="auto"/>
        <w:ind w:firstLineChars="100" w:firstLine="200"/>
        <w:rPr>
          <w:rFonts w:ascii="Times New Roman" w:hAnsi="Times New Roman"/>
          <w:color w:val="0070C0"/>
          <w:sz w:val="20"/>
          <w:szCs w:val="20"/>
        </w:rPr>
      </w:pPr>
      <w:r w:rsidRPr="009F1C31">
        <w:rPr>
          <w:rFonts w:ascii="Times New Roman" w:hAnsi="Times New Roman"/>
          <w:color w:val="000000" w:themeColor="text1"/>
          <w:sz w:val="20"/>
          <w:szCs w:val="20"/>
        </w:rPr>
        <w:t>When CaTiO</w:t>
      </w:r>
      <w:r w:rsidRPr="009F1C31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3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is 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>doped with M</w:t>
      </w:r>
      <w:r w:rsidRPr="009F1C31">
        <w:rPr>
          <w:rFonts w:ascii="Times New Roman" w:hAnsi="Times New Roman" w:hint="eastAsia"/>
          <w:color w:val="000000" w:themeColor="text1"/>
          <w:sz w:val="20"/>
          <w:szCs w:val="20"/>
        </w:rPr>
        <w:t>n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>, the MnO</w:t>
      </w:r>
      <w:r w:rsidRPr="009F1C31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6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 xml:space="preserve"> octahedron upon relaxation present</w:t>
      </w:r>
      <w:r>
        <w:rPr>
          <w:rFonts w:ascii="Times New Roman" w:hAnsi="Times New Roman"/>
          <w:color w:val="000000" w:themeColor="text1"/>
          <w:sz w:val="20"/>
          <w:szCs w:val="20"/>
        </w:rPr>
        <w:t>s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 xml:space="preserve"> evident Jahn-Teller distortions (</w:t>
      </w:r>
      <w:r w:rsidRPr="0021170F">
        <w:rPr>
          <w:rFonts w:ascii="Times New Roman" w:hAnsi="Times New Roman"/>
          <w:color w:val="0070C0"/>
          <w:sz w:val="20"/>
          <w:szCs w:val="20"/>
        </w:rPr>
        <w:t>supplementary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8D08ED">
        <w:rPr>
          <w:rFonts w:ascii="Times New Roman" w:hAnsi="Times New Roman"/>
          <w:color w:val="0070C0"/>
          <w:sz w:val="20"/>
          <w:szCs w:val="20"/>
        </w:rPr>
        <w:t xml:space="preserve">Fig. </w:t>
      </w:r>
      <w:r>
        <w:rPr>
          <w:rFonts w:ascii="Times New Roman" w:hAnsi="Times New Roman"/>
          <w:color w:val="0070C0"/>
          <w:sz w:val="20"/>
          <w:szCs w:val="20"/>
        </w:rPr>
        <w:t>4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 xml:space="preserve">). </w:t>
      </w:r>
      <w:r>
        <w:rPr>
          <w:rFonts w:ascii="Times New Roman" w:hAnsi="Times New Roman"/>
          <w:color w:val="000000" w:themeColor="text1"/>
          <w:sz w:val="20"/>
          <w:szCs w:val="20"/>
        </w:rPr>
        <w:t>T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>he a-axis and b-axis parameters of the perov</w:t>
      </w:r>
      <w:r>
        <w:rPr>
          <w:rFonts w:ascii="Times New Roman" w:hAnsi="Times New Roman"/>
          <w:color w:val="000000" w:themeColor="text1"/>
          <w:sz w:val="20"/>
          <w:szCs w:val="20"/>
        </w:rPr>
        <w:t>sk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>ite unit cell stretche</w:t>
      </w:r>
      <w:r>
        <w:rPr>
          <w:rFonts w:ascii="Times New Roman" w:hAnsi="Times New Roman"/>
          <w:color w:val="000000" w:themeColor="text1"/>
          <w:sz w:val="20"/>
          <w:szCs w:val="20"/>
        </w:rPr>
        <w:t>s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 xml:space="preserve"> from 5.36 Å to 5.44 Å and 5.46 Å to 5.55 Å, respectively, while the c-axis parameter contract</w:t>
      </w:r>
      <w:r>
        <w:rPr>
          <w:rFonts w:ascii="Times New Roman" w:hAnsi="Times New Roman"/>
          <w:color w:val="000000" w:themeColor="text1"/>
          <w:sz w:val="20"/>
          <w:szCs w:val="20"/>
        </w:rPr>
        <w:t>s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 xml:space="preserve"> from 7.62 Å to 7.47 Å. As a result, the crystal spacing of the (112) plane bec</w:t>
      </w:r>
      <w:r>
        <w:rPr>
          <w:rFonts w:ascii="Times New Roman" w:hAnsi="Times New Roman"/>
          <w:color w:val="000000" w:themeColor="text1"/>
          <w:sz w:val="20"/>
          <w:szCs w:val="20"/>
        </w:rPr>
        <w:t>o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>me</w:t>
      </w:r>
      <w:r>
        <w:rPr>
          <w:rFonts w:ascii="Times New Roman" w:hAnsi="Times New Roman"/>
          <w:color w:val="000000" w:themeColor="text1"/>
          <w:sz w:val="20"/>
          <w:szCs w:val="20"/>
        </w:rPr>
        <w:t>s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 xml:space="preserve"> narrow</w:t>
      </w:r>
      <w:r>
        <w:rPr>
          <w:rFonts w:ascii="Times New Roman" w:hAnsi="Times New Roman"/>
          <w:color w:val="000000" w:themeColor="text1"/>
          <w:sz w:val="20"/>
          <w:szCs w:val="20"/>
        </w:rPr>
        <w:t>, and the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 xml:space="preserve"> corresponding XRD peak shift</w:t>
      </w:r>
      <w:r>
        <w:rPr>
          <w:rFonts w:ascii="Times New Roman" w:hAnsi="Times New Roman"/>
          <w:color w:val="000000" w:themeColor="text1"/>
          <w:sz w:val="20"/>
          <w:szCs w:val="20"/>
        </w:rPr>
        <w:t>s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 xml:space="preserve"> to the right (</w:t>
      </w:r>
      <w:r w:rsidRPr="009C1951">
        <w:rPr>
          <w:rFonts w:ascii="Times New Roman" w:hAnsi="Times New Roman"/>
          <w:color w:val="0070C0"/>
          <w:sz w:val="20"/>
          <w:szCs w:val="20"/>
        </w:rPr>
        <w:t xml:space="preserve">Fig. </w:t>
      </w:r>
      <w:r>
        <w:rPr>
          <w:rFonts w:ascii="Times New Roman" w:hAnsi="Times New Roman"/>
          <w:color w:val="0070C0"/>
          <w:sz w:val="20"/>
          <w:szCs w:val="20"/>
        </w:rPr>
        <w:t>1b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 xml:space="preserve">). </w:t>
      </w:r>
      <w:r>
        <w:rPr>
          <w:rFonts w:ascii="Times New Roman" w:hAnsi="Times New Roman"/>
          <w:color w:val="000000" w:themeColor="text1"/>
          <w:sz w:val="20"/>
          <w:szCs w:val="20"/>
        </w:rPr>
        <w:t>Therefore, t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>he relaxed structure of Ca(Ti, Mn)O</w:t>
      </w:r>
      <w:r w:rsidRPr="009F1C31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3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 xml:space="preserve"> placed in </w:t>
      </w:r>
      <w:r w:rsidRPr="00CB0CA8">
        <w:rPr>
          <w:rFonts w:ascii="Times New Roman" w:hAnsi="Times New Roman"/>
          <w:color w:val="0070C0"/>
          <w:sz w:val="20"/>
          <w:szCs w:val="20"/>
        </w:rPr>
        <w:t>supplementary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9C1951">
        <w:rPr>
          <w:rFonts w:ascii="Times New Roman" w:hAnsi="Times New Roman"/>
          <w:color w:val="0070C0"/>
          <w:sz w:val="20"/>
          <w:szCs w:val="20"/>
        </w:rPr>
        <w:t xml:space="preserve">Fig. </w:t>
      </w:r>
      <w:r>
        <w:rPr>
          <w:rFonts w:ascii="Times New Roman" w:hAnsi="Times New Roman"/>
          <w:color w:val="0070C0"/>
          <w:sz w:val="20"/>
          <w:szCs w:val="20"/>
        </w:rPr>
        <w:t>4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is </w:t>
      </w:r>
      <w:r w:rsidRPr="009F1C31">
        <w:rPr>
          <w:rFonts w:ascii="Times New Roman" w:hAnsi="Times New Roman"/>
          <w:color w:val="000000" w:themeColor="text1"/>
          <w:sz w:val="20"/>
          <w:szCs w:val="20"/>
        </w:rPr>
        <w:t>in accordance with the experimental results.</w:t>
      </w:r>
    </w:p>
    <w:p w14:paraId="5498663A" w14:textId="77777777" w:rsidR="00C735A9" w:rsidRPr="00A44480" w:rsidRDefault="00C735A9" w:rsidP="00DF7C76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75969F0D" w14:textId="77777777" w:rsidR="00C735A9" w:rsidRDefault="00C735A9" w:rsidP="00DF7C76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32930A25" wp14:editId="4DF9088E">
            <wp:extent cx="4244340" cy="321373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0A9B7" w14:textId="77777777" w:rsidR="00C735A9" w:rsidRPr="007F52A7" w:rsidRDefault="00C735A9" w:rsidP="00DF7C76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7F52A7">
        <w:rPr>
          <w:rFonts w:ascii="Arial" w:hAnsi="Arial" w:cs="Arial" w:hint="eastAsia"/>
          <w:b/>
          <w:bCs/>
          <w:sz w:val="18"/>
          <w:szCs w:val="18"/>
        </w:rPr>
        <w:t>F</w:t>
      </w:r>
      <w:r w:rsidRPr="007F52A7">
        <w:rPr>
          <w:rFonts w:ascii="Arial" w:hAnsi="Arial" w:cs="Arial"/>
          <w:b/>
          <w:bCs/>
          <w:sz w:val="18"/>
          <w:szCs w:val="18"/>
        </w:rPr>
        <w:t>ig. 5 Energetic diagram for the formation of NH</w:t>
      </w:r>
      <w:r w:rsidRPr="007F52A7">
        <w:rPr>
          <w:rFonts w:ascii="Arial" w:hAnsi="Arial" w:cs="Arial"/>
          <w:b/>
          <w:bCs/>
          <w:sz w:val="18"/>
          <w:szCs w:val="18"/>
          <w:vertAlign w:val="subscript"/>
        </w:rPr>
        <w:t>2</w:t>
      </w:r>
      <w:r w:rsidRPr="007F52A7">
        <w:rPr>
          <w:rFonts w:ascii="Arial" w:hAnsi="Arial" w:cs="Arial"/>
          <w:b/>
          <w:bCs/>
          <w:sz w:val="18"/>
          <w:szCs w:val="18"/>
        </w:rPr>
        <w:t>NO on the (001)-terminated Ca(Ti, Mn)O</w:t>
      </w:r>
      <w:r w:rsidRPr="007F52A7">
        <w:rPr>
          <w:rFonts w:ascii="Arial" w:hAnsi="Arial" w:cs="Arial"/>
          <w:b/>
          <w:bCs/>
          <w:sz w:val="18"/>
          <w:szCs w:val="18"/>
          <w:vertAlign w:val="subscript"/>
        </w:rPr>
        <w:t>3</w:t>
      </w:r>
      <w:r w:rsidRPr="007F52A7">
        <w:rPr>
          <w:rFonts w:ascii="Arial" w:hAnsi="Arial" w:cs="Arial"/>
          <w:b/>
          <w:bCs/>
          <w:sz w:val="18"/>
          <w:szCs w:val="18"/>
        </w:rPr>
        <w:t>.</w:t>
      </w:r>
    </w:p>
    <w:p w14:paraId="4D5B8BD9" w14:textId="77777777" w:rsidR="00C735A9" w:rsidRPr="009C4697" w:rsidRDefault="00C735A9" w:rsidP="00DF7C76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4C10F0C7" w14:textId="77777777" w:rsidR="00C735A9" w:rsidRPr="00C561BA" w:rsidRDefault="00C735A9" w:rsidP="00AC64A5">
      <w:pPr>
        <w:spacing w:line="360" w:lineRule="auto"/>
        <w:rPr>
          <w:rFonts w:ascii="Times New Roman" w:hAnsi="Times New Roman"/>
          <w:color w:val="0070C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5CA04A1" wp14:editId="1220748D">
            <wp:extent cx="4320000" cy="279192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9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1E02E" w14:textId="77777777" w:rsidR="00C735A9" w:rsidRPr="007F52A7" w:rsidRDefault="00C735A9" w:rsidP="00AC64A5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7F52A7">
        <w:rPr>
          <w:rFonts w:ascii="Arial" w:hAnsi="Arial" w:cs="Arial"/>
          <w:b/>
          <w:bCs/>
          <w:color w:val="000000" w:themeColor="text1"/>
          <w:sz w:val="18"/>
          <w:szCs w:val="18"/>
        </w:rPr>
        <w:t>Fig. 6.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7F52A7">
        <w:rPr>
          <w:rFonts w:ascii="Arial" w:hAnsi="Arial" w:cs="Arial"/>
          <w:b/>
          <w:bCs/>
          <w:color w:val="000000" w:themeColor="text1"/>
          <w:sz w:val="18"/>
          <w:szCs w:val="18"/>
        </w:rPr>
        <w:t>Charge distribution of lattice oxygen in perovskite.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7F52A7">
        <w:rPr>
          <w:rFonts w:ascii="Arial" w:hAnsi="Arial" w:cs="Arial"/>
          <w:b/>
          <w:bCs/>
          <w:color w:val="000000" w:themeColor="text1"/>
          <w:sz w:val="18"/>
          <w:szCs w:val="18"/>
        </w:rPr>
        <w:t>a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>, The relaxed model of Ca(Ti, Mn)O</w:t>
      </w:r>
      <w:r w:rsidRPr="007F52A7">
        <w:rPr>
          <w:rFonts w:ascii="Arial" w:hAnsi="Arial" w:cs="Arial"/>
          <w:color w:val="000000" w:themeColor="text1"/>
          <w:sz w:val="18"/>
          <w:szCs w:val="18"/>
          <w:vertAlign w:val="subscript"/>
        </w:rPr>
        <w:t>3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  <w:r w:rsidRPr="007F52A7">
        <w:rPr>
          <w:rFonts w:ascii="Arial" w:hAnsi="Arial" w:cs="Arial"/>
          <w:b/>
          <w:bCs/>
          <w:color w:val="000000" w:themeColor="text1"/>
          <w:sz w:val="18"/>
          <w:szCs w:val="18"/>
        </w:rPr>
        <w:t>b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>, Charge distribution of lattice oxygen in Ca(Ti, Mn)O</w:t>
      </w:r>
      <w:r w:rsidRPr="007F52A7">
        <w:rPr>
          <w:rFonts w:ascii="Arial" w:hAnsi="Arial" w:cs="Arial"/>
          <w:color w:val="000000" w:themeColor="text1"/>
          <w:sz w:val="18"/>
          <w:szCs w:val="18"/>
          <w:vertAlign w:val="subscript"/>
        </w:rPr>
        <w:t>3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 xml:space="preserve"> by Bader charge analysis. </w:t>
      </w:r>
      <w:r w:rsidRPr="007F52A7">
        <w:rPr>
          <w:rFonts w:ascii="Arial" w:hAnsi="Arial" w:cs="Arial"/>
          <w:b/>
          <w:bCs/>
          <w:color w:val="000000" w:themeColor="text1"/>
          <w:sz w:val="18"/>
          <w:szCs w:val="18"/>
        </w:rPr>
        <w:t>c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>, The relaxed model of Ca(Ti, Mn)O</w:t>
      </w:r>
      <w:r w:rsidRPr="007F52A7">
        <w:rPr>
          <w:rFonts w:ascii="Arial" w:hAnsi="Arial" w:cs="Arial"/>
          <w:color w:val="000000" w:themeColor="text1"/>
          <w:sz w:val="18"/>
          <w:szCs w:val="18"/>
          <w:vertAlign w:val="subscript"/>
        </w:rPr>
        <w:t>3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  <w:r w:rsidRPr="007F52A7">
        <w:rPr>
          <w:rFonts w:ascii="Arial" w:hAnsi="Arial" w:cs="Arial"/>
          <w:b/>
          <w:bCs/>
          <w:color w:val="000000" w:themeColor="text1"/>
          <w:sz w:val="18"/>
          <w:szCs w:val="18"/>
        </w:rPr>
        <w:t>d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>, Charge distribution of lattice oxygen in Ca(Ti, Mn, Fe)O</w:t>
      </w:r>
      <w:r w:rsidRPr="007F52A7">
        <w:rPr>
          <w:rFonts w:ascii="Arial" w:hAnsi="Arial" w:cs="Arial"/>
          <w:color w:val="000000" w:themeColor="text1"/>
          <w:sz w:val="18"/>
          <w:szCs w:val="18"/>
          <w:vertAlign w:val="subscript"/>
        </w:rPr>
        <w:t>3</w:t>
      </w:r>
      <w:r w:rsidRPr="007F52A7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1A320F0B" w14:textId="66F312B7" w:rsidR="00C735A9" w:rsidRPr="00847F56" w:rsidRDefault="00C735A9" w:rsidP="0099316C">
      <w:pPr>
        <w:spacing w:line="360" w:lineRule="auto"/>
        <w:ind w:firstLineChars="100" w:firstLine="200"/>
        <w:rPr>
          <w:rFonts w:ascii="Times New Roman" w:hAnsi="Times New Roman"/>
          <w:color w:val="000000" w:themeColor="text1"/>
          <w:sz w:val="20"/>
          <w:szCs w:val="20"/>
        </w:rPr>
      </w:pPr>
      <w:r w:rsidRPr="00847F56">
        <w:rPr>
          <w:rFonts w:ascii="Times New Roman" w:hAnsi="Times New Roman"/>
          <w:color w:val="000000" w:themeColor="text1"/>
          <w:sz w:val="20"/>
          <w:szCs w:val="20"/>
        </w:rPr>
        <w:t>We built a CaTiO</w:t>
      </w:r>
      <w:r w:rsidRPr="00847F56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3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 xml:space="preserve"> model with Fe and Mn atoms situated in the B sites (</w:t>
      </w:r>
      <w:r w:rsidRPr="0068396E">
        <w:rPr>
          <w:rFonts w:ascii="Times New Roman" w:hAnsi="Times New Roman"/>
          <w:color w:val="0070C0"/>
          <w:sz w:val="20"/>
          <w:szCs w:val="20"/>
        </w:rPr>
        <w:t>Fig. 5b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>). The FeO</w:t>
      </w:r>
      <w:r w:rsidRPr="00847F56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6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 xml:space="preserve"> and MnO</w:t>
      </w:r>
      <w:r w:rsidRPr="00847F56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6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 xml:space="preserve"> octahedra were conjoined with each other by bridged oxygen. Bader charge analysis was implemented to analyze the difference in the charge distribution between Ca(Ti,</w:t>
      </w:r>
      <w:r w:rsidR="0008529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>Mn)O</w:t>
      </w:r>
      <w:r w:rsidRPr="00847F56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3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 xml:space="preserve"> and Ca(Ti,</w:t>
      </w:r>
      <w:r w:rsidR="0008529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>Mn,</w:t>
      </w:r>
      <w:r w:rsidR="0008529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>Fe)O</w:t>
      </w:r>
      <w:r w:rsidRPr="00847F56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3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>. As shown in Fig S5e, the oxygens coordinating with Mn atom in Ca(Ti, Mn)O</w:t>
      </w:r>
      <w:r w:rsidRPr="00847F56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3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 xml:space="preserve"> exhibit an average chemical valence of -1.17, a bit lower than those coordinating with Ti atom of about -1.21. This might be du</w:t>
      </w:r>
      <w:r w:rsidRPr="00847F56">
        <w:rPr>
          <w:rFonts w:ascii="Times New Roman" w:hAnsi="Times New Roman" w:hint="eastAsia"/>
          <w:color w:val="000000" w:themeColor="text1"/>
          <w:sz w:val="20"/>
          <w:szCs w:val="20"/>
        </w:rPr>
        <w:t>e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 xml:space="preserve"> to </w:t>
      </w:r>
      <w:r w:rsidR="00085292">
        <w:rPr>
          <w:rFonts w:ascii="Times New Roman" w:hAnsi="Times New Roman"/>
          <w:color w:val="000000" w:themeColor="text1"/>
          <w:sz w:val="20"/>
          <w:szCs w:val="20"/>
        </w:rPr>
        <w:t xml:space="preserve">the fact 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>that the energies of the hybrid orbitals composed of Mn 3d and O 2p are higher than those composed of Ti 3d and O 2p.</w:t>
      </w:r>
    </w:p>
    <w:p w14:paraId="0D77D3AB" w14:textId="1621F676" w:rsidR="00C735A9" w:rsidRDefault="00C735A9" w:rsidP="0099316C">
      <w:pPr>
        <w:spacing w:line="360" w:lineRule="auto"/>
        <w:ind w:firstLineChars="100" w:firstLine="200"/>
        <w:rPr>
          <w:rFonts w:ascii="Times New Roman" w:hAnsi="Times New Roman"/>
          <w:color w:val="000000" w:themeColor="text1"/>
          <w:sz w:val="20"/>
          <w:szCs w:val="20"/>
        </w:rPr>
      </w:pPr>
      <w:r w:rsidRPr="00847F56">
        <w:rPr>
          <w:rFonts w:ascii="Times New Roman" w:hAnsi="Times New Roman"/>
          <w:color w:val="000000" w:themeColor="text1"/>
          <w:sz w:val="20"/>
          <w:szCs w:val="20"/>
        </w:rPr>
        <w:t>With the introduction of Fe into Ca(Ti,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>Mn)O</w:t>
      </w:r>
      <w:r w:rsidRPr="00847F56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3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>, the valance of the bridged oxygen linking Fe and Mn ions dramatically increase to -1.02, and the oxygen located at the opposite vertex in MnO</w:t>
      </w:r>
      <w:r w:rsidRPr="00847F56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6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 xml:space="preserve"> octahedron rose to -1.00. The introduction of ions with low valence into semiconductors is always used to optimize the electron and hole concentrations in the solar cell field</w:t>
      </w:r>
      <w:r w:rsidRPr="00CF153F">
        <w:rPr>
          <w:rFonts w:ascii="Times New Roman" w:hAnsi="Times New Roman"/>
          <w:noProof/>
          <w:color w:val="000000" w:themeColor="text1"/>
          <w:sz w:val="20"/>
          <w:szCs w:val="20"/>
          <w:vertAlign w:val="superscript"/>
        </w:rPr>
        <w:t>6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 xml:space="preserve">. What is interesting was that the </w:t>
      </w:r>
      <w:r>
        <w:rPr>
          <w:rFonts w:ascii="Times New Roman" w:hAnsi="Times New Roman"/>
          <w:color w:val="000000" w:themeColor="text1"/>
          <w:sz w:val="20"/>
          <w:szCs w:val="20"/>
        </w:rPr>
        <w:t>unoccupied orbitals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 xml:space="preserve"> in Ca(Ti,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>Mn,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>Fe)O</w:t>
      </w:r>
      <w:r w:rsidRPr="00847F56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3</w:t>
      </w:r>
      <w:r w:rsidRPr="00847F56">
        <w:rPr>
          <w:rFonts w:ascii="Times New Roman" w:hAnsi="Times New Roman"/>
          <w:color w:val="000000" w:themeColor="text1"/>
          <w:sz w:val="20"/>
          <w:szCs w:val="20"/>
        </w:rPr>
        <w:t xml:space="preserve"> were preferentially localized near the oxygens coordinating with Mn rather than those coordinating with Fe.</w:t>
      </w:r>
    </w:p>
    <w:p w14:paraId="49000337" w14:textId="77777777" w:rsidR="00C735A9" w:rsidRPr="00847F56" w:rsidRDefault="00C735A9" w:rsidP="0099316C">
      <w:pPr>
        <w:spacing w:line="360" w:lineRule="auto"/>
        <w:ind w:firstLineChars="100" w:firstLine="200"/>
        <w:rPr>
          <w:rFonts w:ascii="Times New Roman" w:hAnsi="Times New Roman"/>
          <w:color w:val="000000" w:themeColor="text1"/>
          <w:sz w:val="20"/>
          <w:szCs w:val="20"/>
        </w:rPr>
      </w:pPr>
    </w:p>
    <w:p w14:paraId="20882262" w14:textId="77777777" w:rsidR="00C735A9" w:rsidRDefault="00C735A9" w:rsidP="00DF7C76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0223F375" wp14:editId="383F85C1">
            <wp:extent cx="2952750" cy="20193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BD56E" w14:textId="77777777" w:rsidR="00C735A9" w:rsidRPr="00345D61" w:rsidRDefault="00C735A9" w:rsidP="00DF7C76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345D61">
        <w:rPr>
          <w:rFonts w:ascii="Arial" w:hAnsi="Arial" w:cs="Arial"/>
          <w:b/>
          <w:bCs/>
          <w:sz w:val="18"/>
          <w:szCs w:val="18"/>
        </w:rPr>
        <w:t xml:space="preserve">Fig. 7. </w:t>
      </w:r>
      <w:r w:rsidRPr="00345D61">
        <w:rPr>
          <w:rFonts w:ascii="Arial" w:hAnsi="Arial" w:cs="Arial"/>
          <w:b/>
          <w:bCs/>
          <w:color w:val="000000" w:themeColor="text1"/>
          <w:sz w:val="18"/>
          <w:szCs w:val="18"/>
        </w:rPr>
        <w:t>H</w:t>
      </w:r>
      <w:r w:rsidRPr="00345D61">
        <w:rPr>
          <w:rFonts w:ascii="Arial" w:hAnsi="Arial" w:cs="Arial"/>
          <w:b/>
          <w:bCs/>
          <w:color w:val="000000" w:themeColor="text1"/>
          <w:sz w:val="18"/>
          <w:szCs w:val="18"/>
          <w:vertAlign w:val="subscript"/>
        </w:rPr>
        <w:t>2</w:t>
      </w:r>
      <w:r w:rsidRPr="00345D61">
        <w:rPr>
          <w:rFonts w:ascii="Arial" w:hAnsi="Arial" w:cs="Arial"/>
          <w:b/>
          <w:bCs/>
          <w:color w:val="000000" w:themeColor="text1"/>
          <w:sz w:val="18"/>
          <w:szCs w:val="18"/>
        </w:rPr>
        <w:t>-TPR profiles of 10Mn and 5Fe10Mn.</w:t>
      </w:r>
    </w:p>
    <w:p w14:paraId="7257AFE7" w14:textId="77777777" w:rsidR="00C735A9" w:rsidRPr="00AF62EC" w:rsidRDefault="00C735A9" w:rsidP="00DF7C76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</w:p>
    <w:p w14:paraId="2904340B" w14:textId="77777777" w:rsidR="00C735A9" w:rsidRPr="00C561BA" w:rsidRDefault="00C735A9" w:rsidP="00BE02A1">
      <w:pPr>
        <w:jc w:val="left"/>
        <w:rPr>
          <w:rFonts w:ascii="Times New Roman" w:hAnsi="Times New Roman"/>
          <w:b/>
          <w:bCs/>
          <w:sz w:val="20"/>
          <w:szCs w:val="20"/>
        </w:rPr>
      </w:pPr>
      <w:r w:rsidRPr="00C561BA">
        <w:rPr>
          <w:rFonts w:ascii="Times New Roman" w:hAnsi="Times New Roman"/>
          <w:b/>
          <w:bCs/>
          <w:sz w:val="20"/>
          <w:szCs w:val="20"/>
        </w:rPr>
        <w:t>Reference</w:t>
      </w:r>
    </w:p>
    <w:p w14:paraId="214D5F0B" w14:textId="77777777" w:rsidR="00C735A9" w:rsidRPr="00E77DE6" w:rsidRDefault="00C735A9" w:rsidP="00E77DE6">
      <w:pPr>
        <w:pStyle w:val="EndNoteBibliography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E77DE6">
        <w:rPr>
          <w:rFonts w:ascii="Times New Roman" w:hAnsi="Times New Roman" w:cs="Times New Roman"/>
          <w:sz w:val="18"/>
          <w:szCs w:val="18"/>
        </w:rPr>
        <w:t>1.</w:t>
      </w:r>
      <w:r w:rsidRPr="00E77DE6">
        <w:rPr>
          <w:rFonts w:ascii="Times New Roman" w:hAnsi="Times New Roman" w:cs="Times New Roman"/>
          <w:sz w:val="18"/>
          <w:szCs w:val="18"/>
        </w:rPr>
        <w:tab/>
        <w:t>Zhang, Z.</w:t>
      </w:r>
      <w:r w:rsidRPr="00E77DE6">
        <w:rPr>
          <w:rFonts w:ascii="Times New Roman" w:hAnsi="Times New Roman" w:cs="Times New Roman"/>
          <w:i/>
          <w:sz w:val="18"/>
          <w:szCs w:val="18"/>
        </w:rPr>
        <w:t xml:space="preserve"> et al.</w:t>
      </w:r>
      <w:r w:rsidRPr="00E77DE6">
        <w:rPr>
          <w:rFonts w:ascii="Times New Roman" w:hAnsi="Times New Roman" w:cs="Times New Roman"/>
          <w:sz w:val="18"/>
          <w:szCs w:val="18"/>
        </w:rPr>
        <w:t xml:space="preserve"> Conversion of CaTi</w:t>
      </w:r>
      <w:r w:rsidRPr="00E77DE6">
        <w:rPr>
          <w:rFonts w:ascii="Times New Roman" w:hAnsi="Times New Roman" w:cs="Times New Roman"/>
          <w:sz w:val="18"/>
          <w:szCs w:val="18"/>
          <w:vertAlign w:val="subscript"/>
        </w:rPr>
        <w:t>1–x</w:t>
      </w:r>
      <w:r w:rsidRPr="00E77DE6">
        <w:rPr>
          <w:rFonts w:ascii="Times New Roman" w:hAnsi="Times New Roman" w:cs="Times New Roman"/>
          <w:sz w:val="18"/>
          <w:szCs w:val="18"/>
        </w:rPr>
        <w:t>Mn</w:t>
      </w:r>
      <w:r w:rsidRPr="00E77DE6">
        <w:rPr>
          <w:rFonts w:ascii="Times New Roman" w:hAnsi="Times New Roman" w:cs="Times New Roman"/>
          <w:sz w:val="18"/>
          <w:szCs w:val="18"/>
          <w:vertAlign w:val="subscript"/>
        </w:rPr>
        <w:t>x</w:t>
      </w:r>
      <w:r w:rsidRPr="00E77DE6">
        <w:rPr>
          <w:rFonts w:ascii="Times New Roman" w:hAnsi="Times New Roman" w:cs="Times New Roman"/>
          <w:sz w:val="18"/>
          <w:szCs w:val="18"/>
        </w:rPr>
        <w:t>O</w:t>
      </w:r>
      <w:r w:rsidRPr="00E77DE6">
        <w:rPr>
          <w:rFonts w:ascii="Times New Roman" w:hAnsi="Times New Roman" w:cs="Times New Roman"/>
          <w:sz w:val="18"/>
          <w:szCs w:val="18"/>
          <w:vertAlign w:val="subscript"/>
        </w:rPr>
        <w:t>3–δ</w:t>
      </w:r>
      <w:r w:rsidRPr="00E77DE6">
        <w:rPr>
          <w:rFonts w:ascii="Times New Roman" w:hAnsi="Times New Roman" w:cs="Times New Roman"/>
          <w:sz w:val="18"/>
          <w:szCs w:val="18"/>
        </w:rPr>
        <w:t xml:space="preserve">-Based Photocatalyst for Photocatalytic Reduction of NO via Structure-Reforming of Ti-Bearing Blast Furnace Slag. </w:t>
      </w:r>
      <w:r w:rsidRPr="00E77DE6">
        <w:rPr>
          <w:rFonts w:ascii="Times New Roman" w:hAnsi="Times New Roman" w:cs="Times New Roman"/>
          <w:i/>
          <w:sz w:val="18"/>
          <w:szCs w:val="18"/>
        </w:rPr>
        <w:t>ACS Sustain. Chem. Eng.</w:t>
      </w:r>
      <w:r w:rsidRPr="00E77DE6">
        <w:rPr>
          <w:rFonts w:ascii="Times New Roman" w:hAnsi="Times New Roman" w:cs="Times New Roman"/>
          <w:sz w:val="18"/>
          <w:szCs w:val="18"/>
        </w:rPr>
        <w:t xml:space="preserve"> </w:t>
      </w:r>
      <w:r w:rsidRPr="00E77DE6">
        <w:rPr>
          <w:rFonts w:ascii="Times New Roman" w:hAnsi="Times New Roman" w:cs="Times New Roman"/>
          <w:b/>
          <w:sz w:val="18"/>
          <w:szCs w:val="18"/>
        </w:rPr>
        <w:t>7</w:t>
      </w:r>
      <w:r w:rsidRPr="00E77DE6">
        <w:rPr>
          <w:rFonts w:ascii="Times New Roman" w:hAnsi="Times New Roman" w:cs="Times New Roman"/>
          <w:sz w:val="18"/>
          <w:szCs w:val="18"/>
        </w:rPr>
        <w:t>, 10299-10309, doi:https://doi.org/10.1021/acssuschemeng.9b00097 (2019).</w:t>
      </w:r>
    </w:p>
    <w:p w14:paraId="3043E2B1" w14:textId="77777777" w:rsidR="00C735A9" w:rsidRPr="00E77DE6" w:rsidRDefault="00C735A9" w:rsidP="00E77DE6">
      <w:pPr>
        <w:pStyle w:val="EndNoteBibliography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E77DE6">
        <w:rPr>
          <w:rFonts w:ascii="Times New Roman" w:hAnsi="Times New Roman" w:cs="Times New Roman"/>
          <w:sz w:val="18"/>
          <w:szCs w:val="18"/>
        </w:rPr>
        <w:t>2.</w:t>
      </w:r>
      <w:r w:rsidRPr="00E77DE6">
        <w:rPr>
          <w:rFonts w:ascii="Times New Roman" w:hAnsi="Times New Roman" w:cs="Times New Roman"/>
          <w:sz w:val="18"/>
          <w:szCs w:val="18"/>
        </w:rPr>
        <w:tab/>
        <w:t xml:space="preserve">He, D., Gao, C., Pan, J. &amp; Xu, A. Preparation of glass-ceramics with diopside as the main crystalline phase from low and medium titanium-bearing blast furnace slag. </w:t>
      </w:r>
      <w:r w:rsidRPr="00E77DE6">
        <w:rPr>
          <w:rFonts w:ascii="Times New Roman" w:hAnsi="Times New Roman" w:cs="Times New Roman"/>
          <w:i/>
          <w:sz w:val="18"/>
          <w:szCs w:val="18"/>
        </w:rPr>
        <w:t>Ceram. Int.</w:t>
      </w:r>
      <w:r w:rsidRPr="00E77DE6">
        <w:rPr>
          <w:rFonts w:ascii="Times New Roman" w:hAnsi="Times New Roman" w:cs="Times New Roman"/>
          <w:sz w:val="18"/>
          <w:szCs w:val="18"/>
        </w:rPr>
        <w:t xml:space="preserve"> </w:t>
      </w:r>
      <w:r w:rsidRPr="00E77DE6">
        <w:rPr>
          <w:rFonts w:ascii="Times New Roman" w:hAnsi="Times New Roman" w:cs="Times New Roman"/>
          <w:b/>
          <w:sz w:val="18"/>
          <w:szCs w:val="18"/>
        </w:rPr>
        <w:t>44</w:t>
      </w:r>
      <w:r w:rsidRPr="00E77DE6">
        <w:rPr>
          <w:rFonts w:ascii="Times New Roman" w:hAnsi="Times New Roman" w:cs="Times New Roman"/>
          <w:sz w:val="18"/>
          <w:szCs w:val="18"/>
        </w:rPr>
        <w:t>, 1384-1393, doi:https://doi.org/10.1016/j.ceramint.2017.09.019 (2018).</w:t>
      </w:r>
    </w:p>
    <w:p w14:paraId="375C74E5" w14:textId="77777777" w:rsidR="00C735A9" w:rsidRPr="00E77DE6" w:rsidRDefault="00C735A9" w:rsidP="00E77DE6">
      <w:pPr>
        <w:pStyle w:val="EndNoteBibliography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E77DE6">
        <w:rPr>
          <w:rFonts w:ascii="Times New Roman" w:hAnsi="Times New Roman" w:cs="Times New Roman"/>
          <w:sz w:val="18"/>
          <w:szCs w:val="18"/>
        </w:rPr>
        <w:t>3.</w:t>
      </w:r>
      <w:r w:rsidRPr="00E77DE6">
        <w:rPr>
          <w:rFonts w:ascii="Times New Roman" w:hAnsi="Times New Roman" w:cs="Times New Roman"/>
          <w:sz w:val="18"/>
          <w:szCs w:val="18"/>
        </w:rPr>
        <w:tab/>
        <w:t xml:space="preserve">Wang, Y.-Z., Zhang, J.-L., Liu, Z.-J. &amp; Du, C.-B. Carbothermic Reduction Reactions at the Metal–Slag Interface in Ti-Bearing Slag from a Blast Furnace. </w:t>
      </w:r>
      <w:r w:rsidRPr="00E77DE6">
        <w:rPr>
          <w:rFonts w:ascii="Times New Roman" w:hAnsi="Times New Roman" w:cs="Times New Roman"/>
          <w:i/>
          <w:sz w:val="18"/>
          <w:szCs w:val="18"/>
        </w:rPr>
        <w:t>JOM</w:t>
      </w:r>
      <w:r w:rsidRPr="00E77DE6">
        <w:rPr>
          <w:rFonts w:ascii="Times New Roman" w:hAnsi="Times New Roman" w:cs="Times New Roman"/>
          <w:sz w:val="18"/>
          <w:szCs w:val="18"/>
        </w:rPr>
        <w:t xml:space="preserve"> </w:t>
      </w:r>
      <w:r w:rsidRPr="00E77DE6">
        <w:rPr>
          <w:rFonts w:ascii="Times New Roman" w:hAnsi="Times New Roman" w:cs="Times New Roman"/>
          <w:b/>
          <w:sz w:val="18"/>
          <w:szCs w:val="18"/>
        </w:rPr>
        <w:t>69</w:t>
      </w:r>
      <w:r w:rsidRPr="00E77DE6">
        <w:rPr>
          <w:rFonts w:ascii="Times New Roman" w:hAnsi="Times New Roman" w:cs="Times New Roman"/>
          <w:sz w:val="18"/>
          <w:szCs w:val="18"/>
        </w:rPr>
        <w:t>, 2397-2403, doi:https://doi.org/10.1007/s11837-017-2508-2 (2017).</w:t>
      </w:r>
    </w:p>
    <w:p w14:paraId="70FD51CD" w14:textId="77777777" w:rsidR="00C735A9" w:rsidRPr="00E77DE6" w:rsidRDefault="00C735A9" w:rsidP="00E77DE6">
      <w:pPr>
        <w:pStyle w:val="EndNoteBibliography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E77DE6">
        <w:rPr>
          <w:rFonts w:ascii="Times New Roman" w:hAnsi="Times New Roman" w:cs="Times New Roman"/>
          <w:sz w:val="18"/>
          <w:szCs w:val="18"/>
        </w:rPr>
        <w:t>4.</w:t>
      </w:r>
      <w:r w:rsidRPr="00E77DE6">
        <w:rPr>
          <w:rFonts w:ascii="Times New Roman" w:hAnsi="Times New Roman" w:cs="Times New Roman"/>
          <w:sz w:val="18"/>
          <w:szCs w:val="18"/>
        </w:rPr>
        <w:tab/>
        <w:t xml:space="preserve">Jiao, H. D., Tian, D. H., Wang, S., Zhu, J. &amp; Jiao, S. Q. Direct Preparation of Titanium Alloys from Ti-Bearing Blast Furnace Slag. </w:t>
      </w:r>
      <w:r w:rsidRPr="00E77DE6">
        <w:rPr>
          <w:rFonts w:ascii="Times New Roman" w:hAnsi="Times New Roman" w:cs="Times New Roman"/>
          <w:i/>
          <w:sz w:val="18"/>
          <w:szCs w:val="18"/>
        </w:rPr>
        <w:t>J. Electrochem. Soc.</w:t>
      </w:r>
      <w:r w:rsidRPr="00E77DE6">
        <w:rPr>
          <w:rFonts w:ascii="Times New Roman" w:hAnsi="Times New Roman" w:cs="Times New Roman"/>
          <w:sz w:val="18"/>
          <w:szCs w:val="18"/>
        </w:rPr>
        <w:t xml:space="preserve"> </w:t>
      </w:r>
      <w:r w:rsidRPr="00E77DE6">
        <w:rPr>
          <w:rFonts w:ascii="Times New Roman" w:hAnsi="Times New Roman" w:cs="Times New Roman"/>
          <w:b/>
          <w:sz w:val="18"/>
          <w:szCs w:val="18"/>
        </w:rPr>
        <w:t>164</w:t>
      </w:r>
      <w:r w:rsidRPr="00E77DE6">
        <w:rPr>
          <w:rFonts w:ascii="Times New Roman" w:hAnsi="Times New Roman" w:cs="Times New Roman"/>
          <w:sz w:val="18"/>
          <w:szCs w:val="18"/>
        </w:rPr>
        <w:t>, D511-D516, doi:https://doi.org/10.1149/2.0221709jes (2017).</w:t>
      </w:r>
    </w:p>
    <w:p w14:paraId="413812CB" w14:textId="77777777" w:rsidR="00C735A9" w:rsidRPr="00E77DE6" w:rsidRDefault="00C735A9" w:rsidP="00E77DE6">
      <w:pPr>
        <w:pStyle w:val="EndNoteBibliography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E77DE6">
        <w:rPr>
          <w:rFonts w:ascii="Times New Roman" w:hAnsi="Times New Roman" w:cs="Times New Roman"/>
          <w:sz w:val="18"/>
          <w:szCs w:val="18"/>
        </w:rPr>
        <w:t>5.</w:t>
      </w:r>
      <w:r w:rsidRPr="00E77DE6">
        <w:rPr>
          <w:rFonts w:ascii="Times New Roman" w:hAnsi="Times New Roman" w:cs="Times New Roman"/>
          <w:sz w:val="18"/>
          <w:szCs w:val="18"/>
        </w:rPr>
        <w:tab/>
        <w:t>Ben-Arfa, B. A. E., Salvado, I. M. M., Ferreira, J. M. F. &amp; Pullar, R. C. The effect of functional ions (Y</w:t>
      </w:r>
      <w:r w:rsidRPr="00E77DE6">
        <w:rPr>
          <w:rFonts w:ascii="Times New Roman" w:hAnsi="Times New Roman" w:cs="Times New Roman"/>
          <w:sz w:val="18"/>
          <w:szCs w:val="18"/>
          <w:vertAlign w:val="superscript"/>
        </w:rPr>
        <w:t>3+</w:t>
      </w:r>
      <w:r w:rsidRPr="00E77DE6">
        <w:rPr>
          <w:rFonts w:ascii="Times New Roman" w:hAnsi="Times New Roman" w:cs="Times New Roman"/>
          <w:sz w:val="18"/>
          <w:szCs w:val="18"/>
        </w:rPr>
        <w:t>, F</w:t>
      </w:r>
      <w:r w:rsidRPr="00E77DE6">
        <w:rPr>
          <w:rFonts w:ascii="Times New Roman" w:hAnsi="Times New Roman" w:cs="Times New Roman"/>
          <w:sz w:val="18"/>
          <w:szCs w:val="18"/>
          <w:vertAlign w:val="superscript"/>
        </w:rPr>
        <w:t>-</w:t>
      </w:r>
      <w:r w:rsidRPr="00E77DE6">
        <w:rPr>
          <w:rFonts w:ascii="Times New Roman" w:hAnsi="Times New Roman" w:cs="Times New Roman"/>
          <w:sz w:val="18"/>
          <w:szCs w:val="18"/>
        </w:rPr>
        <w:t>, Ti</w:t>
      </w:r>
      <w:r w:rsidRPr="00E77DE6">
        <w:rPr>
          <w:rFonts w:ascii="Times New Roman" w:hAnsi="Times New Roman" w:cs="Times New Roman"/>
          <w:sz w:val="18"/>
          <w:szCs w:val="18"/>
          <w:vertAlign w:val="superscript"/>
        </w:rPr>
        <w:t>4+</w:t>
      </w:r>
      <w:r w:rsidRPr="00E77DE6">
        <w:rPr>
          <w:rFonts w:ascii="Times New Roman" w:hAnsi="Times New Roman" w:cs="Times New Roman"/>
          <w:sz w:val="18"/>
          <w:szCs w:val="18"/>
        </w:rPr>
        <w:t>) on the structure, sintering and crystallization of diopside-calcium pyrophosphate bioglasses.</w:t>
      </w:r>
      <w:r w:rsidRPr="00E77DE6">
        <w:rPr>
          <w:rFonts w:ascii="Times New Roman" w:hAnsi="Times New Roman" w:cs="Times New Roman"/>
          <w:i/>
          <w:sz w:val="18"/>
          <w:szCs w:val="18"/>
        </w:rPr>
        <w:t xml:space="preserve"> J. Non. Cryst. Solids </w:t>
      </w:r>
      <w:r w:rsidRPr="00E77DE6">
        <w:rPr>
          <w:rFonts w:ascii="Times New Roman" w:hAnsi="Times New Roman" w:cs="Times New Roman"/>
          <w:b/>
          <w:sz w:val="18"/>
          <w:szCs w:val="18"/>
        </w:rPr>
        <w:t>443</w:t>
      </w:r>
      <w:r w:rsidRPr="00E77DE6">
        <w:rPr>
          <w:rFonts w:ascii="Times New Roman" w:hAnsi="Times New Roman" w:cs="Times New Roman"/>
          <w:sz w:val="18"/>
          <w:szCs w:val="18"/>
        </w:rPr>
        <w:t>, 162-171, doi:https://doi.org/10.1016/j.jnoncrysol.2016.04.028 (2016).</w:t>
      </w:r>
    </w:p>
    <w:p w14:paraId="1F35D030" w14:textId="77777777" w:rsidR="00C735A9" w:rsidRPr="00AD3AB2" w:rsidRDefault="00C735A9" w:rsidP="00E77DE6">
      <w:pPr>
        <w:pStyle w:val="EndNoteBibliography"/>
        <w:ind w:left="426" w:hanging="426"/>
        <w:jc w:val="both"/>
      </w:pPr>
      <w:r w:rsidRPr="00E77DE6">
        <w:rPr>
          <w:rFonts w:ascii="Times New Roman" w:hAnsi="Times New Roman" w:cs="Times New Roman"/>
          <w:sz w:val="18"/>
          <w:szCs w:val="18"/>
        </w:rPr>
        <w:t>6.</w:t>
      </w:r>
      <w:r w:rsidRPr="00E77DE6">
        <w:rPr>
          <w:rFonts w:ascii="Times New Roman" w:hAnsi="Times New Roman" w:cs="Times New Roman"/>
          <w:sz w:val="18"/>
          <w:szCs w:val="18"/>
        </w:rPr>
        <w:tab/>
        <w:t xml:space="preserve">Jin, H., Wiendlocha, B. &amp; Heremans, J. P. P-type doping of elemental bismuth with indium, gallium and tin: a novel doping mechanism in solids. </w:t>
      </w:r>
      <w:r w:rsidRPr="00E77DE6">
        <w:rPr>
          <w:rFonts w:ascii="Times New Roman" w:hAnsi="Times New Roman" w:cs="Times New Roman"/>
          <w:i/>
          <w:sz w:val="18"/>
          <w:szCs w:val="18"/>
        </w:rPr>
        <w:t>Energ. Environ. Sci.</w:t>
      </w:r>
      <w:r w:rsidRPr="00E77DE6">
        <w:rPr>
          <w:rFonts w:ascii="Times New Roman" w:hAnsi="Times New Roman" w:cs="Times New Roman"/>
          <w:sz w:val="18"/>
          <w:szCs w:val="18"/>
        </w:rPr>
        <w:t xml:space="preserve"> </w:t>
      </w:r>
      <w:r w:rsidRPr="00E77DE6">
        <w:rPr>
          <w:rFonts w:ascii="Times New Roman" w:hAnsi="Times New Roman" w:cs="Times New Roman"/>
          <w:b/>
          <w:sz w:val="18"/>
          <w:szCs w:val="18"/>
        </w:rPr>
        <w:t>8</w:t>
      </w:r>
      <w:r w:rsidRPr="00E77DE6">
        <w:rPr>
          <w:rFonts w:ascii="Times New Roman" w:hAnsi="Times New Roman" w:cs="Times New Roman"/>
          <w:sz w:val="18"/>
          <w:szCs w:val="18"/>
        </w:rPr>
        <w:t>, 2027-2040, doi:10.1039/C5EE01309G (2015).</w:t>
      </w:r>
    </w:p>
    <w:p w14:paraId="6E807E20" w14:textId="77777777" w:rsidR="00C735A9" w:rsidRPr="00C561BA" w:rsidRDefault="00C735A9" w:rsidP="00BF2D33">
      <w:pPr>
        <w:ind w:left="426" w:hanging="426"/>
        <w:rPr>
          <w:rFonts w:ascii="Times New Roman" w:hAnsi="Times New Roman"/>
          <w:sz w:val="20"/>
          <w:szCs w:val="20"/>
        </w:rPr>
      </w:pPr>
    </w:p>
    <w:p w14:paraId="527396C6" w14:textId="77777777" w:rsidR="007E17E7" w:rsidRDefault="007E17E7"/>
    <w:sectPr w:rsidR="007E1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2NDS2MLIwNjI3NTFU0lEKTi0uzszPAykwrgUAS1P7eC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735A9"/>
    <w:rsid w:val="00085292"/>
    <w:rsid w:val="00146EC7"/>
    <w:rsid w:val="001910FB"/>
    <w:rsid w:val="007E17E7"/>
    <w:rsid w:val="00C735A9"/>
    <w:rsid w:val="00E77DE6"/>
    <w:rsid w:val="00E9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9F260"/>
  <w15:chartTrackingRefBased/>
  <w15:docId w15:val="{27BFC4C2-006C-46BD-BFF3-E91A15A0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A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TitleRunningHead">
    <w:name w:val="AF_Title_Running_Head"/>
    <w:basedOn w:val="a"/>
    <w:next w:val="a"/>
    <w:rsid w:val="00E9021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a"/>
    <w:rsid w:val="00E9021D"/>
    <w:pPr>
      <w:widowControl/>
      <w:spacing w:after="240" w:line="480" w:lineRule="auto"/>
    </w:pPr>
    <w:rPr>
      <w:rFonts w:ascii="Times" w:hAnsi="Times"/>
      <w:b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a"/>
    <w:rsid w:val="00E9021D"/>
    <w:pPr>
      <w:widowControl/>
      <w:spacing w:before="720" w:after="360" w:line="480" w:lineRule="auto"/>
      <w:jc w:val="center"/>
    </w:pPr>
    <w:rPr>
      <w:rFonts w:ascii="Times New Roman" w:hAnsi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rsid w:val="00E9021D"/>
    <w:pPr>
      <w:widowControl/>
      <w:spacing w:after="240" w:line="480" w:lineRule="auto"/>
      <w:jc w:val="center"/>
    </w:pPr>
    <w:rPr>
      <w:rFonts w:ascii="Times" w:hAnsi="Times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E9021D"/>
    <w:pPr>
      <w:widowControl/>
      <w:spacing w:after="240" w:line="480" w:lineRule="auto"/>
      <w:jc w:val="center"/>
    </w:pPr>
    <w:rPr>
      <w:rFonts w:ascii="Times" w:hAnsi="Times"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a"/>
    <w:rsid w:val="00E9021D"/>
    <w:pPr>
      <w:widowControl/>
      <w:spacing w:before="360" w:after="36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BEAuthorBiography">
    <w:name w:val="BE_Author_Biography"/>
    <w:basedOn w:val="a"/>
    <w:rsid w:val="00E9021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BGKeywords">
    <w:name w:val="BG_Keywords"/>
    <w:basedOn w:val="a"/>
    <w:rsid w:val="00E9021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BHBriefs">
    <w:name w:val="BH_Briefs"/>
    <w:basedOn w:val="a"/>
    <w:rsid w:val="00E9021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IReceivedDate"/>
    <w:rsid w:val="00E9021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Default">
    <w:name w:val="Default"/>
    <w:rsid w:val="00E9021D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E9021D"/>
    <w:pPr>
      <w:widowControl/>
      <w:spacing w:before="120" w:after="60" w:line="480" w:lineRule="auto"/>
      <w:jc w:val="left"/>
    </w:pPr>
    <w:rPr>
      <w:rFonts w:ascii="Times" w:hAnsi="Times"/>
      <w:b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E9021D"/>
    <w:rPr>
      <w:rFonts w:ascii="Times" w:eastAsia="宋体" w:hAnsi="Times" w:cs="Times New Roman"/>
      <w:b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rsid w:val="00E9021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FCChartFootnote">
    <w:name w:val="FC_Chart_Footnote"/>
    <w:basedOn w:val="a"/>
    <w:next w:val="a"/>
    <w:rsid w:val="00E9021D"/>
    <w:pPr>
      <w:widowControl/>
      <w:spacing w:after="200"/>
      <w:ind w:firstLine="187"/>
    </w:pPr>
    <w:rPr>
      <w:rFonts w:ascii="Times" w:hAnsi="Times"/>
      <w:kern w:val="0"/>
      <w:sz w:val="24"/>
      <w:szCs w:val="20"/>
      <w:lang w:eastAsia="en-US"/>
    </w:rPr>
  </w:style>
  <w:style w:type="paragraph" w:customStyle="1" w:styleId="FDSchemeFootnote">
    <w:name w:val="FD_Scheme_Footnote"/>
    <w:basedOn w:val="a"/>
    <w:next w:val="a"/>
    <w:rsid w:val="00E9021D"/>
    <w:pPr>
      <w:widowControl/>
      <w:spacing w:after="200"/>
      <w:ind w:firstLine="187"/>
    </w:pPr>
    <w:rPr>
      <w:rFonts w:ascii="Times" w:hAnsi="Times"/>
      <w:kern w:val="0"/>
      <w:sz w:val="24"/>
      <w:szCs w:val="20"/>
      <w:lang w:eastAsia="en-US"/>
    </w:rPr>
  </w:style>
  <w:style w:type="paragraph" w:customStyle="1" w:styleId="FETableFootnote">
    <w:name w:val="FE_Table_Footnote"/>
    <w:basedOn w:val="a"/>
    <w:next w:val="a"/>
    <w:rsid w:val="00E9021D"/>
    <w:pPr>
      <w:widowControl/>
      <w:spacing w:after="200"/>
      <w:ind w:firstLine="187"/>
    </w:pPr>
    <w:rPr>
      <w:rFonts w:ascii="Times" w:hAnsi="Times"/>
      <w:kern w:val="0"/>
      <w:sz w:val="24"/>
      <w:szCs w:val="20"/>
      <w:lang w:eastAsia="en-US"/>
    </w:rPr>
  </w:style>
  <w:style w:type="paragraph" w:customStyle="1" w:styleId="SNSynopsisTOC">
    <w:name w:val="SN_Synopsis_TOC"/>
    <w:basedOn w:val="a"/>
    <w:rsid w:val="00E9021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E9021D"/>
    <w:pPr>
      <w:widowControl/>
      <w:jc w:val="left"/>
    </w:pPr>
    <w:rPr>
      <w:rFonts w:ascii="Arno Pro" w:hAnsi="Arno Pro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E9021D"/>
    <w:rPr>
      <w:rFonts w:ascii="Arno Pro" w:eastAsia="宋体" w:hAnsi="Arno Pro" w:cs="Times New Roman"/>
      <w:kern w:val="20"/>
      <w:sz w:val="18"/>
      <w:szCs w:val="20"/>
      <w:lang w:eastAsia="en-US"/>
    </w:rPr>
  </w:style>
  <w:style w:type="paragraph" w:customStyle="1" w:styleId="TAMainText">
    <w:name w:val="TA_Main_Text"/>
    <w:basedOn w:val="a"/>
    <w:rsid w:val="00E9021D"/>
    <w:pPr>
      <w:widowControl/>
      <w:spacing w:line="480" w:lineRule="auto"/>
      <w:ind w:firstLine="202"/>
    </w:pPr>
    <w:rPr>
      <w:rFonts w:ascii="Times" w:hAnsi="Times"/>
      <w:kern w:val="0"/>
      <w:sz w:val="24"/>
      <w:szCs w:val="20"/>
      <w:lang w:eastAsia="en-US"/>
    </w:rPr>
  </w:style>
  <w:style w:type="paragraph" w:customStyle="1" w:styleId="TCTableBody">
    <w:name w:val="TC_Table_Body"/>
    <w:basedOn w:val="a"/>
    <w:rsid w:val="00E9021D"/>
    <w:pPr>
      <w:widowControl/>
      <w:spacing w:after="200"/>
    </w:pPr>
    <w:rPr>
      <w:rFonts w:ascii="Times" w:hAnsi="Times"/>
      <w:kern w:val="0"/>
      <w:sz w:val="24"/>
      <w:szCs w:val="20"/>
      <w:lang w:eastAsia="en-US"/>
    </w:rPr>
  </w:style>
  <w:style w:type="paragraph" w:customStyle="1" w:styleId="TDAcknowledgments">
    <w:name w:val="TD_Acknowledgments"/>
    <w:basedOn w:val="a"/>
    <w:next w:val="a"/>
    <w:rsid w:val="00E9021D"/>
    <w:pPr>
      <w:widowControl/>
      <w:spacing w:before="200" w:after="200" w:line="480" w:lineRule="auto"/>
      <w:ind w:firstLine="202"/>
    </w:pPr>
    <w:rPr>
      <w:rFonts w:ascii="Times" w:hAnsi="Times"/>
      <w:kern w:val="0"/>
      <w:sz w:val="24"/>
      <w:szCs w:val="20"/>
      <w:lang w:eastAsia="en-US"/>
    </w:rPr>
  </w:style>
  <w:style w:type="paragraph" w:customStyle="1" w:styleId="TESupportingInformation">
    <w:name w:val="TE_Supporting_Information"/>
    <w:basedOn w:val="a"/>
    <w:next w:val="a"/>
    <w:rsid w:val="00E9021D"/>
    <w:pPr>
      <w:widowControl/>
      <w:spacing w:after="200" w:line="480" w:lineRule="auto"/>
      <w:ind w:firstLine="187"/>
    </w:pPr>
    <w:rPr>
      <w:rFonts w:ascii="Times" w:hAnsi="Times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rsid w:val="00E9021D"/>
    <w:pPr>
      <w:widowControl/>
      <w:spacing w:after="200" w:line="480" w:lineRule="auto"/>
      <w:ind w:firstLine="187"/>
    </w:pPr>
    <w:rPr>
      <w:rFonts w:ascii="Times" w:hAnsi="Times"/>
      <w:kern w:val="0"/>
      <w:sz w:val="24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E9021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VBChartTitle">
    <w:name w:val="VB_Chart_Title"/>
    <w:basedOn w:val="a"/>
    <w:next w:val="a"/>
    <w:rsid w:val="00E9021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VCSchemeTitle">
    <w:name w:val="VC_Scheme_Title"/>
    <w:basedOn w:val="a"/>
    <w:next w:val="a"/>
    <w:rsid w:val="00E9021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VDTableTitle">
    <w:name w:val="VD_Table_Title"/>
    <w:basedOn w:val="a"/>
    <w:next w:val="a"/>
    <w:rsid w:val="00E9021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character" w:styleId="a3">
    <w:name w:val="Hyperlink"/>
    <w:uiPriority w:val="99"/>
    <w:unhideWhenUsed/>
    <w:rsid w:val="00C735A9"/>
    <w:rPr>
      <w:color w:val="0000FF"/>
      <w:u w:val="single"/>
    </w:rPr>
  </w:style>
  <w:style w:type="character" w:styleId="a4">
    <w:name w:val="FollowedHyperlink"/>
    <w:rsid w:val="00E9021D"/>
    <w:rPr>
      <w:color w:val="800080"/>
      <w:u w:val="single"/>
    </w:rPr>
  </w:style>
  <w:style w:type="paragraph" w:styleId="a5">
    <w:name w:val="footnote text"/>
    <w:basedOn w:val="a"/>
    <w:next w:val="TFReferencesSection"/>
    <w:link w:val="a6"/>
    <w:semiHidden/>
    <w:rsid w:val="00E9021D"/>
    <w:pPr>
      <w:widowControl/>
      <w:spacing w:after="200"/>
    </w:pPr>
    <w:rPr>
      <w:rFonts w:ascii="Times" w:hAnsi="Times"/>
      <w:kern w:val="0"/>
      <w:sz w:val="24"/>
      <w:szCs w:val="20"/>
      <w:lang w:eastAsia="en-US"/>
    </w:rPr>
  </w:style>
  <w:style w:type="character" w:customStyle="1" w:styleId="a6">
    <w:name w:val="脚注文本 字符"/>
    <w:link w:val="a5"/>
    <w:semiHidden/>
    <w:rsid w:val="00E9021D"/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7">
    <w:name w:val="Balloon Text"/>
    <w:basedOn w:val="a"/>
    <w:link w:val="a8"/>
    <w:semiHidden/>
    <w:rsid w:val="00E9021D"/>
    <w:pPr>
      <w:widowControl/>
      <w:spacing w:after="200"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a8">
    <w:name w:val="批注框文本 字符"/>
    <w:link w:val="a7"/>
    <w:semiHidden/>
    <w:rsid w:val="00E9021D"/>
    <w:rPr>
      <w:rFonts w:ascii="Tahoma" w:eastAsia="宋体" w:hAnsi="Tahoma" w:cs="Tahoma"/>
      <w:kern w:val="0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C735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rsid w:val="00C735A9"/>
    <w:rPr>
      <w:kern w:val="2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735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link w:val="ab"/>
    <w:uiPriority w:val="99"/>
    <w:rsid w:val="00C735A9"/>
    <w:rPr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C735A9"/>
    <w:pPr>
      <w:jc w:val="center"/>
    </w:pPr>
    <w:rPr>
      <w:rFonts w:cs="Calibri"/>
      <w:noProof/>
      <w:sz w:val="20"/>
    </w:rPr>
  </w:style>
  <w:style w:type="character" w:customStyle="1" w:styleId="EndNoteBibliographyTitle0">
    <w:name w:val="EndNote Bibliography Title 字符"/>
    <w:link w:val="EndNoteBibliographyTitle"/>
    <w:rsid w:val="00C735A9"/>
    <w:rPr>
      <w:rFonts w:cs="Calibri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C735A9"/>
    <w:pPr>
      <w:jc w:val="left"/>
    </w:pPr>
    <w:rPr>
      <w:rFonts w:cs="Calibri"/>
      <w:noProof/>
      <w:sz w:val="20"/>
    </w:rPr>
  </w:style>
  <w:style w:type="character" w:customStyle="1" w:styleId="EndNoteBibliography0">
    <w:name w:val="EndNote Bibliography 字符"/>
    <w:link w:val="EndNoteBibliography"/>
    <w:rsid w:val="00C735A9"/>
    <w:rPr>
      <w:rFonts w:cs="Calibri"/>
      <w:noProof/>
      <w:kern w:val="2"/>
      <w:szCs w:val="22"/>
    </w:rPr>
  </w:style>
  <w:style w:type="character" w:styleId="ad">
    <w:name w:val="Unresolved Mention"/>
    <w:uiPriority w:val="99"/>
    <w:semiHidden/>
    <w:unhideWhenUsed/>
    <w:rsid w:val="00C735A9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C735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1237</Words>
  <Characters>7051</Characters>
  <Application>Microsoft Office Word</Application>
  <DocSecurity>0</DocSecurity>
  <Lines>58</Lines>
  <Paragraphs>16</Paragraphs>
  <ScaleCrop>false</ScaleCrop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季益龙</dc:creator>
  <cp:keywords/>
  <dc:description/>
  <cp:lastModifiedBy>季益龙</cp:lastModifiedBy>
  <cp:revision>4</cp:revision>
  <dcterms:created xsi:type="dcterms:W3CDTF">2022-01-22T07:49:00Z</dcterms:created>
  <dcterms:modified xsi:type="dcterms:W3CDTF">2022-01-22T10:11:00Z</dcterms:modified>
</cp:coreProperties>
</file>