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0E912" w14:textId="77777777" w:rsidR="00CC1606" w:rsidRDefault="00CC1606" w:rsidP="00CC1606">
      <w:pPr>
        <w:pStyle w:val="Text"/>
        <w:spacing w:line="360" w:lineRule="auto"/>
        <w:jc w:val="both"/>
      </w:pPr>
      <w:r>
        <w:rPr>
          <w:noProof/>
          <w14:textOutline w14:w="0" w14:cap="rnd" w14:cmpd="sng" w14:algn="ctr">
            <w14:noFill/>
            <w14:prstDash w14:val="solid"/>
            <w14:bevel/>
          </w14:textOutline>
        </w:rPr>
        <w:drawing>
          <wp:inline distT="0" distB="0" distL="0" distR="0" wp14:anchorId="07BBCF8E" wp14:editId="4B16339B">
            <wp:extent cx="7772400" cy="2159000"/>
            <wp:effectExtent l="0" t="0" r="0" b="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7772400" cy="2159000"/>
                    </a:xfrm>
                    <a:prstGeom prst="rect">
                      <a:avLst/>
                    </a:prstGeom>
                  </pic:spPr>
                </pic:pic>
              </a:graphicData>
            </a:graphic>
          </wp:inline>
        </w:drawing>
      </w:r>
    </w:p>
    <w:p w14:paraId="626A0325" w14:textId="77777777" w:rsidR="00CC1606" w:rsidRDefault="00CC1606" w:rsidP="00CC1606">
      <w:pPr>
        <w:pStyle w:val="Text"/>
        <w:spacing w:line="360" w:lineRule="auto"/>
        <w:jc w:val="both"/>
      </w:pPr>
    </w:p>
    <w:p w14:paraId="180797B5" w14:textId="77777777" w:rsidR="00CC1606" w:rsidRDefault="00CC1606" w:rsidP="00CC1606">
      <w:pPr>
        <w:pStyle w:val="Text"/>
        <w:spacing w:line="360" w:lineRule="auto"/>
        <w:jc w:val="both"/>
      </w:pPr>
    </w:p>
    <w:p w14:paraId="7653B87E" w14:textId="77777777" w:rsidR="00CC1606" w:rsidRDefault="00CC1606" w:rsidP="00CC1606">
      <w:pPr>
        <w:pStyle w:val="Text"/>
        <w:spacing w:line="360" w:lineRule="auto"/>
        <w:jc w:val="both"/>
      </w:pPr>
      <w:r>
        <w:rPr>
          <w:b/>
          <w:bCs/>
        </w:rPr>
        <w:t>Extended Data Figure 1</w:t>
      </w:r>
      <w:r>
        <w:t xml:space="preserve">. </w:t>
      </w:r>
      <w:r>
        <w:rPr>
          <w:b/>
          <w:bCs/>
        </w:rPr>
        <w:t xml:space="preserve">Haplotypes harboring key </w:t>
      </w:r>
      <w:r>
        <w:rPr>
          <w:b/>
          <w:bCs/>
          <w:i/>
          <w:iCs/>
          <w:lang w:val="de-DE"/>
        </w:rPr>
        <w:t>HLA-DRB1</w:t>
      </w:r>
      <w:r>
        <w:rPr>
          <w:b/>
          <w:bCs/>
        </w:rPr>
        <w:t xml:space="preserve">*04 subtypes and/or </w:t>
      </w:r>
      <w:r>
        <w:rPr>
          <w:b/>
          <w:bCs/>
          <w:i/>
          <w:iCs/>
        </w:rPr>
        <w:t>HLA-DQB1</w:t>
      </w:r>
      <w:r>
        <w:rPr>
          <w:b/>
          <w:bCs/>
        </w:rPr>
        <w:t>*03:02.</w:t>
      </w:r>
      <w:r>
        <w:t xml:space="preserve"> Effect sizes highlighted in red were nominally significant (p &lt; 0.05).</w:t>
      </w:r>
    </w:p>
    <w:p w14:paraId="04D9AD64" w14:textId="77777777" w:rsidR="00CC1606" w:rsidRDefault="00CC1606" w:rsidP="00CC1606">
      <w:pPr>
        <w:rPr>
          <w:rFonts w:cs="Arial Unicode MS"/>
          <w:color w:val="000000"/>
          <w:u w:color="000000"/>
          <w14:textOutline w14:w="0" w14:cap="flat" w14:cmpd="sng" w14:algn="ctr">
            <w14:noFill/>
            <w14:prstDash w14:val="solid"/>
            <w14:bevel/>
          </w14:textOutline>
        </w:rPr>
      </w:pPr>
      <w:r>
        <w:br w:type="page"/>
      </w:r>
    </w:p>
    <w:p w14:paraId="2DDD934C" w14:textId="77777777" w:rsidR="00CC1606" w:rsidRDefault="00CC1606" w:rsidP="00CC1606">
      <w:pPr>
        <w:pStyle w:val="Text"/>
        <w:spacing w:line="360" w:lineRule="auto"/>
        <w:jc w:val="both"/>
        <w:rPr>
          <w:b/>
          <w:bCs/>
        </w:rPr>
      </w:pPr>
    </w:p>
    <w:p w14:paraId="28688667" w14:textId="77777777" w:rsidR="00CC1606" w:rsidRDefault="00CC1606" w:rsidP="00CC1606">
      <w:pPr>
        <w:pStyle w:val="Text"/>
      </w:pPr>
    </w:p>
    <w:p w14:paraId="4CF8F54F" w14:textId="77777777" w:rsidR="00CC1606" w:rsidRDefault="00CC1606" w:rsidP="00CC1606">
      <w:pPr>
        <w:pStyle w:val="Text"/>
      </w:pPr>
    </w:p>
    <w:p w14:paraId="05E7B404" w14:textId="77777777" w:rsidR="00CC1606" w:rsidRDefault="00CC1606" w:rsidP="00CC1606">
      <w:pPr>
        <w:pStyle w:val="Text"/>
      </w:pPr>
    </w:p>
    <w:p w14:paraId="24F1A88A" w14:textId="77777777" w:rsidR="00CC1606" w:rsidRDefault="00CC1606" w:rsidP="00CC1606">
      <w:pPr>
        <w:pStyle w:val="Text"/>
        <w:spacing w:line="360" w:lineRule="auto"/>
        <w:jc w:val="center"/>
      </w:pPr>
      <w:r>
        <w:rPr>
          <w:noProof/>
        </w:rPr>
        <w:drawing>
          <wp:inline distT="0" distB="0" distL="0" distR="0" wp14:anchorId="2DC6A3EA" wp14:editId="388B2359">
            <wp:extent cx="7495822" cy="4359109"/>
            <wp:effectExtent l="0" t="0" r="0" b="0"/>
            <wp:docPr id="1073741829" name="officeArt object"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9" name="TimelineDescription automatically generated" descr="TimelineDescription automatically generated"/>
                    <pic:cNvPicPr>
                      <a:picLocks noChangeAspect="1"/>
                    </pic:cNvPicPr>
                  </pic:nvPicPr>
                  <pic:blipFill>
                    <a:blip r:embed="rId5"/>
                    <a:stretch>
                      <a:fillRect/>
                    </a:stretch>
                  </pic:blipFill>
                  <pic:spPr>
                    <a:xfrm>
                      <a:off x="0" y="0"/>
                      <a:ext cx="7529270" cy="4378560"/>
                    </a:xfrm>
                    <a:prstGeom prst="rect">
                      <a:avLst/>
                    </a:prstGeom>
                    <a:ln w="12700" cap="flat">
                      <a:noFill/>
                      <a:miter lim="400000"/>
                    </a:ln>
                    <a:effectLst/>
                  </pic:spPr>
                </pic:pic>
              </a:graphicData>
            </a:graphic>
          </wp:inline>
        </w:drawing>
      </w:r>
    </w:p>
    <w:p w14:paraId="65DB7A9E" w14:textId="77777777" w:rsidR="00CC1606" w:rsidRDefault="00CC1606" w:rsidP="00CC1606">
      <w:pPr>
        <w:pStyle w:val="Text"/>
        <w:spacing w:line="360" w:lineRule="auto"/>
        <w:jc w:val="both"/>
      </w:pPr>
      <w:r>
        <w:rPr>
          <w:b/>
          <w:bCs/>
        </w:rPr>
        <w:t>Extended Data Figure 2</w:t>
      </w:r>
      <w:r>
        <w:t xml:space="preserve">. </w:t>
      </w:r>
      <w:r>
        <w:rPr>
          <w:b/>
          <w:bCs/>
        </w:rPr>
        <w:t>Locuszoom plots of the local-HLA GWAS in multi-ancestry AD, PD, and ALS analyses.</w:t>
      </w:r>
      <w:r>
        <w:t xml:space="preserve"> The lead variants in the AD and PD GWAS are missing in the summary statistics of the latest ALS GWAS</w:t>
      </w:r>
      <w:r>
        <w:fldChar w:fldCharType="begin"/>
      </w:r>
      <w:r>
        <w:instrText xml:space="preserve"> ADDIN ZOTERO_ITEM CSL_CITATION {"citationID":"a1b8n4f6sb2","properties":{"formattedCitation":"\\super 11\\nosupersub{}","plainCitation":"11","noteIndex":0},"citationItems":[{"id":3543,"uris":["http://zotero.org/groups/4507533/items/E3JEA5IF"],"uri":["http://zotero.org/groups/4507533/items/E3JEA5IF"],"itemData":{"id":3543,"type":"article-journal","abstract":"Amyotrophic lateral sclerosis (ALS) is a fatal neurodegenerative disease with a lifetime risk of one in 350 people and an unmet need for disease-modifying therapies. We conducted a cross-ancestry genome-wide association study (GWAS) including 29,612 patients with ALS and 122,656 controls, which identified 15 risk loci. When combined with 8,953 individuals with whole-genome sequencing (6,538 patients, 2,415 controls) and a large cortex-derived expression quantitative trait locus (eQTL) dataset (MetaBrain), analyses revealed locus-specific genetic architectures in which we prioritized genes either through rare variants, short tandem repeats or regulatory effects. ALS-associated risk loci were shared with multiple traits within the neurodegenerative spectrum but with distinct enrichment patterns across brain regions and cell types. Of the environmental and lifestyle risk factors obtained from the literature, Mendelian randomization analyses indicated a causal role for high cholesterol levels. The combination of all ALS-associated signals reveals a role for perturbations in vesicle-mediated transport and autophagy and provides evidence for cell-autonomous disease initiation in glutamatergic neurons.","container-title":"Nature Genetics","DOI":"10.1038/s41588-021-00973-1","ISSN":"1546-1718","issue":"12","journalAbbreviation":"Nat Genet","language":"en","note":"Bandiera_abtest: a\nCc_license_type: cc_by\nCg_type: Nature Research Journals\nnumber: 12\nPrimary_atype: Research\npublisher: Nature Publishing Group\nSubject_term: Genome-wide association studies;Motor neuron disease;Neurodegenerative diseases\nSubject_term_id: genome-wide-association-studies;motor-neuron-disease;neurodegenerative-diseases","page":"1636-1648","source":"www.nature.com","title":"Common and rare variant association analyses in amyotrophic lateral sclerosis identify 15 risk loci with distinct genetic architectures and neuron-specific biology","volume":"53","author":[{"family":"Rheenen","given":"Wouter","non-dropping-particle":"van"},{"family":"Spek","given":"Rick A. A.","non-dropping-particle":"van der"},{"family":"Bakker","given":"Mark K."},{"family":"Vugt","given":"Joke J. F. A.","non-dropping-particle":"van"},{"family":"Hop","given":"Paul J."},{"family":"Zwamborn","given":"Ramona A. J."},{"family":"Klein","given":"Niek","non-dropping-particle":"de"},{"family":"Westra","given":"Harm-Jan"},{"family":"Bakker","given":"Olivier B."},{"family":"Deelen","given":"Patrick"},{"family":"Shireby","given":"Gemma"},{"family":"Hannon","given":"Eilis"},{"family":"Moisse","given":"Matthieu"},{"family":"Baird","given":"Denis"},{"family":"Restuadi","given":"Restuadi"},{"family":"Dolzhenko","given":"Egor"},{"family":"Dekker","given":"Annelot M."},{"family":"Gawor","given":"Klara"},{"family":"Westeneng","given":"Henk-Jan"},{"family":"Tazelaar","given":"Gijs H. P."},{"family":"Eijk","given":"Kristel R.","non-dropping-particle":"van"},{"family":"Kooyman","given":"Maarten"},{"family":"Byrne","given":"Ross P."},{"family":"Doherty","given":"Mark"},{"family":"Heverin","given":"Mark"},{"family":"Al Khleifat","given":"Ahmad"},{"family":"Iacoangeli","given":"Alfredo"},{"family":"Shatunov","given":"Aleksey"},{"family":"Ticozzi","given":"Nicola"},{"family":"Cooper-Knock","given":"Johnathan"},{"family":"Smith","given":"Bradley N."},{"family":"Gromicho","given":"Marta"},{"family":"Chandran","given":"Siddharthan"},{"family":"Pal","given":"Suvankar"},{"family":"Morrison","given":"Karen E."},{"family":"Shaw","given":"Pamela J."},{"family":"Hardy","given":"John"},{"family":"Orrell","given":"Richard W."},{"family":"Sendtner","given":"Michael"},{"family":"Meyer","given":"Thomas"},{"family":"Başak","given":"Nazli"},{"family":"Kooi","given":"Anneke J.","non-dropping-particle":"van der"},{"family":"Ratti","given":"Antonia"},{"family":"Fogh","given":"Isabella"},{"family":"Gellera","given":"Cinzia"},{"family":"Lauria","given":"Giuseppe"},{"family":"Corti","given":"Stefania"},{"family":"Cereda","given":"Cristina"},{"family":"Sproviero","given":"Daisy"},{"family":"D’Alfonso","given":"Sandra"},{"family":"Sorarù","given":"Gianni"},{"family":"Siciliano","given":"Gabriele"},{"family":"Filosto","given":"Massimiliano"},{"family":"Padovani","given":"Alessandro"},{"family":"Chiò","given":"Adriano"},{"family":"Calvo","given":"Andrea"},{"family":"Moglia","given":"Cristina"},{"family":"Brunetti","given":"Maura"},{"family":"Canosa","given":"Antonio"},{"family":"Grassano","given":"Maurizio"},{"family":"Beghi","given":"Ettore"},{"family":"Pupillo","given":"Elisabetta"},{"family":"Logroscino","given":"Giancarlo"},{"family":"Nefussy","given":"Beatrice"},{"family":"Osmanovic","given":"Alma"},{"family":"Nordin","given":"Angelica"},{"family":"Lerner","given":"Yossef"},{"family":"Zabari","given":"Michal"},{"family":"Gotkine","given":"Marc"},{"family":"Baloh","given":"Robert H."},{"family":"Bell","given":"Shaughn"},{"family":"Vourc’h","given":"Patrick"},{"family":"Corcia","given":"Philippe"},{"family":"Couratier","given":"Philippe"},{"family":"Millecamps","given":"Stéphanie"},{"family":"Meininger","given":"Vincent"},{"family":"Salachas","given":"François"},{"family":"Mora Pardina","given":"Jesus S."},{"family":"Assialioui","given":"Abdelilah"},{"family":"Rojas-García","given":"Ricardo"},{"family":"Dion","given":"Patrick A."},{"family":"Ross","given":"Jay P."},{"family":"Ludolph","given":"Albert C."},{"family":"Weishaupt","given":"Jochen H."},{"family":"Brenner","given":"David"},{"family":"Freischmidt","given":"Axel"},{"family":"Bensimon","given":"Gilbert"},{"family":"Brice","given":"Alexis"},{"family":"Durr","given":"Alexandra"},{"family":"Payan","given":"Christine A. M."},{"family":"Saker-Delye","given":"Safa"},{"family":"Wood","given":"Nicholas W."},{"family":"Topp","given":"Simon"},{"family":"Rademakers","given":"Rosa"},{"family":"Tittmann","given":"Lukas"},{"family":"Lieb","given":"Wolfgang"},{"family":"Franke","given":"Andre"},{"family":"Ripke","given":"Stephan"},{"family":"Braun","given":"Alice"},{"family":"Kraft","given":"Julia"},{"family":"Whiteman","given":"David C."},{"family":"Olsen","given":"Catherine M."},{"family":"Uitterlinden","given":"Andre G."},{"family":"Hofman","given":"Albert"},{"family":"Rietschel","given":"Marcella"},{"family":"Cichon","given":"Sven"},{"family":"Nöthen","given":"Markus M."},{"family":"Amouyel","given":"Philippe"},{"family":"Traynor","given":"Bryan J."},{"family":"Singleton","given":"Andrew B."},{"family":"Mitne Neto","given":"Miguel"},{"family":"Cauchi","given":"Ruben J."},{"family":"Ophoff","given":"Roel A."},{"family":"Wiedau-Pazos","given":"Martina"},{"family":"Lomen-Hoerth","given":"Catherine"},{"family":"Deerlin","given":"Vivianna M.","non-dropping-particle":"van"},{"family":"Grosskreutz","given":"Julian"},{"family":"Roediger","given":"Annekathrin"},{"family":"Gaur","given":"Nayana"},{"family":"Jörk","given":"Alexander"},{"family":"Barthel","given":"Tabea"},{"family":"Theele","given":"Erik"},{"family":"Ilse","given":"Benjamin"},{"family":"Stubendorff","given":"Beatrice"},{"family":"Witte","given":"Otto W."},{"family":"Steinbach","given":"Robert"},{"family":"Hübner","given":"Christian A."},{"family":"Graff","given":"Caroline"},{"family":"Brylev","given":"Lev"},{"family":"Fominykh","given":"Vera"},{"family":"Demeshonok","given":"Vera"},{"family":"Ataulina","given":"Anastasia"},{"family":"Rogelj","given":"Boris"},{"family":"Koritnik","given":"Blaž"},{"family":"Zidar","given":"Janez"},{"family":"Ravnik-Glavač","given":"Metka"},{"family":"Glavač","given":"Damjan"},{"family":"Stević","given":"Zorica"},{"family":"Drory","given":"Vivian"},{"family":"Povedano","given":"Monica"},{"family":"Blair","given":"Ian P."},{"family":"Kiernan","given":"Matthew C."},{"family":"Benyamin","given":"Beben"},{"family":"Henderson","given":"Robert D."},{"family":"Furlong","given":"Sarah"},{"family":"Mathers","given":"Susan"},{"family":"McCombe","given":"Pamela A."},{"family":"Needham","given":"Merrilee"},{"family":"Ngo","given":"Shyuan T."},{"family":"Nicholson","given":"Garth A."},{"family":"Pamphlett","given":"Roger"},{"family":"Rowe","given":"Dominic B."},{"family":"Steyn","given":"Frederik J."},{"family":"Williams","given":"Kelly L."},{"family":"Mather","given":"Karen A."},{"family":"Sachdev","given":"Perminder S."},{"family":"Henders","given":"Anjali K."},{"family":"Wallace","given":"Leanne"},{"family":"Carvalho","given":"Mamede","non-dropping-particle":"de"},{"family":"Pinto","given":"Susana"},{"family":"Petri","given":"Susanne"},{"family":"Weber","given":"Markus"},{"family":"Rouleau","given":"Guy A."},{"family":"Silani","given":"Vincenzo"},{"family":"Curtis","given":"Charles J."},{"family":"Breen","given":"Gerome"},{"family":"Glass","given":"Jonathan D."},{"family":"Brown","given":"Robert H."},{"family":"Landers","given":"John E."},{"family":"Shaw","given":"Christopher E."},{"family":"Andersen","given":"Peter M."},{"family":"Groen","given":"Ewout J. N."},{"family":"Es","given":"Michael A.","non-dropping-particle":"van"},{"family":"Pasterkamp","given":"R. Jeroen"},{"family":"Fan","given":"Dongsheng"},{"family":"Garton","given":"Fleur C."},{"family":"McRae","given":"Allan F."},{"family":"Davey Smith","given":"George"},{"family":"Gaunt","given":"Tom R."},{"family":"Eberle","given":"Michael A."},{"family":"Mill","given":"Jonathan"},{"family":"McLaughlin","given":"Russell L."},{"family":"Hardiman","given":"Orla"},{"family":"Kenna","given":"Kevin P."},{"family":"Wray","given":"Naomi R."},{"family":"Tsai","given":"Ellen"},{"family":"Runz","given":"Heiko"},{"family":"Franke","given":"Lude"},{"family":"Al-Chalabi","given":"Ammar"},{"family":"Van Damme","given":"Philip"},{"family":"Berg","given":"Leonard H.","non-dropping-particle":"van den"},{"family":"Veldink","given":"Jan H."}],"issued":{"date-parts":[["2021",12]]}}}],"schema":"https://github.com/citation-style-language/schema/raw/master/csl-citation.json"} </w:instrText>
      </w:r>
      <w:r>
        <w:fldChar w:fldCharType="separate"/>
      </w:r>
      <w:r w:rsidRPr="00DD136E">
        <w:rPr>
          <w:rFonts w:cs="Times New Roman"/>
          <w:vertAlign w:val="superscript"/>
        </w:rPr>
        <w:t>11</w:t>
      </w:r>
      <w:r>
        <w:fldChar w:fldCharType="end"/>
      </w:r>
      <w:r>
        <w:t>, therefore the colocalization is imperfect.</w:t>
      </w:r>
    </w:p>
    <w:p w14:paraId="2FFBD9FD" w14:textId="77777777" w:rsidR="00CC1606" w:rsidRDefault="00CC1606" w:rsidP="00CC1606">
      <w:pPr>
        <w:pStyle w:val="Text"/>
        <w:spacing w:line="360" w:lineRule="auto"/>
        <w:jc w:val="both"/>
      </w:pPr>
    </w:p>
    <w:p w14:paraId="6BE68989" w14:textId="77777777" w:rsidR="00CC1606" w:rsidRDefault="00CC1606" w:rsidP="00CC1606">
      <w:pPr>
        <w:pStyle w:val="Text"/>
        <w:spacing w:line="360" w:lineRule="auto"/>
        <w:jc w:val="center"/>
      </w:pPr>
      <w:r>
        <w:rPr>
          <w:noProof/>
        </w:rPr>
        <w:drawing>
          <wp:inline distT="0" distB="0" distL="0" distR="0" wp14:anchorId="4CD7D0EB" wp14:editId="0E769B12">
            <wp:extent cx="7560812" cy="3826934"/>
            <wp:effectExtent l="0" t="0" r="0" b="0"/>
            <wp:docPr id="1073741830" name="officeArt object"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0" name="Picture 3" descr="Picture 3"/>
                    <pic:cNvPicPr>
                      <a:picLocks noChangeAspect="1"/>
                    </pic:cNvPicPr>
                  </pic:nvPicPr>
                  <pic:blipFill>
                    <a:blip r:embed="rId6"/>
                    <a:stretch>
                      <a:fillRect/>
                    </a:stretch>
                  </pic:blipFill>
                  <pic:spPr>
                    <a:xfrm>
                      <a:off x="0" y="0"/>
                      <a:ext cx="7585604" cy="3839482"/>
                    </a:xfrm>
                    <a:prstGeom prst="rect">
                      <a:avLst/>
                    </a:prstGeom>
                    <a:ln w="12700" cap="flat">
                      <a:noFill/>
                      <a:miter lim="400000"/>
                    </a:ln>
                    <a:effectLst/>
                  </pic:spPr>
                </pic:pic>
              </a:graphicData>
            </a:graphic>
          </wp:inline>
        </w:drawing>
      </w:r>
    </w:p>
    <w:p w14:paraId="063749AE" w14:textId="77777777" w:rsidR="00CC1606" w:rsidRDefault="00CC1606" w:rsidP="00CC1606">
      <w:pPr>
        <w:pStyle w:val="Text"/>
        <w:spacing w:line="360" w:lineRule="auto"/>
        <w:jc w:val="both"/>
      </w:pPr>
    </w:p>
    <w:p w14:paraId="121243E6" w14:textId="77777777" w:rsidR="00CC1606" w:rsidRDefault="00CC1606" w:rsidP="00CC1606">
      <w:pPr>
        <w:pStyle w:val="Text"/>
        <w:spacing w:line="360" w:lineRule="auto"/>
        <w:jc w:val="both"/>
        <w:rPr>
          <w:b/>
          <w:bCs/>
        </w:rPr>
      </w:pPr>
      <w:r>
        <w:rPr>
          <w:b/>
          <w:bCs/>
        </w:rPr>
        <w:t xml:space="preserve">Extended Data Figure 3. Linkage disequilibrium of the lead SNP with </w:t>
      </w:r>
      <w:r>
        <w:rPr>
          <w:b/>
          <w:bCs/>
          <w:i/>
          <w:iCs/>
          <w:lang w:val="de-DE"/>
        </w:rPr>
        <w:t>HLA-DRB1</w:t>
      </w:r>
      <w:r>
        <w:rPr>
          <w:b/>
          <w:bCs/>
        </w:rPr>
        <w:t xml:space="preserve"> amino acids and </w:t>
      </w:r>
      <w:r>
        <w:rPr>
          <w:b/>
          <w:bCs/>
          <w:i/>
          <w:iCs/>
          <w:lang w:val="de-DE"/>
        </w:rPr>
        <w:t>HLA-DRB1</w:t>
      </w:r>
      <w:r>
        <w:rPr>
          <w:b/>
          <w:bCs/>
        </w:rPr>
        <w:t>*04 allele subtypes.</w:t>
      </w:r>
    </w:p>
    <w:p w14:paraId="61C37E0F" w14:textId="77777777" w:rsidR="00CC1606" w:rsidRDefault="00CC1606" w:rsidP="00CC1606">
      <w:pPr>
        <w:pStyle w:val="Text"/>
      </w:pPr>
      <w:r>
        <w:rPr>
          <w:rFonts w:ascii="Arial Unicode MS" w:hAnsi="Arial Unicode MS"/>
        </w:rPr>
        <w:br w:type="page"/>
      </w:r>
    </w:p>
    <w:p w14:paraId="23C7E56F" w14:textId="77777777" w:rsidR="00CC1606" w:rsidRDefault="00CC1606" w:rsidP="00CC1606">
      <w:pPr>
        <w:pStyle w:val="Text"/>
        <w:jc w:val="center"/>
      </w:pPr>
      <w:r>
        <w:rPr>
          <w:noProof/>
        </w:rPr>
        <w:lastRenderedPageBreak/>
        <w:drawing>
          <wp:inline distT="0" distB="0" distL="0" distR="0" wp14:anchorId="7727B0E4" wp14:editId="48BA133D">
            <wp:extent cx="7484533" cy="4813130"/>
            <wp:effectExtent l="0" t="0" r="0" b="635"/>
            <wp:docPr id="1073741831" name="officeArt object"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1" name="A picture containing scatter chartDescription automatically generated" descr="A picture containing scatter chartDescription automatically generated"/>
                    <pic:cNvPicPr>
                      <a:picLocks noChangeAspect="1"/>
                    </pic:cNvPicPr>
                  </pic:nvPicPr>
                  <pic:blipFill>
                    <a:blip r:embed="rId7"/>
                    <a:stretch>
                      <a:fillRect/>
                    </a:stretch>
                  </pic:blipFill>
                  <pic:spPr>
                    <a:xfrm>
                      <a:off x="0" y="0"/>
                      <a:ext cx="7502722" cy="4824827"/>
                    </a:xfrm>
                    <a:prstGeom prst="rect">
                      <a:avLst/>
                    </a:prstGeom>
                    <a:ln w="12700" cap="flat">
                      <a:noFill/>
                      <a:miter lim="400000"/>
                    </a:ln>
                    <a:effectLst/>
                  </pic:spPr>
                </pic:pic>
              </a:graphicData>
            </a:graphic>
          </wp:inline>
        </w:drawing>
      </w:r>
    </w:p>
    <w:p w14:paraId="46B9A0F3" w14:textId="77777777" w:rsidR="00CC1606" w:rsidRDefault="00CC1606" w:rsidP="00CC1606">
      <w:pPr>
        <w:pStyle w:val="Text"/>
        <w:spacing w:line="276" w:lineRule="auto"/>
        <w:jc w:val="both"/>
      </w:pPr>
      <w:r>
        <w:rPr>
          <w:b/>
          <w:bCs/>
        </w:rPr>
        <w:t xml:space="preserve">Extended Data Figure 4. </w:t>
      </w:r>
      <w:r w:rsidRPr="00582F05">
        <w:rPr>
          <w:b/>
          <w:bCs/>
          <w:i/>
          <w:iCs/>
        </w:rPr>
        <w:t>HLA-DRB1</w:t>
      </w:r>
      <w:r>
        <w:rPr>
          <w:b/>
          <w:bCs/>
        </w:rPr>
        <w:t>*04 subtypes do not show increased to α-synuclein common PTMs</w:t>
      </w:r>
      <w:r>
        <w:rPr>
          <w:rStyle w:val="PageNumber"/>
        </w:rPr>
        <w:t xml:space="preserve">. Note that HLA-DRB1*04:04 and HLA-DRB1*04:01 strongly bind to the reference in the region 121-135 but their binding efficiency decreases in the presence of PTMs pY125 and/or pS129. Because PTMs </w:t>
      </w:r>
      <w:r w:rsidRPr="00582F05">
        <w:rPr>
          <w:rStyle w:val="PageNumber"/>
          <w:i/>
          <w:iCs/>
        </w:rPr>
        <w:t>reduce</w:t>
      </w:r>
      <w:r>
        <w:rPr>
          <w:rStyle w:val="PageNumber"/>
        </w:rPr>
        <w:t xml:space="preserve"> central tolerance, this is unlikely to facilitate immune responses. See methods for details.</w:t>
      </w:r>
    </w:p>
    <w:p w14:paraId="5A606B02" w14:textId="77777777" w:rsidR="00CC1606" w:rsidRDefault="00CC1606" w:rsidP="00CC1606">
      <w:pPr>
        <w:pStyle w:val="Text"/>
      </w:pPr>
      <w:r>
        <w:rPr>
          <w:rStyle w:val="PageNumber"/>
          <w:rFonts w:ascii="Arial Unicode MS" w:hAnsi="Arial Unicode MS"/>
        </w:rPr>
        <w:br w:type="page"/>
      </w:r>
    </w:p>
    <w:p w14:paraId="3FF618AC" w14:textId="77777777" w:rsidR="00CC1606" w:rsidRDefault="00CC1606" w:rsidP="00CC1606">
      <w:pPr>
        <w:pStyle w:val="Text"/>
        <w:spacing w:line="276" w:lineRule="auto"/>
        <w:jc w:val="both"/>
        <w:rPr>
          <w:b/>
          <w:bCs/>
        </w:rPr>
      </w:pPr>
    </w:p>
    <w:p w14:paraId="5F1D5C5E" w14:textId="77777777" w:rsidR="00CC1606" w:rsidRDefault="00CC1606" w:rsidP="00CC1606">
      <w:pPr>
        <w:pStyle w:val="Text"/>
        <w:widowControl w:val="0"/>
        <w:spacing w:line="276" w:lineRule="auto"/>
        <w:jc w:val="both"/>
        <w:rPr>
          <w:rStyle w:val="PageNumber"/>
        </w:rPr>
      </w:pPr>
    </w:p>
    <w:p w14:paraId="046D72D8" w14:textId="77777777" w:rsidR="00CC1606" w:rsidRDefault="00CC1606" w:rsidP="00CC1606">
      <w:pPr>
        <w:pStyle w:val="Text"/>
        <w:spacing w:line="360" w:lineRule="auto"/>
        <w:jc w:val="center"/>
      </w:pPr>
      <w:r>
        <w:rPr>
          <w:noProof/>
        </w:rPr>
        <w:drawing>
          <wp:inline distT="0" distB="0" distL="0" distR="0" wp14:anchorId="2580E11B" wp14:editId="5C488965">
            <wp:extent cx="5943473" cy="3021669"/>
            <wp:effectExtent l="0" t="0" r="0" b="0"/>
            <wp:docPr id="1073741832" name="officeArt object"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32" name="A picture containing graphical user interfaceDescription automatically generated" descr="A picture containing graphical user interfaceDescription automatically generated"/>
                    <pic:cNvPicPr>
                      <a:picLocks noChangeAspect="1"/>
                    </pic:cNvPicPr>
                  </pic:nvPicPr>
                  <pic:blipFill>
                    <a:blip r:embed="rId8"/>
                    <a:srcRect l="18349" t="22675" r="17270" b="31000"/>
                    <a:stretch>
                      <a:fillRect/>
                    </a:stretch>
                  </pic:blipFill>
                  <pic:spPr>
                    <a:xfrm>
                      <a:off x="0" y="0"/>
                      <a:ext cx="5943473" cy="3021669"/>
                    </a:xfrm>
                    <a:prstGeom prst="rect">
                      <a:avLst/>
                    </a:prstGeom>
                    <a:ln w="12700" cap="flat">
                      <a:noFill/>
                      <a:miter lim="400000"/>
                    </a:ln>
                    <a:effectLst/>
                  </pic:spPr>
                </pic:pic>
              </a:graphicData>
            </a:graphic>
          </wp:inline>
        </w:drawing>
      </w:r>
    </w:p>
    <w:p w14:paraId="75DB8322" w14:textId="77777777" w:rsidR="00CC1606" w:rsidRDefault="00CC1606" w:rsidP="00CC1606">
      <w:pPr>
        <w:pStyle w:val="Text"/>
        <w:spacing w:line="360" w:lineRule="auto"/>
        <w:jc w:val="both"/>
      </w:pPr>
    </w:p>
    <w:p w14:paraId="0142B82D" w14:textId="77777777" w:rsidR="00CC1606" w:rsidRDefault="00CC1606" w:rsidP="00CC1606">
      <w:pPr>
        <w:pStyle w:val="Text"/>
        <w:spacing w:line="360" w:lineRule="auto"/>
        <w:jc w:val="both"/>
        <w:sectPr w:rsidR="00CC1606" w:rsidSect="009E4F4C">
          <w:headerReference w:type="default" r:id="rId9"/>
          <w:pgSz w:w="15840" w:h="12240" w:orient="landscape"/>
          <w:pgMar w:top="1440" w:right="1800" w:bottom="1440" w:left="1800" w:header="0" w:footer="720" w:gutter="0"/>
          <w:cols w:space="720"/>
          <w:docGrid w:linePitch="326"/>
        </w:sectPr>
      </w:pPr>
      <w:r>
        <w:rPr>
          <w:b/>
          <w:bCs/>
        </w:rPr>
        <w:t xml:space="preserve">Extended Data Figure 5. HLA-DRB1*04 binding motifs and PHF6 sensitivity. </w:t>
      </w:r>
      <w:r>
        <w:t xml:space="preserve">Residues of PHF6 in their unacetylated or PHF6-K311-acetylated forms are shown and their association with the binding motifs of </w:t>
      </w:r>
      <w:r>
        <w:rPr>
          <w:b/>
          <w:bCs/>
        </w:rPr>
        <w:t>(a)</w:t>
      </w:r>
      <w:r>
        <w:t xml:space="preserve"> </w:t>
      </w:r>
      <w:r>
        <w:rPr>
          <w:i/>
          <w:iCs/>
          <w:lang w:val="de-DE"/>
        </w:rPr>
        <w:t>HLA-DRB1</w:t>
      </w:r>
      <w:r>
        <w:t xml:space="preserve">*04:04, </w:t>
      </w:r>
      <w:r>
        <w:rPr>
          <w:b/>
          <w:bCs/>
        </w:rPr>
        <w:t>(b)</w:t>
      </w:r>
      <w:r>
        <w:t xml:space="preserve"> </w:t>
      </w:r>
      <w:r>
        <w:rPr>
          <w:i/>
          <w:iCs/>
          <w:lang w:val="de-DE"/>
        </w:rPr>
        <w:t>HLA-DRB1</w:t>
      </w:r>
      <w:r>
        <w:t xml:space="preserve">*04:01 and </w:t>
      </w:r>
      <w:r>
        <w:rPr>
          <w:b/>
          <w:bCs/>
          <w:lang w:val="it-IT"/>
        </w:rPr>
        <w:t>(c)</w:t>
      </w:r>
      <w:r>
        <w:t xml:space="preserve"> </w:t>
      </w:r>
      <w:r>
        <w:rPr>
          <w:i/>
          <w:iCs/>
          <w:lang w:val="de-DE"/>
        </w:rPr>
        <w:t>HLA-DRB1</w:t>
      </w:r>
      <w:r>
        <w:t>*04:05. Motifs are adapted from Scally et al., 2013</w:t>
      </w:r>
      <w:r>
        <w:rPr>
          <w:vertAlign w:val="superscript"/>
        </w:rPr>
        <w:t>42</w:t>
      </w:r>
      <w:r>
        <w:t xml:space="preserve"> (</w:t>
      </w:r>
      <w:r>
        <w:rPr>
          <w:i/>
          <w:iCs/>
          <w:lang w:val="de-DE"/>
        </w:rPr>
        <w:t>HLA-DRB1</w:t>
      </w:r>
      <w:r>
        <w:t xml:space="preserve">*04:01 and </w:t>
      </w:r>
      <w:r>
        <w:rPr>
          <w:i/>
          <w:iCs/>
          <w:lang w:val="de-DE"/>
        </w:rPr>
        <w:t>HLA-DRB1</w:t>
      </w:r>
      <w:r>
        <w:t>*04:04) and Ting et al., 2018</w:t>
      </w:r>
      <w:r>
        <w:rPr>
          <w:vertAlign w:val="superscript"/>
        </w:rPr>
        <w:t>43</w:t>
      </w:r>
      <w:r>
        <w:t xml:space="preserve"> (</w:t>
      </w:r>
      <w:r>
        <w:rPr>
          <w:i/>
          <w:iCs/>
          <w:lang w:val="de-DE"/>
        </w:rPr>
        <w:t>HLA-DRB1</w:t>
      </w:r>
      <w:r>
        <w:t>*04:05)</w:t>
      </w:r>
    </w:p>
    <w:p w14:paraId="77A03D88" w14:textId="77777777" w:rsidR="00CC1606" w:rsidRDefault="00CC1606" w:rsidP="00CC1606">
      <w:pPr>
        <w:pStyle w:val="Text"/>
        <w:spacing w:line="360" w:lineRule="auto"/>
        <w:jc w:val="both"/>
      </w:pPr>
    </w:p>
    <w:p w14:paraId="59658A89" w14:textId="77777777" w:rsidR="00CC1606" w:rsidRDefault="00CC1606" w:rsidP="00CC1606">
      <w:pPr>
        <w:pStyle w:val="Text"/>
        <w:jc w:val="center"/>
        <w:rPr>
          <w:b/>
          <w:bCs/>
        </w:rPr>
      </w:pPr>
      <w:r>
        <w:rPr>
          <w:b/>
          <w:bCs/>
          <w:noProof/>
        </w:rPr>
        <w:drawing>
          <wp:inline distT="0" distB="0" distL="0" distR="0" wp14:anchorId="65CBD78F" wp14:editId="58196A0E">
            <wp:extent cx="5341759" cy="5077838"/>
            <wp:effectExtent l="0" t="0" r="5080" b="2540"/>
            <wp:docPr id="1073741833" name="officeArt object"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33" name="Chart, waterfall chartDescription automatically generated" descr="Chart, waterfall chartDescription automatically generated"/>
                    <pic:cNvPicPr>
                      <a:picLocks noChangeAspect="1"/>
                    </pic:cNvPicPr>
                  </pic:nvPicPr>
                  <pic:blipFill>
                    <a:blip r:embed="rId10"/>
                    <a:srcRect t="2268" b="26357"/>
                    <a:stretch>
                      <a:fillRect/>
                    </a:stretch>
                  </pic:blipFill>
                  <pic:spPr>
                    <a:xfrm>
                      <a:off x="0" y="0"/>
                      <a:ext cx="5342480" cy="5078523"/>
                    </a:xfrm>
                    <a:prstGeom prst="rect">
                      <a:avLst/>
                    </a:prstGeom>
                    <a:ln w="12700" cap="flat">
                      <a:noFill/>
                      <a:miter lim="400000"/>
                    </a:ln>
                    <a:effectLst/>
                  </pic:spPr>
                </pic:pic>
              </a:graphicData>
            </a:graphic>
          </wp:inline>
        </w:drawing>
      </w:r>
    </w:p>
    <w:p w14:paraId="27808004" w14:textId="77777777" w:rsidR="00CC1606" w:rsidRPr="00FC3DAC" w:rsidRDefault="00CC1606" w:rsidP="00CC1606">
      <w:pPr>
        <w:jc w:val="both"/>
      </w:pPr>
      <w:r>
        <w:rPr>
          <w:b/>
          <w:bCs/>
          <w:color w:val="000000"/>
          <w:u w:color="000000"/>
        </w:rPr>
        <w:t xml:space="preserve">Extended Data Figure 6. HLA binding predictions for PHF6. </w:t>
      </w:r>
      <w:r>
        <w:rPr>
          <w:color w:val="000000"/>
          <w:u w:color="000000"/>
        </w:rPr>
        <w:t>Predictions were made using NetMHCIIPan 4.0</w:t>
      </w:r>
      <w:r>
        <w:rPr>
          <w:color w:val="000000"/>
          <w:u w:color="000000"/>
          <w:vertAlign w:val="superscript"/>
          <w:lang w:val="ru-RU"/>
        </w:rPr>
        <w:t>74</w:t>
      </w:r>
      <w:r>
        <w:rPr>
          <w:color w:val="000000"/>
          <w:u w:color="000000"/>
        </w:rPr>
        <w:t xml:space="preserve"> (left) using Mixed MHC pred 2 Server</w:t>
      </w:r>
      <w:r>
        <w:rPr>
          <w:color w:val="000000"/>
          <w:u w:color="000000"/>
          <w:vertAlign w:val="superscript"/>
        </w:rPr>
        <w:t>75</w:t>
      </w:r>
      <w:r>
        <w:rPr>
          <w:color w:val="000000"/>
          <w:u w:color="000000"/>
        </w:rPr>
        <w:t xml:space="preserve"> (right). Cmap indicates a percentile rank generated by comparing the peptide's score against the scores of five million random 15 mers selected from SWISSPROT database (best score = 0%; worst score = 100%). 15mer </w:t>
      </w:r>
      <w:r>
        <w:rPr>
          <w:color w:val="000000"/>
          <w:u w:color="000000"/>
        </w:rPr>
        <w:lastRenderedPageBreak/>
        <w:t>sequences incorporating 15mer sequences incorporating PHF6 in its unacetylated (bottom) or K311 mimic acetylated (top) form. Annotations within heat map show the position of the lysines of interest (K311 for PHF6, see highlighted sequences) within the 9mer core that is predicted to bind to the HLA molecule. 9mer cores excluding the lysine of interest were not predicted for binding and left blank.</w:t>
      </w:r>
      <w:r>
        <w:t xml:space="preserve"> </w:t>
      </w:r>
      <w:r w:rsidRPr="00582F05">
        <w:rPr>
          <w:color w:val="000000"/>
          <w:u w:color="000000"/>
        </w:rPr>
        <w:t xml:space="preserve">Note prediction of PHF6 binding to </w:t>
      </w:r>
      <w:r w:rsidRPr="0078452E">
        <w:rPr>
          <w:i/>
          <w:iCs/>
          <w:color w:val="000000"/>
          <w:u w:color="000000"/>
        </w:rPr>
        <w:t>HLA-DRB1</w:t>
      </w:r>
      <w:r w:rsidRPr="00582F05">
        <w:rPr>
          <w:color w:val="000000"/>
          <w:u w:color="000000"/>
        </w:rPr>
        <w:t xml:space="preserve">*04 subtypes associated with neurodegeneration, confirmed by our in vitro experiments and the absence of binding to predicted to other common HLA DR and DQ subtypes. One exception is prediction of binding of the PHF6 sequence to </w:t>
      </w:r>
      <w:r w:rsidRPr="00582F05">
        <w:rPr>
          <w:i/>
          <w:iCs/>
          <w:color w:val="000000"/>
          <w:u w:color="000000"/>
        </w:rPr>
        <w:t>HLA-DRB4</w:t>
      </w:r>
      <w:r w:rsidRPr="00582F05">
        <w:rPr>
          <w:color w:val="000000"/>
          <w:u w:color="000000"/>
        </w:rPr>
        <w:t>*01 alleles for both acetylated and non-acetylated PHF6 sequences.</w:t>
      </w:r>
      <w:r w:rsidRPr="00582F05">
        <w:rPr>
          <w:rFonts w:hint="eastAsia"/>
          <w:color w:val="000000"/>
          <w:u w:color="000000"/>
        </w:rPr>
        <w:t>  </w:t>
      </w:r>
      <w:r w:rsidRPr="00582F05">
        <w:rPr>
          <w:color w:val="000000"/>
          <w:u w:color="000000"/>
        </w:rPr>
        <w:t xml:space="preserve">Accessory </w:t>
      </w:r>
      <w:r w:rsidRPr="00582F05">
        <w:rPr>
          <w:i/>
          <w:iCs/>
          <w:color w:val="000000"/>
          <w:u w:color="000000"/>
        </w:rPr>
        <w:t>HLA-DRB4</w:t>
      </w:r>
      <w:r w:rsidRPr="00582F05">
        <w:rPr>
          <w:color w:val="000000"/>
          <w:u w:color="000000"/>
        </w:rPr>
        <w:t xml:space="preserve"> genes are more weakly expressed than </w:t>
      </w:r>
      <w:r w:rsidRPr="00582F05">
        <w:rPr>
          <w:i/>
          <w:iCs/>
          <w:color w:val="000000"/>
          <w:u w:color="000000"/>
        </w:rPr>
        <w:t>HLA-DRB1</w:t>
      </w:r>
      <w:r w:rsidRPr="00582F05">
        <w:rPr>
          <w:color w:val="000000"/>
          <w:u w:color="000000"/>
        </w:rPr>
        <w:t xml:space="preserve">. These genes are present not only on </w:t>
      </w:r>
      <w:r w:rsidRPr="00582F05">
        <w:rPr>
          <w:i/>
          <w:iCs/>
          <w:color w:val="000000"/>
          <w:u w:color="000000"/>
        </w:rPr>
        <w:t>HLA-DRB1</w:t>
      </w:r>
      <w:r w:rsidRPr="00582F05">
        <w:rPr>
          <w:color w:val="000000"/>
          <w:u w:color="000000"/>
        </w:rPr>
        <w:t xml:space="preserve">*04 haplotypes, but also on most </w:t>
      </w:r>
      <w:r w:rsidRPr="0078452E">
        <w:rPr>
          <w:i/>
          <w:iCs/>
          <w:color w:val="000000"/>
          <w:u w:color="000000"/>
        </w:rPr>
        <w:t>HLA-DRB1</w:t>
      </w:r>
      <w:r w:rsidRPr="00582F05">
        <w:rPr>
          <w:color w:val="000000"/>
          <w:u w:color="000000"/>
        </w:rPr>
        <w:t xml:space="preserve">*07:01 and </w:t>
      </w:r>
      <w:r w:rsidRPr="0078452E">
        <w:rPr>
          <w:i/>
          <w:iCs/>
          <w:color w:val="000000"/>
          <w:u w:color="000000"/>
        </w:rPr>
        <w:t>HLA-DRB1</w:t>
      </w:r>
      <w:r w:rsidRPr="00582F05">
        <w:rPr>
          <w:color w:val="000000"/>
          <w:u w:color="000000"/>
        </w:rPr>
        <w:t>*09:01 haplotypes.</w:t>
      </w:r>
      <w:r w:rsidRPr="00582F05">
        <w:rPr>
          <w:rFonts w:hint="eastAsia"/>
          <w:color w:val="000000"/>
          <w:u w:color="000000"/>
        </w:rPr>
        <w:t>  </w:t>
      </w:r>
      <w:r w:rsidRPr="00582F05">
        <w:rPr>
          <w:color w:val="000000"/>
          <w:u w:color="000000"/>
        </w:rPr>
        <w:t xml:space="preserve">As </w:t>
      </w:r>
      <w:r w:rsidRPr="0078452E">
        <w:rPr>
          <w:i/>
          <w:iCs/>
          <w:color w:val="000000"/>
          <w:u w:color="000000"/>
        </w:rPr>
        <w:t>HLA-DRB1</w:t>
      </w:r>
      <w:r w:rsidRPr="00582F05">
        <w:rPr>
          <w:color w:val="000000"/>
          <w:u w:color="000000"/>
        </w:rPr>
        <w:t xml:space="preserve">*07:01 and </w:t>
      </w:r>
      <w:r w:rsidRPr="00582F05">
        <w:rPr>
          <w:i/>
          <w:iCs/>
          <w:color w:val="000000"/>
          <w:u w:color="000000"/>
        </w:rPr>
        <w:t>HLA-DRB1</w:t>
      </w:r>
      <w:r w:rsidRPr="00582F05">
        <w:rPr>
          <w:color w:val="000000"/>
          <w:u w:color="000000"/>
        </w:rPr>
        <w:t>*09:01 haplotypes are not associated with AD or PD (</w:t>
      </w:r>
      <w:r w:rsidRPr="00582F05">
        <w:rPr>
          <w:b/>
          <w:bCs/>
          <w:color w:val="000000"/>
          <w:u w:color="000000"/>
        </w:rPr>
        <w:t>Supplementary Table 7</w:t>
      </w:r>
      <w:r w:rsidRPr="00582F05">
        <w:rPr>
          <w:color w:val="000000"/>
          <w:u w:color="000000"/>
        </w:rPr>
        <w:t xml:space="preserve">), </w:t>
      </w:r>
      <w:r w:rsidRPr="0078452E">
        <w:rPr>
          <w:i/>
          <w:iCs/>
          <w:color w:val="000000"/>
          <w:u w:color="000000"/>
        </w:rPr>
        <w:t>HLA-DRB4</w:t>
      </w:r>
      <w:r w:rsidRPr="00582F05">
        <w:rPr>
          <w:color w:val="000000"/>
          <w:u w:color="000000"/>
        </w:rPr>
        <w:t>*01 is unlikely to be involved in disease predisposition, maybe because of low expression and binding to both acetylated and non-acetylated sequences resulting in central tolerance. The significance of this prediction, not verified through in vitro analysis is unknown</w:t>
      </w:r>
      <w:r>
        <w:rPr>
          <w:color w:val="000000"/>
          <w:u w:color="000000"/>
        </w:rPr>
        <w:t>.</w:t>
      </w:r>
    </w:p>
    <w:p w14:paraId="7C043B63" w14:textId="77777777" w:rsidR="00386883" w:rsidRDefault="00CC1606"/>
    <w:sectPr w:rsidR="00386883" w:rsidSect="0078452E">
      <w:pgSz w:w="15840" w:h="12240" w:orient="landscape"/>
      <w:pgMar w:top="1440" w:right="1800" w:bottom="1440" w:left="1800" w:header="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68482" w14:textId="77777777" w:rsidR="008C4CCA" w:rsidRDefault="00CC1606">
    <w:pPr>
      <w:pStyle w:val="Kopf-undFuzeilen"/>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606"/>
    <w:rsid w:val="003107CE"/>
    <w:rsid w:val="00316534"/>
    <w:rsid w:val="00373D83"/>
    <w:rsid w:val="005C224D"/>
    <w:rsid w:val="00622525"/>
    <w:rsid w:val="006B2C4D"/>
    <w:rsid w:val="00786892"/>
    <w:rsid w:val="007A60A6"/>
    <w:rsid w:val="00A0389B"/>
    <w:rsid w:val="00B1250C"/>
    <w:rsid w:val="00CC1606"/>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3CEAE"/>
  <w15:chartTrackingRefBased/>
  <w15:docId w15:val="{8DD6CCFA-4B29-4DDA-BCE3-60A7704AD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60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opf-undFuzeilen">
    <w:name w:val="Kopf- und Fußzeilen"/>
    <w:rsid w:val="00CC1606"/>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14:textOutline w14:w="0" w14:cap="flat" w14:cmpd="sng" w14:algn="ctr">
        <w14:noFill/>
        <w14:prstDash w14:val="solid"/>
        <w14:bevel/>
      </w14:textOutline>
    </w:rPr>
  </w:style>
  <w:style w:type="character" w:styleId="PageNumber">
    <w:name w:val="page number"/>
    <w:rsid w:val="00CC1606"/>
  </w:style>
  <w:style w:type="paragraph" w:customStyle="1" w:styleId="Text">
    <w:name w:val="Text"/>
    <w:rsid w:val="00CC1606"/>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1985</Words>
  <Characters>11317</Characters>
  <Application>Microsoft Office Word</Application>
  <DocSecurity>0</DocSecurity>
  <Lines>94</Lines>
  <Paragraphs>26</Paragraphs>
  <ScaleCrop>false</ScaleCrop>
  <Company/>
  <LinksUpToDate>false</LinksUpToDate>
  <CharactersWithSpaces>13276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2022-05-09T15:41:00Z</dcterms:created>
  <dcterms:modified xsi:type="dcterms:W3CDTF">2022-05-09T15:41:00Z</dcterms:modified>
</cp:coreProperties>
</file>