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Times New Roman" w:hAnsi="Times New Roman" w:eastAsia="宋体" w:cs="Times New Roman"/>
          <w:b/>
          <w:bCs/>
          <w:caps/>
          <w:kern w:val="44"/>
          <w:sz w:val="28"/>
          <w:szCs w:val="24"/>
          <w:lang w:val="zh-CN"/>
        </w:rPr>
      </w:pPr>
      <w:r>
        <w:rPr>
          <w:rFonts w:ascii="Times New Roman" w:hAnsi="Times New Roman" w:eastAsia="宋体" w:cs="Times New Roman"/>
          <w:b/>
          <w:bCs/>
          <w:caps/>
          <w:kern w:val="44"/>
          <w:sz w:val="28"/>
          <w:szCs w:val="24"/>
          <w:lang w:val="zh-CN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caps/>
          <w:kern w:val="44"/>
          <w:sz w:val="28"/>
          <w:szCs w:val="24"/>
          <w:lang w:val="zh-CN"/>
        </w:rPr>
        <w:t>Figures</w:t>
      </w:r>
      <w:r>
        <w:rPr>
          <w:rFonts w:ascii="Times New Roman" w:hAnsi="Times New Roman" w:eastAsia="宋体" w:cs="Times New Roman"/>
          <w:b/>
          <w:bCs/>
          <w:caps/>
          <w:kern w:val="44"/>
          <w:sz w:val="28"/>
          <w:szCs w:val="24"/>
          <w:lang w:val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aps/>
          <w:kern w:val="44"/>
          <w:sz w:val="28"/>
          <w:szCs w:val="24"/>
          <w:lang w:val="zh-CN"/>
        </w:rPr>
        <w:t>and</w:t>
      </w:r>
      <w:r>
        <w:rPr>
          <w:rFonts w:ascii="Times New Roman" w:hAnsi="Times New Roman" w:eastAsia="宋体" w:cs="Times New Roman"/>
          <w:b/>
          <w:bCs/>
          <w:caps/>
          <w:kern w:val="44"/>
          <w:sz w:val="28"/>
          <w:szCs w:val="24"/>
          <w:lang w:val="zh-CN"/>
        </w:rPr>
        <w:t xml:space="preserve"> figure legend</w:t>
      </w:r>
      <w:r>
        <w:rPr>
          <w:rFonts w:hint="eastAsia" w:ascii="Times New Roman" w:hAnsi="Times New Roman" w:eastAsia="宋体" w:cs="Times New Roman"/>
          <w:b/>
          <w:bCs/>
          <w:caps/>
          <w:kern w:val="44"/>
          <w:sz w:val="28"/>
          <w:szCs w:val="24"/>
          <w:lang w:val="zh-CN"/>
        </w:rPr>
        <w:t>s</w:t>
      </w:r>
    </w:p>
    <w:p>
      <w:pPr>
        <w:spacing w:line="360" w:lineRule="auto"/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  <w:t xml:space="preserve">Irisin enhances chondrogenic differentiation of human mesenchymal stem cells via Rap1/PI3K/AKT </w:t>
      </w:r>
      <w:r>
        <w:rPr>
          <w:rFonts w:hint="eastAsia" w:ascii="Times New Roman" w:hAnsi="Times New Roman" w:cs="Times New Roman"/>
          <w:b/>
          <w:bCs w:val="0"/>
          <w:sz w:val="28"/>
          <w:szCs w:val="28"/>
          <w:lang w:val="en-US" w:eastAsia="zh-CN"/>
        </w:rPr>
        <w:t>axis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  <w:t>.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32"/>
          <w:highlight w:val="none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Fig.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1</w:t>
      </w: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b/>
          <w:sz w:val="24"/>
          <w:szCs w:val="24"/>
        </w:rPr>
      </w:pPr>
      <w:r>
        <w:drawing>
          <wp:inline distT="0" distB="0" distL="114300" distR="114300">
            <wp:extent cx="4693920" cy="1633220"/>
            <wp:effectExtent l="0" t="0" r="5080" b="508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hint="eastAsia"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Fig.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Macro-images of induced-cartilage tissues were taken on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Day-</w:t>
      </w:r>
      <w:r>
        <w:rPr>
          <w:rFonts w:hint="eastAsia" w:ascii="Times New Roman" w:hAnsi="Times New Roman" w:eastAsia="宋体" w:cs="Times New Roman"/>
          <w:sz w:val="24"/>
          <w:szCs w:val="24"/>
        </w:rPr>
        <w:t>7. (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 w:eastAsia="宋体" w:cs="Times New Roman"/>
          <w:sz w:val="24"/>
          <w:szCs w:val="24"/>
        </w:rPr>
        <w:t>agnification: ×15, scale bar: 2mm).</w:t>
      </w:r>
    </w:p>
    <w:p>
      <w:pPr>
        <w:spacing w:line="480" w:lineRule="auto"/>
        <w:jc w:val="left"/>
        <w:rPr>
          <w:rFonts w:hint="eastAsia" w:ascii="Times New Roman" w:hAnsi="Times New Roman" w:eastAsia="宋体" w:cs="Times New Roman"/>
          <w:b/>
          <w:sz w:val="24"/>
          <w:szCs w:val="24"/>
        </w:rPr>
      </w:pPr>
    </w:p>
    <w:p>
      <w:pPr>
        <w:spacing w:line="480" w:lineRule="auto"/>
        <w:jc w:val="left"/>
        <w:rPr>
          <w:rFonts w:hint="eastAsia"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Fig.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S2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32"/>
          <w:highlight w:val="none"/>
          <w:lang w:val="en-US" w:eastAsia="zh-CN"/>
        </w:rPr>
      </w:pPr>
      <w:r>
        <w:drawing>
          <wp:inline distT="0" distB="0" distL="114300" distR="114300">
            <wp:extent cx="5271770" cy="1708150"/>
            <wp:effectExtent l="0" t="0" r="1143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hint="eastAsia"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Fig.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Macro-images of induced-cartilage tissues were taken on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Day-</w:t>
      </w:r>
      <w:r>
        <w:rPr>
          <w:rFonts w:hint="eastAsia" w:ascii="Times New Roman" w:hAnsi="Times New Roman" w:eastAsia="宋体" w:cs="Times New Roman"/>
          <w:sz w:val="24"/>
          <w:szCs w:val="24"/>
        </w:rPr>
        <w:t>7. (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 w:eastAsia="宋体" w:cs="Times New Roman"/>
          <w:sz w:val="24"/>
          <w:szCs w:val="24"/>
        </w:rPr>
        <w:t>agnification: ×15, scale bar: 2mm).</w:t>
      </w:r>
    </w:p>
    <w:p>
      <w:pPr>
        <w:rPr>
          <w:rFonts w:hint="default" w:ascii="Times New Roman" w:hAnsi="Times New Roman" w:cs="Times New Roman"/>
          <w:sz w:val="24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val="en-US" w:eastAsia="zh-CN"/>
        </w:rPr>
        <w:br w:type="page"/>
      </w:r>
    </w:p>
    <w:p>
      <w:pPr>
        <w:spacing w:line="360" w:lineRule="auto"/>
        <w:rPr>
          <w:rFonts w:hint="default" w:ascii="Times New Roman" w:hAnsi="Times New Roman" w:eastAsia="仿宋" w:cs="Times New Roman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Table</w:t>
      </w:r>
      <w:r>
        <w:rPr>
          <w:rFonts w:hint="eastAsia" w:ascii="Times New Roman" w:hAnsi="Times New Roman" w:eastAsia="仿宋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S</w:t>
      </w:r>
      <w:bookmarkStart w:id="0" w:name="_GoBack"/>
      <w:bookmarkEnd w:id="0"/>
      <w:r>
        <w:rPr>
          <w:rFonts w:hint="eastAsia" w:ascii="Times New Roman" w:hAnsi="Times New Roman" w:eastAsia="仿宋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. Primers’</w:t>
      </w:r>
      <w:r>
        <w:rPr>
          <w:rFonts w:hint="eastAsia" w:ascii="Times New Roman" w:hAnsi="Times New Roman" w:eastAsia="仿宋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sequences for </w:t>
      </w:r>
      <w:r>
        <w:rPr>
          <w:rFonts w:hint="eastAsia" w:ascii="Times New Roman" w:hAnsi="Times New Roman" w:eastAsia="仿宋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real time 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PCR.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vertAlign w:val="baseline"/>
                <w:lang w:val="en-US" w:eastAsia="zh-CN"/>
              </w:rPr>
              <w:t xml:space="preserve">Gene 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primer names</w:t>
            </w:r>
          </w:p>
        </w:tc>
        <w:tc>
          <w:tcPr>
            <w:tcW w:w="56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TimesNewRomanPSMT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Primer sequence(5’-3’)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2840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GAPDH-F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GAPDH-R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OL2A1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-F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OL2A1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-R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ACAN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-F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ACAN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-R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SOX9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-F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SOX9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-R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Rap1A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-F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RAP1A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-R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RAP1B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-F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RAP1B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-R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RAP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GAP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-F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RAP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GAP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-R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RASGRP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2-F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RASGRP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2-R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SIPA1L2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-F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SIPA1L2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-R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miR-26b-F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miR-26b-R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miR-27b-3p-F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miR-27b-3p-R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miR-27b-5p-F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miR-27b-5p-R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miR-10b-F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miR-10b-R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miR-125b-5p-F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miR-125b-5p-R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miR-132-F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miR-132-R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miR-23a-3p-F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miR-23a-3p-R</w:t>
            </w:r>
          </w:p>
        </w:tc>
        <w:tc>
          <w:tcPr>
            <w:tcW w:w="56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AGAAAAACCTGCCAAATATGATGAC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TGGGTGTCGCTGTTGAAGTC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GGCAATAGCAGGTTCACGTACA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GAACATCGACCAACTCTACTCCG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ACTCTGGGTTTTCGTGACTCT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ACACTCAGCGAGTTGTCATGG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AGCGAACGCACATCAAGAC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GCTGTAGTGTGGGAGGTTGAA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CGTGAGTACAAGCTAGTGGTCC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CCAGGATTTCGAGCATACACTG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AGCAAGACAATGGAACAACTGT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TGCCGCACTAGGTCATAAAAG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GAGGAGGACTACATTCCATACCC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GCTGGTGATTTCGTGGTTGG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ACAATCCCGGAAGGACAACTC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GTCTATGTCGATTAGGCTGCTG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GACCCAAGGCAGTCACAAGAA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TAGGAGGCCATTCAGACACCC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CCGGGACCCAGTTCAAGTAA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CCCCGAGCCAAGTAATGGAG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GCTCTAGATTGCCAGGGATTACCACGCAA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CGGGATCCCTAGCATTCCCAGCAGGAGACAG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GACCTAGCACCATTTGAAATCA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GTCCAGGTTTTTTTTTTTTTTTTA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TACCCTGTAGAACCGAATTTGT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GTGCAGGGTCCGAGGT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GGGTCCCTGAGACCCTAAC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CAGTGCGTGTCGTGGAGT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TGGATCCCCCCCAGTCCCCGTCCCTCAG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TGAATTCGGATACCTTGGCCGGGAGGAC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GCGATCACATTGCCAGGG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</w:rPr>
              <w:t>AGTGCAGGGTCCGAGGTATT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C1A48"/>
    <w:rsid w:val="066252E3"/>
    <w:rsid w:val="0D4A77FF"/>
    <w:rsid w:val="328E5A8F"/>
    <w:rsid w:val="33CC1A48"/>
    <w:rsid w:val="377126E4"/>
    <w:rsid w:val="3DCE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2021-11-20T10:26:00Z</dcterms:created>
  <dc:creator>陈太秋</dc:creator>
  <cp:lastModifiedBy>陈太秋</cp:lastModifiedBy>
  <dcterms:modified xsi:type="dcterms:W3CDTF">2021-12-26T14:37:19Z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