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152DD" w14:textId="0CA8BA0C" w:rsidR="00D10902" w:rsidRPr="009B3512" w:rsidRDefault="004A2DC1">
      <w:pPr>
        <w:rPr>
          <w:rFonts w:ascii="Arial" w:hAnsi="Arial" w:cs="Arial"/>
          <w:b/>
          <w:bCs/>
          <w:lang w:val="en-US"/>
        </w:rPr>
      </w:pPr>
      <w:r w:rsidRPr="009B3512">
        <w:rPr>
          <w:rFonts w:ascii="Arial" w:hAnsi="Arial" w:cs="Arial"/>
          <w:b/>
          <w:bCs/>
          <w:lang w:val="en-US"/>
        </w:rPr>
        <w:t>Additional</w:t>
      </w:r>
      <w:r w:rsidR="00E64E2F" w:rsidRPr="009B3512">
        <w:rPr>
          <w:rFonts w:ascii="Arial" w:hAnsi="Arial" w:cs="Arial"/>
          <w:b/>
          <w:bCs/>
          <w:lang w:val="en-US"/>
        </w:rPr>
        <w:t xml:space="preserve"> file 1. </w:t>
      </w:r>
    </w:p>
    <w:p w14:paraId="593FF5E7" w14:textId="05C978FC" w:rsidR="00E64E2F" w:rsidRPr="009B3512" w:rsidRDefault="00E64E2F">
      <w:pPr>
        <w:rPr>
          <w:rFonts w:ascii="Arial" w:hAnsi="Arial" w:cs="Arial"/>
          <w:b/>
          <w:bCs/>
          <w:lang w:val="en-US"/>
        </w:rPr>
      </w:pPr>
    </w:p>
    <w:p w14:paraId="700F4AF2" w14:textId="1FA21E0A" w:rsidR="00E64E2F" w:rsidRPr="009B3512" w:rsidRDefault="0058573D">
      <w:pPr>
        <w:rPr>
          <w:rFonts w:ascii="Arial" w:hAnsi="Arial" w:cs="Arial"/>
          <w:lang w:val="en-US"/>
        </w:rPr>
      </w:pPr>
      <w:r w:rsidRPr="009B3512">
        <w:rPr>
          <w:rFonts w:ascii="Arial" w:hAnsi="Arial" w:cs="Arial"/>
          <w:lang w:val="en-US"/>
        </w:rPr>
        <w:t xml:space="preserve">Table 1. Diagnostic codes </w:t>
      </w:r>
    </w:p>
    <w:p w14:paraId="2967233A" w14:textId="74BF2762" w:rsidR="0058573D" w:rsidRPr="009B3512" w:rsidRDefault="0058573D">
      <w:pPr>
        <w:rPr>
          <w:rFonts w:ascii="Arial" w:hAnsi="Arial" w:cs="Arial"/>
          <w:b/>
          <w:bCs/>
          <w:lang w:val="en-US"/>
        </w:rPr>
      </w:pPr>
    </w:p>
    <w:tbl>
      <w:tblPr>
        <w:tblW w:w="889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86"/>
        <w:gridCol w:w="5211"/>
      </w:tblGrid>
      <w:tr w:rsidR="0058573D" w:rsidRPr="009B3512" w14:paraId="752AAF5A" w14:textId="77777777" w:rsidTr="0058573D">
        <w:tc>
          <w:tcPr>
            <w:tcW w:w="3686" w:type="dxa"/>
            <w:shd w:val="clear" w:color="auto" w:fill="auto"/>
            <w:tcMar>
              <w:top w:w="100" w:type="dxa"/>
              <w:left w:w="100" w:type="dxa"/>
              <w:bottom w:w="100" w:type="dxa"/>
              <w:right w:w="100" w:type="dxa"/>
            </w:tcMar>
          </w:tcPr>
          <w:p w14:paraId="697CDBFE" w14:textId="338ECF46" w:rsidR="0058573D" w:rsidRPr="009B3512" w:rsidRDefault="0058573D" w:rsidP="0058573D">
            <w:pPr>
              <w:pBdr>
                <w:top w:val="nil"/>
                <w:left w:val="nil"/>
                <w:bottom w:val="nil"/>
                <w:right w:val="nil"/>
                <w:between w:val="nil"/>
              </w:pBdr>
              <w:jc w:val="center"/>
              <w:rPr>
                <w:rFonts w:ascii="Arial" w:hAnsi="Arial" w:cs="Arial"/>
                <w:b/>
                <w:bCs/>
                <w:lang w:val="en-US"/>
              </w:rPr>
            </w:pPr>
            <w:r w:rsidRPr="009B3512">
              <w:rPr>
                <w:rFonts w:ascii="Arial" w:hAnsi="Arial" w:cs="Arial"/>
                <w:b/>
                <w:bCs/>
                <w:lang w:val="en-US"/>
              </w:rPr>
              <w:t>Category</w:t>
            </w:r>
          </w:p>
        </w:tc>
        <w:tc>
          <w:tcPr>
            <w:tcW w:w="5211" w:type="dxa"/>
            <w:shd w:val="clear" w:color="auto" w:fill="auto"/>
            <w:tcMar>
              <w:top w:w="100" w:type="dxa"/>
              <w:left w:w="100" w:type="dxa"/>
              <w:bottom w:w="100" w:type="dxa"/>
              <w:right w:w="100" w:type="dxa"/>
            </w:tcMar>
          </w:tcPr>
          <w:p w14:paraId="761094D5" w14:textId="2264444C" w:rsidR="0058573D" w:rsidRPr="009B3512" w:rsidRDefault="009B3512" w:rsidP="0058573D">
            <w:pPr>
              <w:pBdr>
                <w:top w:val="nil"/>
                <w:left w:val="nil"/>
                <w:bottom w:val="nil"/>
                <w:right w:val="nil"/>
                <w:between w:val="nil"/>
              </w:pBdr>
              <w:jc w:val="center"/>
              <w:rPr>
                <w:rFonts w:ascii="Arial" w:hAnsi="Arial" w:cs="Arial"/>
                <w:b/>
                <w:bCs/>
                <w:lang w:val="en-US"/>
              </w:rPr>
            </w:pPr>
            <w:r w:rsidRPr="009B3512">
              <w:rPr>
                <w:rFonts w:ascii="Arial" w:hAnsi="Arial" w:cs="Arial"/>
                <w:b/>
                <w:bCs/>
                <w:lang w:val="en-US"/>
              </w:rPr>
              <w:t>ICD 10 c</w:t>
            </w:r>
            <w:r w:rsidR="0058573D" w:rsidRPr="009B3512">
              <w:rPr>
                <w:rFonts w:ascii="Arial" w:hAnsi="Arial" w:cs="Arial"/>
                <w:b/>
                <w:bCs/>
                <w:lang w:val="en-US"/>
              </w:rPr>
              <w:t>odes</w:t>
            </w:r>
            <w:r w:rsidRPr="009B3512">
              <w:rPr>
                <w:rFonts w:ascii="Arial" w:hAnsi="Arial" w:cs="Arial"/>
                <w:b/>
                <w:bCs/>
                <w:lang w:val="en-US"/>
              </w:rPr>
              <w:t xml:space="preserve"> </w:t>
            </w:r>
          </w:p>
        </w:tc>
      </w:tr>
      <w:tr w:rsidR="0058573D" w:rsidRPr="009B3512" w14:paraId="231C00C7" w14:textId="77777777" w:rsidTr="0058573D">
        <w:tc>
          <w:tcPr>
            <w:tcW w:w="3686" w:type="dxa"/>
            <w:shd w:val="clear" w:color="auto" w:fill="auto"/>
            <w:tcMar>
              <w:top w:w="100" w:type="dxa"/>
              <w:left w:w="100" w:type="dxa"/>
              <w:bottom w:w="100" w:type="dxa"/>
              <w:right w:w="100" w:type="dxa"/>
            </w:tcMar>
            <w:vAlign w:val="center"/>
          </w:tcPr>
          <w:p w14:paraId="01961931" w14:textId="36ABA8ED" w:rsidR="0058573D" w:rsidRPr="009B3512" w:rsidRDefault="0058573D" w:rsidP="0058573D">
            <w:pPr>
              <w:pBdr>
                <w:top w:val="nil"/>
                <w:left w:val="nil"/>
                <w:bottom w:val="nil"/>
                <w:right w:val="nil"/>
                <w:between w:val="nil"/>
              </w:pBdr>
              <w:rPr>
                <w:rFonts w:ascii="Arial" w:hAnsi="Arial" w:cs="Arial"/>
                <w:lang w:val="en-US"/>
              </w:rPr>
            </w:pPr>
            <w:r w:rsidRPr="009B3512">
              <w:rPr>
                <w:rFonts w:ascii="Arial" w:hAnsi="Arial" w:cs="Arial"/>
                <w:lang w:val="en-US"/>
              </w:rPr>
              <w:t>Communicable diseases</w:t>
            </w:r>
          </w:p>
        </w:tc>
        <w:tc>
          <w:tcPr>
            <w:tcW w:w="5211" w:type="dxa"/>
            <w:shd w:val="clear" w:color="auto" w:fill="auto"/>
            <w:tcMar>
              <w:top w:w="100" w:type="dxa"/>
              <w:left w:w="100" w:type="dxa"/>
              <w:bottom w:w="100" w:type="dxa"/>
              <w:right w:w="100" w:type="dxa"/>
            </w:tcMar>
            <w:vAlign w:val="center"/>
          </w:tcPr>
          <w:p w14:paraId="76512C43" w14:textId="77777777" w:rsidR="0058573D" w:rsidRPr="009B3512" w:rsidRDefault="0058573D" w:rsidP="0058573D">
            <w:pPr>
              <w:pBdr>
                <w:top w:val="nil"/>
                <w:left w:val="nil"/>
                <w:bottom w:val="nil"/>
                <w:right w:val="nil"/>
                <w:between w:val="nil"/>
              </w:pBdr>
              <w:rPr>
                <w:rFonts w:ascii="Arial" w:hAnsi="Arial" w:cs="Arial"/>
                <w:lang w:val="en-US"/>
              </w:rPr>
            </w:pPr>
            <w:proofErr w:type="spellStart"/>
            <w:r w:rsidRPr="009B3512">
              <w:rPr>
                <w:rFonts w:ascii="Arial" w:hAnsi="Arial" w:cs="Arial"/>
                <w:lang w:val="en-US"/>
              </w:rPr>
              <w:t>A00-B99</w:t>
            </w:r>
            <w:proofErr w:type="spellEnd"/>
            <w:r w:rsidRPr="009B3512">
              <w:rPr>
                <w:rFonts w:ascii="Arial" w:hAnsi="Arial" w:cs="Arial"/>
                <w:lang w:val="en-US"/>
              </w:rPr>
              <w:t xml:space="preserve">, </w:t>
            </w:r>
            <w:proofErr w:type="spellStart"/>
            <w:r w:rsidRPr="009B3512">
              <w:rPr>
                <w:rFonts w:ascii="Arial" w:hAnsi="Arial" w:cs="Arial"/>
                <w:lang w:val="en-US"/>
              </w:rPr>
              <w:t>G00-G03</w:t>
            </w:r>
            <w:proofErr w:type="spellEnd"/>
            <w:r w:rsidRPr="009B3512">
              <w:rPr>
                <w:rFonts w:ascii="Arial" w:hAnsi="Arial" w:cs="Arial"/>
                <w:lang w:val="en-US"/>
              </w:rPr>
              <w:t xml:space="preserve">, </w:t>
            </w:r>
            <w:proofErr w:type="spellStart"/>
            <w:r w:rsidRPr="009B3512">
              <w:rPr>
                <w:rFonts w:ascii="Arial" w:hAnsi="Arial" w:cs="Arial"/>
                <w:lang w:val="en-US"/>
              </w:rPr>
              <w:t>J00-J22</w:t>
            </w:r>
            <w:proofErr w:type="spellEnd"/>
            <w:r w:rsidRPr="009B3512">
              <w:rPr>
                <w:rFonts w:ascii="Arial" w:hAnsi="Arial" w:cs="Arial"/>
                <w:lang w:val="en-US"/>
              </w:rPr>
              <w:t xml:space="preserve">, </w:t>
            </w:r>
            <w:proofErr w:type="spellStart"/>
            <w:r w:rsidRPr="009B3512">
              <w:rPr>
                <w:rFonts w:ascii="Arial" w:hAnsi="Arial" w:cs="Arial"/>
                <w:lang w:val="en-US"/>
              </w:rPr>
              <w:t>P35.0</w:t>
            </w:r>
            <w:proofErr w:type="spellEnd"/>
          </w:p>
        </w:tc>
      </w:tr>
      <w:tr w:rsidR="0058573D" w:rsidRPr="009B3512" w14:paraId="2BCE87DE" w14:textId="77777777" w:rsidTr="0058573D">
        <w:tc>
          <w:tcPr>
            <w:tcW w:w="3686" w:type="dxa"/>
            <w:shd w:val="clear" w:color="auto" w:fill="auto"/>
            <w:tcMar>
              <w:top w:w="100" w:type="dxa"/>
              <w:left w:w="100" w:type="dxa"/>
              <w:bottom w:w="100" w:type="dxa"/>
              <w:right w:w="100" w:type="dxa"/>
            </w:tcMar>
            <w:vAlign w:val="center"/>
          </w:tcPr>
          <w:p w14:paraId="045689AB" w14:textId="617D17FC" w:rsidR="0058573D" w:rsidRPr="009B3512" w:rsidRDefault="0058573D" w:rsidP="0058573D">
            <w:pPr>
              <w:pBdr>
                <w:top w:val="nil"/>
                <w:left w:val="nil"/>
                <w:bottom w:val="nil"/>
                <w:right w:val="nil"/>
                <w:between w:val="nil"/>
              </w:pBdr>
              <w:rPr>
                <w:rFonts w:ascii="Arial" w:hAnsi="Arial" w:cs="Arial"/>
                <w:lang w:val="en-US"/>
              </w:rPr>
            </w:pPr>
            <w:r w:rsidRPr="009B3512">
              <w:rPr>
                <w:rFonts w:ascii="Arial" w:hAnsi="Arial" w:cs="Arial"/>
                <w:lang w:val="en-US"/>
              </w:rPr>
              <w:t>Non-communicable diseases</w:t>
            </w:r>
          </w:p>
        </w:tc>
        <w:tc>
          <w:tcPr>
            <w:tcW w:w="5211" w:type="dxa"/>
            <w:shd w:val="clear" w:color="auto" w:fill="auto"/>
            <w:tcMar>
              <w:top w:w="100" w:type="dxa"/>
              <w:left w:w="100" w:type="dxa"/>
              <w:bottom w:w="100" w:type="dxa"/>
              <w:right w:w="100" w:type="dxa"/>
            </w:tcMar>
            <w:vAlign w:val="center"/>
          </w:tcPr>
          <w:p w14:paraId="06EC2184" w14:textId="77777777" w:rsidR="0058573D" w:rsidRPr="009B3512" w:rsidRDefault="0058573D" w:rsidP="0058573D">
            <w:pPr>
              <w:pBdr>
                <w:top w:val="nil"/>
                <w:left w:val="nil"/>
                <w:bottom w:val="nil"/>
                <w:right w:val="nil"/>
                <w:between w:val="nil"/>
              </w:pBdr>
              <w:rPr>
                <w:rFonts w:ascii="Arial" w:hAnsi="Arial" w:cs="Arial"/>
                <w:lang w:val="en-US"/>
              </w:rPr>
            </w:pPr>
            <w:proofErr w:type="spellStart"/>
            <w:r w:rsidRPr="009B3512">
              <w:rPr>
                <w:rFonts w:ascii="Arial" w:hAnsi="Arial" w:cs="Arial"/>
                <w:lang w:val="en-US"/>
              </w:rPr>
              <w:t>C00-D48</w:t>
            </w:r>
            <w:proofErr w:type="spellEnd"/>
            <w:r w:rsidRPr="009B3512">
              <w:rPr>
                <w:rFonts w:ascii="Arial" w:hAnsi="Arial" w:cs="Arial"/>
                <w:lang w:val="en-US"/>
              </w:rPr>
              <w:t xml:space="preserve">, </w:t>
            </w:r>
            <w:proofErr w:type="spellStart"/>
            <w:r w:rsidRPr="009B3512">
              <w:rPr>
                <w:rFonts w:ascii="Arial" w:hAnsi="Arial" w:cs="Arial"/>
                <w:lang w:val="en-US"/>
              </w:rPr>
              <w:t>I00-I99</w:t>
            </w:r>
            <w:proofErr w:type="spellEnd"/>
            <w:r w:rsidRPr="009B3512">
              <w:rPr>
                <w:rFonts w:ascii="Arial" w:hAnsi="Arial" w:cs="Arial"/>
                <w:lang w:val="en-US"/>
              </w:rPr>
              <w:t xml:space="preserve">, </w:t>
            </w:r>
            <w:proofErr w:type="spellStart"/>
            <w:r w:rsidRPr="009B3512">
              <w:rPr>
                <w:rFonts w:ascii="Arial" w:hAnsi="Arial" w:cs="Arial"/>
                <w:lang w:val="en-US"/>
              </w:rPr>
              <w:t>D50-D89</w:t>
            </w:r>
            <w:proofErr w:type="spellEnd"/>
            <w:r w:rsidRPr="009B3512">
              <w:rPr>
                <w:rFonts w:ascii="Arial" w:hAnsi="Arial" w:cs="Arial"/>
                <w:lang w:val="en-US"/>
              </w:rPr>
              <w:t xml:space="preserve">, </w:t>
            </w:r>
            <w:proofErr w:type="spellStart"/>
            <w:r w:rsidRPr="009B3512">
              <w:rPr>
                <w:rFonts w:ascii="Arial" w:hAnsi="Arial" w:cs="Arial"/>
                <w:lang w:val="en-US"/>
              </w:rPr>
              <w:t>E00-E90</w:t>
            </w:r>
            <w:proofErr w:type="spellEnd"/>
            <w:r w:rsidRPr="009B3512">
              <w:rPr>
                <w:rFonts w:ascii="Arial" w:hAnsi="Arial" w:cs="Arial"/>
                <w:lang w:val="en-US"/>
              </w:rPr>
              <w:t xml:space="preserve">, </w:t>
            </w:r>
            <w:proofErr w:type="spellStart"/>
            <w:r w:rsidRPr="009B3512">
              <w:rPr>
                <w:rFonts w:ascii="Arial" w:hAnsi="Arial" w:cs="Arial"/>
                <w:lang w:val="en-US"/>
              </w:rPr>
              <w:t>F00-F99</w:t>
            </w:r>
            <w:proofErr w:type="spellEnd"/>
            <w:r w:rsidRPr="009B3512">
              <w:rPr>
                <w:rFonts w:ascii="Arial" w:hAnsi="Arial" w:cs="Arial"/>
                <w:lang w:val="en-US"/>
              </w:rPr>
              <w:t xml:space="preserve">, </w:t>
            </w:r>
            <w:proofErr w:type="spellStart"/>
            <w:r w:rsidRPr="009B3512">
              <w:rPr>
                <w:rFonts w:ascii="Arial" w:hAnsi="Arial" w:cs="Arial"/>
                <w:lang w:val="en-US"/>
              </w:rPr>
              <w:t>G04-G98</w:t>
            </w:r>
            <w:proofErr w:type="spellEnd"/>
            <w:r w:rsidRPr="009B3512">
              <w:rPr>
                <w:rFonts w:ascii="Arial" w:hAnsi="Arial" w:cs="Arial"/>
                <w:lang w:val="en-US"/>
              </w:rPr>
              <w:t xml:space="preserve">, </w:t>
            </w:r>
            <w:proofErr w:type="spellStart"/>
            <w:r w:rsidRPr="009B3512">
              <w:rPr>
                <w:rFonts w:ascii="Arial" w:hAnsi="Arial" w:cs="Arial"/>
                <w:lang w:val="en-US"/>
              </w:rPr>
              <w:t>H00-H95</w:t>
            </w:r>
            <w:proofErr w:type="spellEnd"/>
            <w:r w:rsidRPr="009B3512">
              <w:rPr>
                <w:rFonts w:ascii="Arial" w:hAnsi="Arial" w:cs="Arial"/>
                <w:lang w:val="en-US"/>
              </w:rPr>
              <w:t xml:space="preserve">, </w:t>
            </w:r>
            <w:proofErr w:type="spellStart"/>
            <w:r w:rsidRPr="009B3512">
              <w:rPr>
                <w:rFonts w:ascii="Arial" w:hAnsi="Arial" w:cs="Arial"/>
                <w:lang w:val="en-US"/>
              </w:rPr>
              <w:t>J30-J98</w:t>
            </w:r>
            <w:proofErr w:type="spellEnd"/>
            <w:r w:rsidRPr="009B3512">
              <w:rPr>
                <w:rFonts w:ascii="Arial" w:hAnsi="Arial" w:cs="Arial"/>
                <w:lang w:val="en-US"/>
              </w:rPr>
              <w:t xml:space="preserve">, </w:t>
            </w:r>
            <w:proofErr w:type="spellStart"/>
            <w:r w:rsidRPr="009B3512">
              <w:rPr>
                <w:rFonts w:ascii="Arial" w:hAnsi="Arial" w:cs="Arial"/>
                <w:lang w:val="en-US"/>
              </w:rPr>
              <w:t>K00-K92</w:t>
            </w:r>
            <w:proofErr w:type="spellEnd"/>
            <w:r w:rsidRPr="009B3512">
              <w:rPr>
                <w:rFonts w:ascii="Arial" w:hAnsi="Arial" w:cs="Arial"/>
                <w:lang w:val="en-US"/>
              </w:rPr>
              <w:t xml:space="preserve">, </w:t>
            </w:r>
            <w:proofErr w:type="spellStart"/>
            <w:r w:rsidRPr="009B3512">
              <w:rPr>
                <w:rFonts w:ascii="Arial" w:hAnsi="Arial" w:cs="Arial"/>
                <w:lang w:val="en-US"/>
              </w:rPr>
              <w:t>L00-L98</w:t>
            </w:r>
            <w:proofErr w:type="spellEnd"/>
            <w:r w:rsidRPr="009B3512">
              <w:rPr>
                <w:rFonts w:ascii="Arial" w:hAnsi="Arial" w:cs="Arial"/>
                <w:lang w:val="en-US"/>
              </w:rPr>
              <w:t xml:space="preserve">, </w:t>
            </w:r>
            <w:proofErr w:type="spellStart"/>
            <w:r w:rsidRPr="009B3512">
              <w:rPr>
                <w:rFonts w:ascii="Arial" w:hAnsi="Arial" w:cs="Arial"/>
                <w:lang w:val="en-US"/>
              </w:rPr>
              <w:t>M00-M98</w:t>
            </w:r>
            <w:proofErr w:type="spellEnd"/>
            <w:r w:rsidRPr="009B3512">
              <w:rPr>
                <w:rFonts w:ascii="Arial" w:hAnsi="Arial" w:cs="Arial"/>
                <w:lang w:val="en-US"/>
              </w:rPr>
              <w:t xml:space="preserve">, </w:t>
            </w:r>
            <w:proofErr w:type="spellStart"/>
            <w:r w:rsidRPr="009B3512">
              <w:rPr>
                <w:rFonts w:ascii="Arial" w:hAnsi="Arial" w:cs="Arial"/>
                <w:lang w:val="en-US"/>
              </w:rPr>
              <w:t>N00-N99</w:t>
            </w:r>
            <w:proofErr w:type="spellEnd"/>
            <w:r w:rsidRPr="009B3512">
              <w:rPr>
                <w:rFonts w:ascii="Arial" w:hAnsi="Arial" w:cs="Arial"/>
                <w:lang w:val="en-US"/>
              </w:rPr>
              <w:t xml:space="preserve">, </w:t>
            </w:r>
            <w:proofErr w:type="spellStart"/>
            <w:r w:rsidRPr="009B3512">
              <w:rPr>
                <w:rFonts w:ascii="Arial" w:hAnsi="Arial" w:cs="Arial"/>
                <w:lang w:val="en-US"/>
              </w:rPr>
              <w:t>Z00-Z99</w:t>
            </w:r>
            <w:proofErr w:type="spellEnd"/>
          </w:p>
        </w:tc>
      </w:tr>
      <w:tr w:rsidR="0058573D" w:rsidRPr="009B3512" w14:paraId="115E0F86" w14:textId="77777777" w:rsidTr="0058573D">
        <w:tc>
          <w:tcPr>
            <w:tcW w:w="3686" w:type="dxa"/>
            <w:shd w:val="clear" w:color="auto" w:fill="auto"/>
            <w:tcMar>
              <w:top w:w="100" w:type="dxa"/>
              <w:left w:w="100" w:type="dxa"/>
              <w:bottom w:w="100" w:type="dxa"/>
              <w:right w:w="100" w:type="dxa"/>
            </w:tcMar>
            <w:vAlign w:val="center"/>
          </w:tcPr>
          <w:p w14:paraId="2D3F0AFE" w14:textId="3859C37F" w:rsidR="0058573D" w:rsidRPr="009B3512" w:rsidRDefault="0058573D" w:rsidP="0058573D">
            <w:pPr>
              <w:pBdr>
                <w:top w:val="nil"/>
                <w:left w:val="nil"/>
                <w:bottom w:val="nil"/>
                <w:right w:val="nil"/>
                <w:between w:val="nil"/>
              </w:pBdr>
              <w:rPr>
                <w:rFonts w:ascii="Arial" w:hAnsi="Arial" w:cs="Arial"/>
                <w:lang w:val="en-US"/>
              </w:rPr>
            </w:pPr>
            <w:r w:rsidRPr="009B3512">
              <w:rPr>
                <w:rFonts w:ascii="Arial" w:hAnsi="Arial" w:cs="Arial"/>
                <w:lang w:val="en-US"/>
              </w:rPr>
              <w:t>Maternal and obstetric conditions</w:t>
            </w:r>
          </w:p>
        </w:tc>
        <w:tc>
          <w:tcPr>
            <w:tcW w:w="5211" w:type="dxa"/>
            <w:shd w:val="clear" w:color="auto" w:fill="auto"/>
            <w:tcMar>
              <w:top w:w="100" w:type="dxa"/>
              <w:left w:w="100" w:type="dxa"/>
              <w:bottom w:w="100" w:type="dxa"/>
              <w:right w:w="100" w:type="dxa"/>
            </w:tcMar>
            <w:vAlign w:val="center"/>
          </w:tcPr>
          <w:p w14:paraId="669586B7" w14:textId="77777777" w:rsidR="0058573D" w:rsidRPr="009B3512" w:rsidRDefault="0058573D" w:rsidP="0058573D">
            <w:pPr>
              <w:pBdr>
                <w:top w:val="nil"/>
                <w:left w:val="nil"/>
                <w:bottom w:val="nil"/>
                <w:right w:val="nil"/>
                <w:between w:val="nil"/>
              </w:pBdr>
              <w:rPr>
                <w:rFonts w:ascii="Arial" w:hAnsi="Arial" w:cs="Arial"/>
                <w:lang w:val="en-US"/>
              </w:rPr>
            </w:pPr>
            <w:proofErr w:type="spellStart"/>
            <w:r w:rsidRPr="009B3512">
              <w:rPr>
                <w:rFonts w:ascii="Arial" w:hAnsi="Arial" w:cs="Arial"/>
                <w:lang w:val="en-US"/>
              </w:rPr>
              <w:t>O00-O99</w:t>
            </w:r>
            <w:proofErr w:type="spellEnd"/>
          </w:p>
        </w:tc>
      </w:tr>
      <w:tr w:rsidR="0058573D" w:rsidRPr="009B3512" w14:paraId="78AECACE" w14:textId="77777777" w:rsidTr="0058573D">
        <w:tc>
          <w:tcPr>
            <w:tcW w:w="3686" w:type="dxa"/>
            <w:shd w:val="clear" w:color="auto" w:fill="auto"/>
            <w:tcMar>
              <w:top w:w="100" w:type="dxa"/>
              <w:left w:w="100" w:type="dxa"/>
              <w:bottom w:w="100" w:type="dxa"/>
              <w:right w:w="100" w:type="dxa"/>
            </w:tcMar>
            <w:vAlign w:val="center"/>
          </w:tcPr>
          <w:p w14:paraId="60863084" w14:textId="4C5C5FC4" w:rsidR="0058573D" w:rsidRPr="009B3512" w:rsidRDefault="0058573D" w:rsidP="0058573D">
            <w:pPr>
              <w:pBdr>
                <w:top w:val="nil"/>
                <w:left w:val="nil"/>
                <w:bottom w:val="nil"/>
                <w:right w:val="nil"/>
                <w:between w:val="nil"/>
              </w:pBdr>
              <w:rPr>
                <w:rFonts w:ascii="Arial" w:hAnsi="Arial" w:cs="Arial"/>
                <w:lang w:val="en-US"/>
              </w:rPr>
            </w:pPr>
            <w:r w:rsidRPr="009B3512">
              <w:rPr>
                <w:rFonts w:ascii="Arial" w:hAnsi="Arial" w:cs="Arial"/>
                <w:lang w:val="en-US"/>
              </w:rPr>
              <w:t>Common conditions in early childhood</w:t>
            </w:r>
          </w:p>
        </w:tc>
        <w:tc>
          <w:tcPr>
            <w:tcW w:w="5211" w:type="dxa"/>
            <w:shd w:val="clear" w:color="auto" w:fill="auto"/>
            <w:tcMar>
              <w:top w:w="100" w:type="dxa"/>
              <w:left w:w="100" w:type="dxa"/>
              <w:bottom w:w="100" w:type="dxa"/>
              <w:right w:w="100" w:type="dxa"/>
            </w:tcMar>
            <w:vAlign w:val="center"/>
          </w:tcPr>
          <w:p w14:paraId="17001192" w14:textId="77777777" w:rsidR="0058573D" w:rsidRPr="009B3512" w:rsidRDefault="0058573D" w:rsidP="0058573D">
            <w:pPr>
              <w:pBdr>
                <w:top w:val="nil"/>
                <w:left w:val="nil"/>
                <w:bottom w:val="nil"/>
                <w:right w:val="nil"/>
                <w:between w:val="nil"/>
              </w:pBdr>
              <w:rPr>
                <w:rFonts w:ascii="Arial" w:hAnsi="Arial" w:cs="Arial"/>
                <w:lang w:val="en-US"/>
              </w:rPr>
            </w:pPr>
            <w:proofErr w:type="spellStart"/>
            <w:r w:rsidRPr="009B3512">
              <w:rPr>
                <w:rFonts w:ascii="Arial" w:hAnsi="Arial" w:cs="Arial"/>
                <w:lang w:val="en-US"/>
              </w:rPr>
              <w:t>P00-P29</w:t>
            </w:r>
            <w:proofErr w:type="spellEnd"/>
            <w:r w:rsidRPr="009B3512">
              <w:rPr>
                <w:rFonts w:ascii="Arial" w:hAnsi="Arial" w:cs="Arial"/>
                <w:lang w:val="en-US"/>
              </w:rPr>
              <w:t xml:space="preserve">, </w:t>
            </w:r>
            <w:proofErr w:type="spellStart"/>
            <w:r w:rsidRPr="009B3512">
              <w:rPr>
                <w:rFonts w:ascii="Arial" w:hAnsi="Arial" w:cs="Arial"/>
                <w:lang w:val="en-US"/>
              </w:rPr>
              <w:t>P35.1-P96</w:t>
            </w:r>
            <w:proofErr w:type="spellEnd"/>
            <w:r w:rsidRPr="009B3512">
              <w:rPr>
                <w:rFonts w:ascii="Arial" w:hAnsi="Arial" w:cs="Arial"/>
                <w:lang w:val="en-US"/>
              </w:rPr>
              <w:t xml:space="preserve">, </w:t>
            </w:r>
            <w:proofErr w:type="spellStart"/>
            <w:r w:rsidRPr="009B3512">
              <w:rPr>
                <w:rFonts w:ascii="Arial" w:hAnsi="Arial" w:cs="Arial"/>
                <w:lang w:val="en-US"/>
              </w:rPr>
              <w:t>Q00-Q99</w:t>
            </w:r>
            <w:proofErr w:type="spellEnd"/>
          </w:p>
        </w:tc>
      </w:tr>
      <w:tr w:rsidR="0058573D" w:rsidRPr="009B3512" w14:paraId="018EBC11" w14:textId="77777777" w:rsidTr="0058573D">
        <w:trPr>
          <w:trHeight w:val="153"/>
        </w:trPr>
        <w:tc>
          <w:tcPr>
            <w:tcW w:w="3686" w:type="dxa"/>
            <w:shd w:val="clear" w:color="auto" w:fill="auto"/>
            <w:tcMar>
              <w:top w:w="100" w:type="dxa"/>
              <w:left w:w="100" w:type="dxa"/>
              <w:bottom w:w="100" w:type="dxa"/>
              <w:right w:w="100" w:type="dxa"/>
            </w:tcMar>
            <w:vAlign w:val="center"/>
          </w:tcPr>
          <w:p w14:paraId="64A72696" w14:textId="010353CD" w:rsidR="0058573D" w:rsidRPr="009B3512" w:rsidRDefault="0058573D" w:rsidP="0058573D">
            <w:pPr>
              <w:pBdr>
                <w:top w:val="nil"/>
                <w:left w:val="nil"/>
                <w:bottom w:val="nil"/>
                <w:right w:val="nil"/>
                <w:between w:val="nil"/>
              </w:pBdr>
              <w:rPr>
                <w:rFonts w:ascii="Arial" w:hAnsi="Arial" w:cs="Arial"/>
                <w:lang w:val="en-US"/>
              </w:rPr>
            </w:pPr>
            <w:r w:rsidRPr="009B3512">
              <w:rPr>
                <w:rFonts w:ascii="Arial" w:hAnsi="Arial" w:cs="Arial"/>
                <w:lang w:val="en-US"/>
              </w:rPr>
              <w:t>Other diseases</w:t>
            </w:r>
          </w:p>
        </w:tc>
        <w:tc>
          <w:tcPr>
            <w:tcW w:w="5211" w:type="dxa"/>
            <w:shd w:val="clear" w:color="auto" w:fill="auto"/>
            <w:tcMar>
              <w:top w:w="100" w:type="dxa"/>
              <w:left w:w="100" w:type="dxa"/>
              <w:bottom w:w="100" w:type="dxa"/>
              <w:right w:w="100" w:type="dxa"/>
            </w:tcMar>
            <w:vAlign w:val="center"/>
          </w:tcPr>
          <w:p w14:paraId="7B803C1A" w14:textId="77777777" w:rsidR="0058573D" w:rsidRPr="009B3512" w:rsidRDefault="0058573D" w:rsidP="0058573D">
            <w:pPr>
              <w:pBdr>
                <w:top w:val="nil"/>
                <w:left w:val="nil"/>
                <w:bottom w:val="nil"/>
                <w:right w:val="nil"/>
                <w:between w:val="nil"/>
              </w:pBdr>
              <w:rPr>
                <w:rFonts w:ascii="Arial" w:hAnsi="Arial" w:cs="Arial"/>
                <w:lang w:val="en-US"/>
              </w:rPr>
            </w:pPr>
            <w:proofErr w:type="spellStart"/>
            <w:r w:rsidRPr="009B3512">
              <w:rPr>
                <w:rFonts w:ascii="Arial" w:hAnsi="Arial" w:cs="Arial"/>
                <w:lang w:val="en-US"/>
              </w:rPr>
              <w:t>V01-Y89</w:t>
            </w:r>
            <w:proofErr w:type="spellEnd"/>
            <w:r w:rsidRPr="009B3512">
              <w:rPr>
                <w:rFonts w:ascii="Arial" w:hAnsi="Arial" w:cs="Arial"/>
                <w:lang w:val="en-US"/>
              </w:rPr>
              <w:t xml:space="preserve">, </w:t>
            </w:r>
            <w:proofErr w:type="spellStart"/>
            <w:r w:rsidRPr="009B3512">
              <w:rPr>
                <w:rFonts w:ascii="Arial" w:hAnsi="Arial" w:cs="Arial"/>
                <w:lang w:val="en-US"/>
              </w:rPr>
              <w:t>S00-T98</w:t>
            </w:r>
            <w:proofErr w:type="spellEnd"/>
            <w:r w:rsidRPr="009B3512">
              <w:rPr>
                <w:rFonts w:ascii="Arial" w:hAnsi="Arial" w:cs="Arial"/>
                <w:lang w:val="en-US"/>
              </w:rPr>
              <w:t xml:space="preserve">, </w:t>
            </w:r>
            <w:proofErr w:type="spellStart"/>
            <w:r w:rsidRPr="009B3512">
              <w:rPr>
                <w:rFonts w:ascii="Arial" w:hAnsi="Arial" w:cs="Arial"/>
                <w:lang w:val="en-US"/>
              </w:rPr>
              <w:t>K35-K46</w:t>
            </w:r>
            <w:proofErr w:type="spellEnd"/>
            <w:r w:rsidRPr="009B3512">
              <w:rPr>
                <w:rFonts w:ascii="Arial" w:hAnsi="Arial" w:cs="Arial"/>
                <w:lang w:val="en-US"/>
              </w:rPr>
              <w:t xml:space="preserve">, </w:t>
            </w:r>
            <w:proofErr w:type="spellStart"/>
            <w:r w:rsidRPr="009B3512">
              <w:rPr>
                <w:rFonts w:ascii="Arial" w:hAnsi="Arial" w:cs="Arial"/>
                <w:lang w:val="en-US"/>
              </w:rPr>
              <w:t>K56</w:t>
            </w:r>
            <w:proofErr w:type="spellEnd"/>
          </w:p>
        </w:tc>
      </w:tr>
    </w:tbl>
    <w:p w14:paraId="6456C719" w14:textId="77777777" w:rsidR="0058573D" w:rsidRPr="009B3512" w:rsidRDefault="0058573D">
      <w:pPr>
        <w:rPr>
          <w:rFonts w:ascii="Arial" w:hAnsi="Arial" w:cs="Arial"/>
          <w:b/>
          <w:bCs/>
          <w:lang w:val="en-US"/>
        </w:rPr>
      </w:pPr>
    </w:p>
    <w:p w14:paraId="6A1AA58C" w14:textId="77777777" w:rsidR="00E64E2F" w:rsidRPr="009B3512" w:rsidRDefault="00E64E2F" w:rsidP="00E64E2F">
      <w:pPr>
        <w:rPr>
          <w:rFonts w:ascii="Arial" w:hAnsi="Arial" w:cs="Arial"/>
          <w:lang w:val="en-US"/>
        </w:rPr>
      </w:pPr>
    </w:p>
    <w:p w14:paraId="1B4DCA59" w14:textId="08981606" w:rsidR="00E64E2F" w:rsidRPr="009B3512" w:rsidRDefault="009D53A7" w:rsidP="00E64E2F">
      <w:pPr>
        <w:rPr>
          <w:rFonts w:ascii="Arial" w:hAnsi="Arial" w:cs="Arial"/>
          <w:lang w:val="en-US"/>
        </w:rPr>
      </w:pPr>
      <w:r w:rsidRPr="009B3512">
        <w:rPr>
          <w:rFonts w:ascii="Arial" w:hAnsi="Arial" w:cs="Arial"/>
          <w:lang w:val="en-US"/>
        </w:rPr>
        <w:t xml:space="preserve">Table </w:t>
      </w:r>
      <w:r w:rsidR="0058573D" w:rsidRPr="009B3512">
        <w:rPr>
          <w:rFonts w:ascii="Arial" w:hAnsi="Arial" w:cs="Arial"/>
          <w:lang w:val="en-US"/>
        </w:rPr>
        <w:t>2</w:t>
      </w:r>
      <w:r w:rsidRPr="009B3512">
        <w:rPr>
          <w:rFonts w:ascii="Arial" w:hAnsi="Arial" w:cs="Arial"/>
          <w:lang w:val="en-US"/>
        </w:rPr>
        <w:t xml:space="preserve">. Search strategy </w:t>
      </w:r>
    </w:p>
    <w:p w14:paraId="12586DAF" w14:textId="77777777" w:rsidR="00E64E2F" w:rsidRPr="009B3512" w:rsidRDefault="00E64E2F" w:rsidP="00E64E2F">
      <w:pPr>
        <w:rPr>
          <w:rFonts w:ascii="Arial" w:hAnsi="Arial" w:cs="Arial"/>
          <w:lang w:val="en-US"/>
        </w:rPr>
      </w:pPr>
    </w:p>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3A06FF" w:rsidRPr="009B3512" w14:paraId="2831E3B7" w14:textId="77777777" w:rsidTr="003A06FF">
        <w:trPr>
          <w:trHeight w:val="60"/>
          <w:jc w:val="center"/>
        </w:trPr>
        <w:tc>
          <w:tcPr>
            <w:tcW w:w="3539" w:type="dxa"/>
            <w:shd w:val="clear" w:color="auto" w:fill="auto"/>
          </w:tcPr>
          <w:p w14:paraId="657492A3" w14:textId="2ACF8281" w:rsidR="00E64E2F" w:rsidRPr="009B3512" w:rsidRDefault="00E64E2F" w:rsidP="00E330BA">
            <w:pPr>
              <w:rPr>
                <w:rFonts w:ascii="Arial" w:hAnsi="Arial" w:cs="Arial"/>
                <w:lang w:val="en-US"/>
              </w:rPr>
            </w:pPr>
            <w:r w:rsidRPr="009B3512">
              <w:rPr>
                <w:rFonts w:ascii="Arial" w:hAnsi="Arial" w:cs="Arial"/>
                <w:lang w:val="en-US"/>
              </w:rPr>
              <w:t>Type or search</w:t>
            </w:r>
          </w:p>
        </w:tc>
        <w:tc>
          <w:tcPr>
            <w:tcW w:w="5289" w:type="dxa"/>
            <w:shd w:val="clear" w:color="auto" w:fill="auto"/>
          </w:tcPr>
          <w:p w14:paraId="442A5CAB" w14:textId="5B08FB93" w:rsidR="00E64E2F" w:rsidRPr="009B3512" w:rsidRDefault="00E64E2F" w:rsidP="00E330BA">
            <w:pPr>
              <w:rPr>
                <w:rFonts w:ascii="Arial" w:hAnsi="Arial" w:cs="Arial"/>
                <w:lang w:val="en-US"/>
              </w:rPr>
            </w:pPr>
            <w:r w:rsidRPr="009B3512">
              <w:rPr>
                <w:rFonts w:ascii="Arial" w:hAnsi="Arial" w:cs="Arial"/>
                <w:lang w:val="en-US"/>
              </w:rPr>
              <w:t>New</w:t>
            </w:r>
          </w:p>
        </w:tc>
      </w:tr>
      <w:tr w:rsidR="003A06FF" w:rsidRPr="009B3512" w14:paraId="499F8352" w14:textId="77777777" w:rsidTr="003A06FF">
        <w:trPr>
          <w:trHeight w:val="63"/>
          <w:jc w:val="center"/>
        </w:trPr>
        <w:tc>
          <w:tcPr>
            <w:tcW w:w="3539" w:type="dxa"/>
            <w:shd w:val="clear" w:color="auto" w:fill="auto"/>
          </w:tcPr>
          <w:p w14:paraId="1CF9A3EC" w14:textId="2A8BA085" w:rsidR="00E64E2F" w:rsidRPr="009B3512" w:rsidRDefault="00E64E2F" w:rsidP="00E330BA">
            <w:pPr>
              <w:rPr>
                <w:rFonts w:ascii="Arial" w:hAnsi="Arial" w:cs="Arial"/>
                <w:lang w:val="en-US"/>
              </w:rPr>
            </w:pPr>
            <w:r w:rsidRPr="009B3512">
              <w:rPr>
                <w:rFonts w:ascii="Arial" w:hAnsi="Arial" w:cs="Arial"/>
                <w:lang w:val="en-US"/>
              </w:rPr>
              <w:t>Database</w:t>
            </w:r>
          </w:p>
        </w:tc>
        <w:tc>
          <w:tcPr>
            <w:tcW w:w="5289" w:type="dxa"/>
            <w:shd w:val="clear" w:color="auto" w:fill="auto"/>
          </w:tcPr>
          <w:p w14:paraId="3012504E" w14:textId="77777777" w:rsidR="00E64E2F" w:rsidRPr="009B3512" w:rsidRDefault="00E64E2F" w:rsidP="00E330BA">
            <w:pPr>
              <w:rPr>
                <w:rFonts w:ascii="Arial" w:hAnsi="Arial" w:cs="Arial"/>
                <w:lang w:val="en-US"/>
              </w:rPr>
            </w:pPr>
            <w:r w:rsidRPr="009B3512">
              <w:rPr>
                <w:rFonts w:ascii="Arial" w:hAnsi="Arial" w:cs="Arial"/>
                <w:lang w:val="en-US"/>
              </w:rPr>
              <w:t>MEDLINE/ EMBASE</w:t>
            </w:r>
          </w:p>
        </w:tc>
      </w:tr>
      <w:tr w:rsidR="003A06FF" w:rsidRPr="009B3512" w14:paraId="37E9D8A3" w14:textId="77777777" w:rsidTr="003A06FF">
        <w:trPr>
          <w:trHeight w:val="63"/>
          <w:jc w:val="center"/>
        </w:trPr>
        <w:tc>
          <w:tcPr>
            <w:tcW w:w="3539" w:type="dxa"/>
            <w:shd w:val="clear" w:color="auto" w:fill="auto"/>
          </w:tcPr>
          <w:p w14:paraId="077DC978" w14:textId="4999CAA2" w:rsidR="00E64E2F" w:rsidRPr="009B3512" w:rsidRDefault="00E64E2F" w:rsidP="00E330BA">
            <w:pPr>
              <w:rPr>
                <w:rFonts w:ascii="Arial" w:hAnsi="Arial" w:cs="Arial"/>
                <w:lang w:val="en-US"/>
              </w:rPr>
            </w:pPr>
            <w:proofErr w:type="spellStart"/>
            <w:r w:rsidRPr="009B3512">
              <w:rPr>
                <w:rFonts w:ascii="Arial" w:hAnsi="Arial" w:cs="Arial"/>
                <w:lang w:val="en-US"/>
              </w:rPr>
              <w:t>Plataform</w:t>
            </w:r>
            <w:proofErr w:type="spellEnd"/>
          </w:p>
        </w:tc>
        <w:tc>
          <w:tcPr>
            <w:tcW w:w="5289" w:type="dxa"/>
            <w:shd w:val="clear" w:color="auto" w:fill="auto"/>
          </w:tcPr>
          <w:p w14:paraId="7FA6AA8D" w14:textId="77777777" w:rsidR="00E64E2F" w:rsidRPr="009B3512" w:rsidRDefault="00E64E2F" w:rsidP="00E330BA">
            <w:pPr>
              <w:rPr>
                <w:rFonts w:ascii="Arial" w:hAnsi="Arial" w:cs="Arial"/>
                <w:lang w:val="en-US"/>
              </w:rPr>
            </w:pPr>
            <w:r w:rsidRPr="009B3512">
              <w:rPr>
                <w:rFonts w:ascii="Arial" w:hAnsi="Arial" w:cs="Arial"/>
                <w:lang w:val="en-US"/>
              </w:rPr>
              <w:t>PubMed/Ovid</w:t>
            </w:r>
          </w:p>
        </w:tc>
      </w:tr>
      <w:tr w:rsidR="003A06FF" w:rsidRPr="009B3512" w14:paraId="499C216C" w14:textId="77777777" w:rsidTr="003A06FF">
        <w:trPr>
          <w:jc w:val="center"/>
        </w:trPr>
        <w:tc>
          <w:tcPr>
            <w:tcW w:w="3539" w:type="dxa"/>
            <w:shd w:val="clear" w:color="auto" w:fill="auto"/>
          </w:tcPr>
          <w:p w14:paraId="2128B0F8" w14:textId="0D2248E7" w:rsidR="00E64E2F" w:rsidRPr="009B3512" w:rsidRDefault="00E64E2F" w:rsidP="00E330BA">
            <w:pPr>
              <w:rPr>
                <w:rFonts w:ascii="Arial" w:hAnsi="Arial" w:cs="Arial"/>
                <w:lang w:val="en-US"/>
              </w:rPr>
            </w:pPr>
            <w:r w:rsidRPr="009B3512">
              <w:rPr>
                <w:rFonts w:ascii="Arial" w:hAnsi="Arial" w:cs="Arial"/>
                <w:lang w:val="en-US"/>
              </w:rPr>
              <w:t>Date</w:t>
            </w:r>
          </w:p>
        </w:tc>
        <w:tc>
          <w:tcPr>
            <w:tcW w:w="5289" w:type="dxa"/>
            <w:shd w:val="clear" w:color="auto" w:fill="auto"/>
          </w:tcPr>
          <w:p w14:paraId="3119E613" w14:textId="77777777" w:rsidR="00E64E2F" w:rsidRPr="009B3512" w:rsidRDefault="00E64E2F" w:rsidP="00E330BA">
            <w:pPr>
              <w:rPr>
                <w:rFonts w:ascii="Arial" w:hAnsi="Arial" w:cs="Arial"/>
                <w:lang w:val="en-US"/>
              </w:rPr>
            </w:pPr>
            <w:r w:rsidRPr="009B3512">
              <w:rPr>
                <w:rFonts w:ascii="Arial" w:hAnsi="Arial" w:cs="Arial"/>
                <w:lang w:val="en-US"/>
              </w:rPr>
              <w:t>24/09/2021</w:t>
            </w:r>
          </w:p>
        </w:tc>
      </w:tr>
      <w:tr w:rsidR="003A06FF" w:rsidRPr="009B3512" w14:paraId="3ACDFA8E" w14:textId="77777777" w:rsidTr="003A06FF">
        <w:trPr>
          <w:jc w:val="center"/>
        </w:trPr>
        <w:tc>
          <w:tcPr>
            <w:tcW w:w="3539" w:type="dxa"/>
            <w:shd w:val="clear" w:color="auto" w:fill="auto"/>
          </w:tcPr>
          <w:p w14:paraId="05BB00C2" w14:textId="7EAD4216" w:rsidR="00E64E2F" w:rsidRPr="009B3512" w:rsidRDefault="00E64E2F" w:rsidP="00E330BA">
            <w:pPr>
              <w:rPr>
                <w:rFonts w:ascii="Arial" w:hAnsi="Arial" w:cs="Arial"/>
                <w:lang w:val="en-US"/>
              </w:rPr>
            </w:pPr>
            <w:r w:rsidRPr="009B3512">
              <w:rPr>
                <w:rFonts w:ascii="Arial" w:hAnsi="Arial" w:cs="Arial"/>
                <w:lang w:val="en-US"/>
              </w:rPr>
              <w:t xml:space="preserve">Time frame </w:t>
            </w:r>
          </w:p>
        </w:tc>
        <w:tc>
          <w:tcPr>
            <w:tcW w:w="5289" w:type="dxa"/>
            <w:shd w:val="clear" w:color="auto" w:fill="auto"/>
          </w:tcPr>
          <w:p w14:paraId="7218C1C1" w14:textId="77777777" w:rsidR="00E64E2F" w:rsidRPr="009B3512" w:rsidRDefault="00E64E2F" w:rsidP="00E330BA">
            <w:pPr>
              <w:rPr>
                <w:rFonts w:ascii="Arial" w:hAnsi="Arial" w:cs="Arial"/>
                <w:lang w:val="en-US"/>
              </w:rPr>
            </w:pPr>
            <w:r w:rsidRPr="009B3512">
              <w:rPr>
                <w:rFonts w:ascii="Arial" w:hAnsi="Arial" w:cs="Arial"/>
                <w:lang w:val="en-US"/>
              </w:rPr>
              <w:t>1993-2020</w:t>
            </w:r>
          </w:p>
        </w:tc>
      </w:tr>
      <w:tr w:rsidR="003A06FF" w:rsidRPr="009B3512" w14:paraId="4010CE05" w14:textId="77777777" w:rsidTr="003A06FF">
        <w:trPr>
          <w:trHeight w:val="63"/>
          <w:jc w:val="center"/>
        </w:trPr>
        <w:tc>
          <w:tcPr>
            <w:tcW w:w="3539" w:type="dxa"/>
            <w:shd w:val="clear" w:color="auto" w:fill="auto"/>
          </w:tcPr>
          <w:p w14:paraId="0B11F3BA" w14:textId="4332908C" w:rsidR="00E64E2F" w:rsidRPr="009B3512" w:rsidRDefault="00E64E2F" w:rsidP="00E330BA">
            <w:pPr>
              <w:rPr>
                <w:rFonts w:ascii="Arial" w:hAnsi="Arial" w:cs="Arial"/>
                <w:lang w:val="en-US"/>
              </w:rPr>
            </w:pPr>
            <w:r w:rsidRPr="009B3512">
              <w:rPr>
                <w:rFonts w:ascii="Arial" w:hAnsi="Arial" w:cs="Arial"/>
                <w:lang w:val="en-US"/>
              </w:rPr>
              <w:t xml:space="preserve">Other restrictions </w:t>
            </w:r>
          </w:p>
        </w:tc>
        <w:tc>
          <w:tcPr>
            <w:tcW w:w="5289" w:type="dxa"/>
            <w:shd w:val="clear" w:color="auto" w:fill="auto"/>
          </w:tcPr>
          <w:p w14:paraId="4ABFEDC0" w14:textId="7F6CD3E4" w:rsidR="00E64E2F" w:rsidRPr="009B3512" w:rsidRDefault="00E64E2F" w:rsidP="00E330BA">
            <w:pPr>
              <w:rPr>
                <w:rFonts w:ascii="Arial" w:hAnsi="Arial" w:cs="Arial"/>
                <w:lang w:val="en-US"/>
              </w:rPr>
            </w:pPr>
            <w:r w:rsidRPr="009B3512">
              <w:rPr>
                <w:rFonts w:ascii="Arial" w:hAnsi="Arial" w:cs="Arial"/>
                <w:lang w:val="en-US"/>
              </w:rPr>
              <w:t xml:space="preserve">None </w:t>
            </w:r>
          </w:p>
        </w:tc>
      </w:tr>
      <w:tr w:rsidR="003A06FF" w:rsidRPr="009B3512" w14:paraId="26BBD8C2" w14:textId="77777777" w:rsidTr="003A06FF">
        <w:trPr>
          <w:jc w:val="center"/>
        </w:trPr>
        <w:tc>
          <w:tcPr>
            <w:tcW w:w="3539" w:type="dxa"/>
            <w:shd w:val="clear" w:color="auto" w:fill="auto"/>
          </w:tcPr>
          <w:p w14:paraId="16505E83" w14:textId="0E3434EB" w:rsidR="00E64E2F" w:rsidRPr="009B3512" w:rsidRDefault="00E64E2F" w:rsidP="00E330BA">
            <w:pPr>
              <w:rPr>
                <w:rFonts w:ascii="Arial" w:hAnsi="Arial" w:cs="Arial"/>
                <w:lang w:val="en-US"/>
              </w:rPr>
            </w:pPr>
            <w:r w:rsidRPr="009B3512">
              <w:rPr>
                <w:rFonts w:ascii="Arial" w:hAnsi="Arial" w:cs="Arial"/>
                <w:lang w:val="en-US"/>
              </w:rPr>
              <w:t xml:space="preserve">Search strategy </w:t>
            </w:r>
          </w:p>
        </w:tc>
        <w:tc>
          <w:tcPr>
            <w:tcW w:w="5289" w:type="dxa"/>
            <w:shd w:val="clear" w:color="auto" w:fill="auto"/>
          </w:tcPr>
          <w:p w14:paraId="24467C0B" w14:textId="77777777" w:rsidR="00E64E2F" w:rsidRPr="009B3512" w:rsidRDefault="00E64E2F" w:rsidP="00E330BA">
            <w:pPr>
              <w:numPr>
                <w:ilvl w:val="0"/>
                <w:numId w:val="1"/>
              </w:numPr>
              <w:rPr>
                <w:rFonts w:ascii="Arial" w:hAnsi="Arial" w:cs="Arial"/>
                <w:lang w:val="en-US"/>
              </w:rPr>
            </w:pPr>
            <w:r w:rsidRPr="009B3512">
              <w:rPr>
                <w:rFonts w:ascii="Arial" w:hAnsi="Arial" w:cs="Arial"/>
                <w:lang w:val="en-US"/>
              </w:rPr>
              <w:t>("</w:t>
            </w:r>
            <w:proofErr w:type="spellStart"/>
            <w:r w:rsidRPr="009B3512">
              <w:rPr>
                <w:rFonts w:ascii="Arial" w:hAnsi="Arial" w:cs="Arial"/>
                <w:lang w:val="en-US"/>
              </w:rPr>
              <w:t>epidemiologies</w:t>
            </w:r>
            <w:proofErr w:type="spellEnd"/>
            <w:r w:rsidRPr="009B3512">
              <w:rPr>
                <w:rFonts w:ascii="Arial" w:hAnsi="Arial" w:cs="Arial"/>
                <w:lang w:val="en-US"/>
              </w:rPr>
              <w:t>"[All Fields] OR "epidemiology"[MeSH Subheading] OR "epidemiology"[All Fields] OR "epidemiology"[MeSH Terms] OR "epidemiology s"[All Fields] OR (("</w:t>
            </w:r>
            <w:proofErr w:type="spellStart"/>
            <w:r w:rsidRPr="009B3512">
              <w:rPr>
                <w:rFonts w:ascii="Arial" w:hAnsi="Arial" w:cs="Arial"/>
                <w:lang w:val="en-US"/>
              </w:rPr>
              <w:t>epidemiologies</w:t>
            </w:r>
            <w:proofErr w:type="spellEnd"/>
            <w:r w:rsidRPr="009B3512">
              <w:rPr>
                <w:rFonts w:ascii="Arial" w:hAnsi="Arial" w:cs="Arial"/>
                <w:lang w:val="en-US"/>
              </w:rPr>
              <w:t>"[All Fields] OR "epidemiology"[MeSH Subheading] OR "epidemiology"[All Fields] OR "epidemiology"[MeSH Terms] OR "epidemiology s"[All Fields]) AND ("profile"[All Fields] OR "profiled"[All Fields] OR "profiler"[All Fields] OR "profilers"[All Fields] OR "profiles"[All Fields] OR "profiling"[All Fields] OR "</w:t>
            </w:r>
            <w:proofErr w:type="spellStart"/>
            <w:r w:rsidRPr="009B3512">
              <w:rPr>
                <w:rFonts w:ascii="Arial" w:hAnsi="Arial" w:cs="Arial"/>
                <w:lang w:val="en-US"/>
              </w:rPr>
              <w:t>profilings</w:t>
            </w:r>
            <w:proofErr w:type="spellEnd"/>
            <w:r w:rsidRPr="009B3512">
              <w:rPr>
                <w:rFonts w:ascii="Arial" w:hAnsi="Arial" w:cs="Arial"/>
                <w:lang w:val="en-US"/>
              </w:rPr>
              <w:t xml:space="preserve">"[All Fields])) OR ("disease"[MeSH Terms] OR "disease"[All Fields] OR "diseases"[All Fields] OR "disease s"[All Fields] OR "diseased"[All Fields]) OR ("disease"[MeSH Terms] OR "disease"[All Fields] OR "diseases"[All </w:t>
            </w:r>
            <w:r w:rsidRPr="009B3512">
              <w:rPr>
                <w:rFonts w:ascii="Arial" w:hAnsi="Arial" w:cs="Arial"/>
                <w:lang w:val="en-US"/>
              </w:rPr>
              <w:lastRenderedPageBreak/>
              <w:t>Fields] OR "disease s"[All Fields] OR "diseased"[All Fields]) OR ("clinical protocols"[MeSH Terms] OR ("clinical"[All Fields] AND "protocols"[All Fields]) OR "clinical protocols"[All Fields] OR "regimen"[All Fields] OR "regimens"[All Fields] OR "regimen s"[All Fields])) AND ("epidemiology"[MeSH Subheading] OR "epidemiology"[All Fields] OR "incidence"[All Fields] OR "incidence"[MeSH Terms] OR "incidences"[All Fields] OR "incident"[All Fields] OR "incidents"[All Fields] OR ("</w:t>
            </w:r>
            <w:proofErr w:type="spellStart"/>
            <w:r w:rsidRPr="009B3512">
              <w:rPr>
                <w:rFonts w:ascii="Arial" w:hAnsi="Arial" w:cs="Arial"/>
                <w:lang w:val="en-US"/>
              </w:rPr>
              <w:t>epidemiologies</w:t>
            </w:r>
            <w:proofErr w:type="spellEnd"/>
            <w:r w:rsidRPr="009B3512">
              <w:rPr>
                <w:rFonts w:ascii="Arial" w:hAnsi="Arial" w:cs="Arial"/>
                <w:lang w:val="en-US"/>
              </w:rPr>
              <w:t>"[All Fields] OR "epidemiology"[MeSH Subheading] OR "epidemiology"[All Fields] OR "epidemiology"[MeSH Terms] OR "epidemiology s"[All Fields]) OR ("epidemiology"[MeSH Subheading] OR "epidemiology"[All Fields] OR "incidence"[All Fields] OR "incidence"[MeSH Terms] OR "incidences"[All Fields] OR "incident"[All Fields] OR "incidents"[All Fields]) OR ("epidemiology"[MeSH Subheading] OR "epidemiology"[All Fields] OR "frequency"[All Fields] OR "epidemiology"[MeSH Terms] OR "</w:t>
            </w:r>
            <w:proofErr w:type="spellStart"/>
            <w:r w:rsidRPr="009B3512">
              <w:rPr>
                <w:rFonts w:ascii="Arial" w:hAnsi="Arial" w:cs="Arial"/>
                <w:lang w:val="en-US"/>
              </w:rPr>
              <w:t>frequence</w:t>
            </w:r>
            <w:proofErr w:type="spellEnd"/>
            <w:r w:rsidRPr="009B3512">
              <w:rPr>
                <w:rFonts w:ascii="Arial" w:hAnsi="Arial" w:cs="Arial"/>
                <w:lang w:val="en-US"/>
              </w:rPr>
              <w:t>"[All Fields] OR "</w:t>
            </w:r>
            <w:proofErr w:type="spellStart"/>
            <w:r w:rsidRPr="009B3512">
              <w:rPr>
                <w:rFonts w:ascii="Arial" w:hAnsi="Arial" w:cs="Arial"/>
                <w:lang w:val="en-US"/>
              </w:rPr>
              <w:t>frequences</w:t>
            </w:r>
            <w:proofErr w:type="spellEnd"/>
            <w:r w:rsidRPr="009B3512">
              <w:rPr>
                <w:rFonts w:ascii="Arial" w:hAnsi="Arial" w:cs="Arial"/>
                <w:lang w:val="en-US"/>
              </w:rPr>
              <w:t xml:space="preserve">"[All Fields] OR "frequencies"[All Fields]) OR ("risk"[MeSH Terms] OR "risk"[All Fields]) OR ("j </w:t>
            </w:r>
            <w:proofErr w:type="spellStart"/>
            <w:r w:rsidRPr="009B3512">
              <w:rPr>
                <w:rFonts w:ascii="Arial" w:hAnsi="Arial" w:cs="Arial"/>
                <w:lang w:val="en-US"/>
              </w:rPr>
              <w:t>rehabil</w:t>
            </w:r>
            <w:proofErr w:type="spellEnd"/>
            <w:r w:rsidRPr="009B3512">
              <w:rPr>
                <w:rFonts w:ascii="Arial" w:hAnsi="Arial" w:cs="Arial"/>
                <w:lang w:val="en-US"/>
              </w:rPr>
              <w:t xml:space="preserve"> assist technol </w:t>
            </w:r>
            <w:proofErr w:type="spellStart"/>
            <w:r w:rsidRPr="009B3512">
              <w:rPr>
                <w:rFonts w:ascii="Arial" w:hAnsi="Arial" w:cs="Arial"/>
                <w:lang w:val="en-US"/>
              </w:rPr>
              <w:t>eng</w:t>
            </w:r>
            <w:proofErr w:type="spellEnd"/>
            <w:r w:rsidRPr="009B3512">
              <w:rPr>
                <w:rFonts w:ascii="Arial" w:hAnsi="Arial" w:cs="Arial"/>
                <w:lang w:val="en-US"/>
              </w:rPr>
              <w:t xml:space="preserve">"[Journal] OR "rate"[All Fields]) OR ("proportion"[All Fields] OR "proportions"[All Fields]) OR (("cases public health </w:t>
            </w:r>
            <w:proofErr w:type="spellStart"/>
            <w:r w:rsidRPr="009B3512">
              <w:rPr>
                <w:rFonts w:ascii="Arial" w:hAnsi="Arial" w:cs="Arial"/>
                <w:lang w:val="en-US"/>
              </w:rPr>
              <w:t>commun</w:t>
            </w:r>
            <w:proofErr w:type="spellEnd"/>
            <w:r w:rsidRPr="009B3512">
              <w:rPr>
                <w:rFonts w:ascii="Arial" w:hAnsi="Arial" w:cs="Arial"/>
                <w:lang w:val="en-US"/>
              </w:rPr>
              <w:t xml:space="preserve"> mark"[Journal] OR "cases"[All Fields]) AND ("number"[All Fields] OR "numbers"[All Fields])) OR ("epidemiology"[MeSH Subheading] OR "epidemiology"[All Fields] OR "morbidity"[All Fields] OR "morbidity"[MeSH Terms] OR "morbid"[All Fields] OR "morbidities"[All Fields] OR "</w:t>
            </w:r>
            <w:proofErr w:type="spellStart"/>
            <w:r w:rsidRPr="009B3512">
              <w:rPr>
                <w:rFonts w:ascii="Arial" w:hAnsi="Arial" w:cs="Arial"/>
                <w:lang w:val="en-US"/>
              </w:rPr>
              <w:t>morbids</w:t>
            </w:r>
            <w:proofErr w:type="spellEnd"/>
            <w:r w:rsidRPr="009B3512">
              <w:rPr>
                <w:rFonts w:ascii="Arial" w:hAnsi="Arial" w:cs="Arial"/>
                <w:lang w:val="en-US"/>
              </w:rPr>
              <w:t xml:space="preserve">"[All Fields]) OR ("mortality"[MeSH Terms] OR "mortality"[All Fields] OR "mortalities"[All Fields] OR "mortality"[MeSH Subheading]) OR (("mortality"[MeSH Terms] OR "mortality"[All Fields] OR </w:t>
            </w:r>
            <w:r w:rsidRPr="009B3512">
              <w:rPr>
                <w:rFonts w:ascii="Arial" w:hAnsi="Arial" w:cs="Arial"/>
                <w:lang w:val="en-US"/>
              </w:rPr>
              <w:lastRenderedPageBreak/>
              <w:t>"mortalities"[All Fields] OR "mortality"[MeSH Subheading]) AND ("risk"[MeSH Terms] OR "risk"[All Fields])) OR ("mortality"[MeSH Terms] OR "mortality"[All Fields] OR ("mortality"[All Fields] AND "rate"[All Fields]) OR "mortality rate"[All Fields]) OR ("fatal"[All Fields] OR "fatalities"[All Fields] OR "fatality"[All Fields] OR "fatally"[All Fields]) OR ("comorbid"[All Fields] OR "comorbidity"[MeSH Terms] OR "comorbidity"[All Fields] OR "comorbidities"[All Fields] OR "</w:t>
            </w:r>
            <w:proofErr w:type="spellStart"/>
            <w:r w:rsidRPr="009B3512">
              <w:rPr>
                <w:rFonts w:ascii="Arial" w:hAnsi="Arial" w:cs="Arial"/>
                <w:lang w:val="en-US"/>
              </w:rPr>
              <w:t>comorbids</w:t>
            </w:r>
            <w:proofErr w:type="spellEnd"/>
            <w:r w:rsidRPr="009B3512">
              <w:rPr>
                <w:rFonts w:ascii="Arial" w:hAnsi="Arial" w:cs="Arial"/>
                <w:lang w:val="en-US"/>
              </w:rPr>
              <w:t>"[All Fields])) AND ("</w:t>
            </w:r>
            <w:proofErr w:type="spellStart"/>
            <w:r w:rsidRPr="009B3512">
              <w:rPr>
                <w:rFonts w:ascii="Arial" w:hAnsi="Arial" w:cs="Arial"/>
                <w:lang w:val="en-US"/>
              </w:rPr>
              <w:t>colombia</w:t>
            </w:r>
            <w:proofErr w:type="spellEnd"/>
            <w:r w:rsidRPr="009B3512">
              <w:rPr>
                <w:rFonts w:ascii="Arial" w:hAnsi="Arial" w:cs="Arial"/>
                <w:lang w:val="en-US"/>
              </w:rPr>
              <w:t>"[MeSH Terms] OR "</w:t>
            </w:r>
            <w:proofErr w:type="spellStart"/>
            <w:r w:rsidRPr="009B3512">
              <w:rPr>
                <w:rFonts w:ascii="Arial" w:hAnsi="Arial" w:cs="Arial"/>
                <w:lang w:val="en-US"/>
              </w:rPr>
              <w:t>colombia</w:t>
            </w:r>
            <w:proofErr w:type="spellEnd"/>
            <w:r w:rsidRPr="009B3512">
              <w:rPr>
                <w:rFonts w:ascii="Arial" w:hAnsi="Arial" w:cs="Arial"/>
                <w:lang w:val="en-US"/>
              </w:rPr>
              <w:t>"[All Fields] OR "</w:t>
            </w:r>
            <w:proofErr w:type="spellStart"/>
            <w:r w:rsidRPr="009B3512">
              <w:rPr>
                <w:rFonts w:ascii="Arial" w:hAnsi="Arial" w:cs="Arial"/>
                <w:lang w:val="en-US"/>
              </w:rPr>
              <w:t>colombia</w:t>
            </w:r>
            <w:proofErr w:type="spellEnd"/>
            <w:r w:rsidRPr="009B3512">
              <w:rPr>
                <w:rFonts w:ascii="Arial" w:hAnsi="Arial" w:cs="Arial"/>
                <w:lang w:val="en-US"/>
              </w:rPr>
              <w:t xml:space="preserve"> s"[All Fields]) AND 1993/01/01:2021/12/31[Date - Publication] AND ("insurance, health"[MeSH Terms] OR ("insurance"[All Fields] AND "health"[All Fields]) OR "health insurance"[All Fields] OR ("health"[All Fields] AND "insurance"[All Fields])) : 170</w:t>
            </w:r>
          </w:p>
          <w:p w14:paraId="3F116B2B" w14:textId="77777777" w:rsidR="00E64E2F" w:rsidRPr="009B3512" w:rsidRDefault="00E64E2F" w:rsidP="00E330BA">
            <w:pPr>
              <w:numPr>
                <w:ilvl w:val="0"/>
                <w:numId w:val="1"/>
              </w:numPr>
              <w:rPr>
                <w:rFonts w:ascii="Arial" w:hAnsi="Arial" w:cs="Arial"/>
                <w:lang w:val="en-US"/>
              </w:rPr>
            </w:pPr>
            <w:r w:rsidRPr="009B3512">
              <w:rPr>
                <w:rFonts w:ascii="Arial" w:hAnsi="Arial" w:cs="Arial"/>
                <w:lang w:val="en-US"/>
              </w:rPr>
              <w:t>(("</w:t>
            </w:r>
            <w:proofErr w:type="spellStart"/>
            <w:r w:rsidRPr="009B3512">
              <w:rPr>
                <w:rFonts w:ascii="Arial" w:hAnsi="Arial" w:cs="Arial"/>
                <w:lang w:val="en-US"/>
              </w:rPr>
              <w:t>epidemiolog</w:t>
            </w:r>
            <w:proofErr w:type="spellEnd"/>
            <w:r w:rsidRPr="009B3512">
              <w:rPr>
                <w:rFonts w:ascii="Arial" w:hAnsi="Arial" w:cs="Arial"/>
                <w:lang w:val="en-US"/>
              </w:rPr>
              <w:t>*"[Title/Abstract] OR "disease"[Title/Abstract]) AND "</w:t>
            </w:r>
            <w:proofErr w:type="spellStart"/>
            <w:r w:rsidRPr="009B3512">
              <w:rPr>
                <w:rFonts w:ascii="Arial" w:hAnsi="Arial" w:cs="Arial"/>
                <w:lang w:val="en-US"/>
              </w:rPr>
              <w:t>colombia</w:t>
            </w:r>
            <w:proofErr w:type="spellEnd"/>
            <w:r w:rsidRPr="009B3512">
              <w:rPr>
                <w:rFonts w:ascii="Arial" w:hAnsi="Arial" w:cs="Arial"/>
                <w:lang w:val="en-US"/>
              </w:rPr>
              <w:t>"[Title/Abstract]) AND (1993:2021[</w:t>
            </w:r>
            <w:proofErr w:type="spellStart"/>
            <w:r w:rsidRPr="009B3512">
              <w:rPr>
                <w:rFonts w:ascii="Arial" w:hAnsi="Arial" w:cs="Arial"/>
                <w:lang w:val="en-US"/>
              </w:rPr>
              <w:t>pdat</w:t>
            </w:r>
            <w:proofErr w:type="spellEnd"/>
            <w:r w:rsidRPr="009B3512">
              <w:rPr>
                <w:rFonts w:ascii="Arial" w:hAnsi="Arial" w:cs="Arial"/>
                <w:lang w:val="en-US"/>
              </w:rPr>
              <w:t>]):  3358</w:t>
            </w:r>
          </w:p>
          <w:p w14:paraId="1A491ACD" w14:textId="77777777" w:rsidR="00E64E2F" w:rsidRPr="009B3512" w:rsidRDefault="00E64E2F" w:rsidP="00E330BA">
            <w:pPr>
              <w:numPr>
                <w:ilvl w:val="0"/>
                <w:numId w:val="1"/>
              </w:numPr>
              <w:rPr>
                <w:rFonts w:ascii="Arial" w:hAnsi="Arial" w:cs="Arial"/>
                <w:lang w:val="en-US"/>
              </w:rPr>
            </w:pPr>
            <w:r w:rsidRPr="009B3512">
              <w:rPr>
                <w:rFonts w:ascii="Arial" w:hAnsi="Arial" w:cs="Arial"/>
                <w:lang w:val="en-US"/>
              </w:rPr>
              <w:t xml:space="preserve">((Epidemiology or epidemiology profile or disease or diseases or regimens or burden or condition or Morbidity or mortality or mortality risk or mortality rate or fatality or comorbidity or (death or mortality or morbidity or case fatality rate* or case fatality ratio* or fatality rate* or case fatality risk* or severity or severe or lethality or </w:t>
            </w:r>
            <w:proofErr w:type="spellStart"/>
            <w:r w:rsidRPr="009B3512">
              <w:rPr>
                <w:rFonts w:ascii="Arial" w:hAnsi="Arial" w:cs="Arial"/>
                <w:lang w:val="en-US"/>
              </w:rPr>
              <w:t>hospitali#ation</w:t>
            </w:r>
            <w:proofErr w:type="spellEnd"/>
            <w:r w:rsidRPr="009B3512">
              <w:rPr>
                <w:rFonts w:ascii="Arial" w:hAnsi="Arial" w:cs="Arial"/>
                <w:lang w:val="en-US"/>
              </w:rPr>
              <w:t xml:space="preserve"> rate*)) and (health insurance or subsidized or subsidized health insurance scheme) and </w:t>
            </w:r>
            <w:proofErr w:type="spellStart"/>
            <w:r w:rsidRPr="009B3512">
              <w:rPr>
                <w:rFonts w:ascii="Arial" w:hAnsi="Arial" w:cs="Arial"/>
                <w:lang w:val="en-US"/>
              </w:rPr>
              <w:t>colombia</w:t>
            </w:r>
            <w:proofErr w:type="spellEnd"/>
            <w:r w:rsidRPr="009B3512">
              <w:rPr>
                <w:rFonts w:ascii="Arial" w:hAnsi="Arial" w:cs="Arial"/>
                <w:lang w:val="en-US"/>
              </w:rPr>
              <w:t>): 145</w:t>
            </w:r>
          </w:p>
          <w:p w14:paraId="0195FD93" w14:textId="77777777" w:rsidR="00E64E2F" w:rsidRPr="009B3512" w:rsidRDefault="00E64E2F" w:rsidP="00E330BA">
            <w:pPr>
              <w:numPr>
                <w:ilvl w:val="0"/>
                <w:numId w:val="1"/>
              </w:numPr>
              <w:rPr>
                <w:rFonts w:ascii="Arial" w:hAnsi="Arial" w:cs="Arial"/>
                <w:lang w:val="en-US"/>
              </w:rPr>
            </w:pPr>
            <w:r w:rsidRPr="009B3512">
              <w:rPr>
                <w:rFonts w:ascii="Arial" w:hAnsi="Arial" w:cs="Arial"/>
                <w:lang w:val="en-US"/>
              </w:rPr>
              <w:t>(</w:t>
            </w:r>
            <w:proofErr w:type="gramStart"/>
            <w:r w:rsidRPr="009B3512">
              <w:rPr>
                <w:rFonts w:ascii="Arial" w:hAnsi="Arial" w:cs="Arial"/>
                <w:lang w:val="en-US"/>
              </w:rPr>
              <w:t>health</w:t>
            </w:r>
            <w:proofErr w:type="gramEnd"/>
            <w:r w:rsidRPr="009B3512">
              <w:rPr>
                <w:rFonts w:ascii="Arial" w:hAnsi="Arial" w:cs="Arial"/>
                <w:lang w:val="en-US"/>
              </w:rPr>
              <w:t xml:space="preserve"> insurance or subsidized or subsidized health insurance scheme).</w:t>
            </w:r>
            <w:proofErr w:type="spellStart"/>
            <w:r w:rsidRPr="009B3512">
              <w:rPr>
                <w:rFonts w:ascii="Arial" w:hAnsi="Arial" w:cs="Arial"/>
                <w:lang w:val="en-US"/>
              </w:rPr>
              <w:t>af</w:t>
            </w:r>
            <w:proofErr w:type="spellEnd"/>
            <w:r w:rsidRPr="009B3512">
              <w:rPr>
                <w:rFonts w:ascii="Arial" w:hAnsi="Arial" w:cs="Arial"/>
                <w:lang w:val="en-US"/>
              </w:rPr>
              <w:t>. AND colombia.af. AND epidemiology.af.: 80</w:t>
            </w:r>
          </w:p>
          <w:p w14:paraId="722D8E5F" w14:textId="77777777" w:rsidR="00E64E2F" w:rsidRPr="009B3512" w:rsidRDefault="00E64E2F" w:rsidP="00E330BA">
            <w:pPr>
              <w:numPr>
                <w:ilvl w:val="0"/>
                <w:numId w:val="1"/>
              </w:numPr>
              <w:rPr>
                <w:rFonts w:ascii="Arial" w:hAnsi="Arial" w:cs="Arial"/>
                <w:lang w:val="en-US"/>
              </w:rPr>
            </w:pPr>
            <w:r w:rsidRPr="009B3512">
              <w:rPr>
                <w:rFonts w:ascii="Arial" w:hAnsi="Arial" w:cs="Arial"/>
                <w:lang w:val="en-US"/>
              </w:rPr>
              <w:t xml:space="preserve">((Epidemiology or epidemiology profile or disease or diseases or regimens or burden or condition or Morbidity or mortality or mortality risk or mortality rate or fatality or comorbidity or (death or mortality or morbidity or case fatality </w:t>
            </w:r>
            <w:r w:rsidRPr="009B3512">
              <w:rPr>
                <w:rFonts w:ascii="Arial" w:hAnsi="Arial" w:cs="Arial"/>
                <w:lang w:val="en-US"/>
              </w:rPr>
              <w:lastRenderedPageBreak/>
              <w:t xml:space="preserve">rate* or case fatality ratio* or fatality rate* or case fatality risk* or severity or severe or lethality or </w:t>
            </w:r>
            <w:proofErr w:type="spellStart"/>
            <w:r w:rsidRPr="009B3512">
              <w:rPr>
                <w:rFonts w:ascii="Arial" w:hAnsi="Arial" w:cs="Arial"/>
                <w:lang w:val="en-US"/>
              </w:rPr>
              <w:t>hospitali#ation</w:t>
            </w:r>
            <w:proofErr w:type="spellEnd"/>
            <w:r w:rsidRPr="009B3512">
              <w:rPr>
                <w:rFonts w:ascii="Arial" w:hAnsi="Arial" w:cs="Arial"/>
                <w:lang w:val="en-US"/>
              </w:rPr>
              <w:t xml:space="preserve"> rate*)) and (health insurance or subsidized or subsidized health insurance scheme) and </w:t>
            </w:r>
            <w:proofErr w:type="spellStart"/>
            <w:r w:rsidRPr="009B3512">
              <w:rPr>
                <w:rFonts w:ascii="Arial" w:hAnsi="Arial" w:cs="Arial"/>
                <w:lang w:val="en-US"/>
              </w:rPr>
              <w:t>colombia</w:t>
            </w:r>
            <w:proofErr w:type="spellEnd"/>
            <w:r w:rsidRPr="009B3512">
              <w:rPr>
                <w:rFonts w:ascii="Arial" w:hAnsi="Arial" w:cs="Arial"/>
                <w:lang w:val="en-US"/>
              </w:rPr>
              <w:t>).</w:t>
            </w:r>
            <w:proofErr w:type="spellStart"/>
            <w:r w:rsidRPr="009B3512">
              <w:rPr>
                <w:rFonts w:ascii="Arial" w:hAnsi="Arial" w:cs="Arial"/>
                <w:lang w:val="en-US"/>
              </w:rPr>
              <w:t>af</w:t>
            </w:r>
            <w:proofErr w:type="spellEnd"/>
            <w:r w:rsidRPr="009B3512">
              <w:rPr>
                <w:rFonts w:ascii="Arial" w:hAnsi="Arial" w:cs="Arial"/>
                <w:lang w:val="en-US"/>
              </w:rPr>
              <w:t>.: 465</w:t>
            </w:r>
          </w:p>
          <w:p w14:paraId="58BBC587" w14:textId="77777777" w:rsidR="00E64E2F" w:rsidRPr="009B3512" w:rsidRDefault="00E64E2F" w:rsidP="00E330BA">
            <w:pPr>
              <w:numPr>
                <w:ilvl w:val="0"/>
                <w:numId w:val="1"/>
              </w:numPr>
              <w:rPr>
                <w:rFonts w:ascii="Arial" w:hAnsi="Arial" w:cs="Arial"/>
                <w:lang w:val="en-US"/>
              </w:rPr>
            </w:pPr>
            <w:r w:rsidRPr="009B3512">
              <w:rPr>
                <w:rFonts w:ascii="Arial" w:hAnsi="Arial" w:cs="Arial"/>
                <w:lang w:val="en-US"/>
              </w:rPr>
              <w:t>(</w:t>
            </w:r>
            <w:proofErr w:type="gramStart"/>
            <w:r w:rsidRPr="009B3512">
              <w:rPr>
                <w:rFonts w:ascii="Arial" w:hAnsi="Arial" w:cs="Arial"/>
                <w:lang w:val="en-US"/>
              </w:rPr>
              <w:t>health</w:t>
            </w:r>
            <w:proofErr w:type="gramEnd"/>
            <w:r w:rsidRPr="009B3512">
              <w:rPr>
                <w:rFonts w:ascii="Arial" w:hAnsi="Arial" w:cs="Arial"/>
                <w:lang w:val="en-US"/>
              </w:rPr>
              <w:t xml:space="preserve"> insurance or subsidized or subsidized health insurance scheme).</w:t>
            </w:r>
            <w:proofErr w:type="spellStart"/>
            <w:r w:rsidRPr="009B3512">
              <w:rPr>
                <w:rFonts w:ascii="Arial" w:hAnsi="Arial" w:cs="Arial"/>
                <w:lang w:val="en-US"/>
              </w:rPr>
              <w:t>af</w:t>
            </w:r>
            <w:proofErr w:type="spellEnd"/>
            <w:r w:rsidRPr="009B3512">
              <w:rPr>
                <w:rFonts w:ascii="Arial" w:hAnsi="Arial" w:cs="Arial"/>
                <w:lang w:val="en-US"/>
              </w:rPr>
              <w:t xml:space="preserve">. AND colombia.af.: 677 </w:t>
            </w:r>
          </w:p>
          <w:p w14:paraId="3695AA87" w14:textId="77777777" w:rsidR="00E64E2F" w:rsidRPr="009B3512" w:rsidRDefault="00E64E2F" w:rsidP="00E330BA">
            <w:pPr>
              <w:rPr>
                <w:rFonts w:ascii="Arial" w:hAnsi="Arial" w:cs="Arial"/>
                <w:lang w:val="en-US"/>
              </w:rPr>
            </w:pPr>
          </w:p>
        </w:tc>
      </w:tr>
      <w:tr w:rsidR="003A06FF" w:rsidRPr="009B3512" w14:paraId="1A2F8F3C" w14:textId="77777777" w:rsidTr="003A06FF">
        <w:trPr>
          <w:trHeight w:val="60"/>
          <w:jc w:val="center"/>
        </w:trPr>
        <w:tc>
          <w:tcPr>
            <w:tcW w:w="3539" w:type="dxa"/>
            <w:shd w:val="clear" w:color="auto" w:fill="auto"/>
          </w:tcPr>
          <w:p w14:paraId="0F774A8B" w14:textId="66A7664A" w:rsidR="00E64E2F" w:rsidRPr="009B3512" w:rsidRDefault="00E64E2F" w:rsidP="00E330BA">
            <w:pPr>
              <w:rPr>
                <w:rFonts w:ascii="Arial" w:hAnsi="Arial" w:cs="Arial"/>
                <w:lang w:val="en-US"/>
              </w:rPr>
            </w:pPr>
            <w:r w:rsidRPr="009B3512">
              <w:rPr>
                <w:rFonts w:ascii="Arial" w:hAnsi="Arial" w:cs="Arial"/>
                <w:lang w:val="en-US"/>
              </w:rPr>
              <w:lastRenderedPageBreak/>
              <w:t xml:space="preserve">Identified references </w:t>
            </w:r>
          </w:p>
        </w:tc>
        <w:tc>
          <w:tcPr>
            <w:tcW w:w="5289" w:type="dxa"/>
            <w:shd w:val="clear" w:color="auto" w:fill="auto"/>
          </w:tcPr>
          <w:p w14:paraId="6E737595" w14:textId="77777777" w:rsidR="00E64E2F" w:rsidRPr="009B3512" w:rsidRDefault="00E64E2F" w:rsidP="00E330BA">
            <w:pPr>
              <w:rPr>
                <w:rFonts w:ascii="Arial" w:hAnsi="Arial" w:cs="Arial"/>
                <w:lang w:val="en-US"/>
              </w:rPr>
            </w:pPr>
            <w:r w:rsidRPr="009B3512">
              <w:rPr>
                <w:rFonts w:ascii="Arial" w:hAnsi="Arial" w:cs="Arial"/>
                <w:lang w:val="en-US"/>
              </w:rPr>
              <w:t>Total MEDLINE via PubMed: 3528</w:t>
            </w:r>
          </w:p>
          <w:p w14:paraId="5E72D315" w14:textId="77777777" w:rsidR="00E64E2F" w:rsidRPr="009B3512" w:rsidRDefault="00E64E2F" w:rsidP="00E330BA">
            <w:pPr>
              <w:rPr>
                <w:rFonts w:ascii="Arial" w:hAnsi="Arial" w:cs="Arial"/>
                <w:lang w:val="en-US"/>
              </w:rPr>
            </w:pPr>
            <w:r w:rsidRPr="009B3512">
              <w:rPr>
                <w:rFonts w:ascii="Arial" w:hAnsi="Arial" w:cs="Arial"/>
                <w:lang w:val="en-US"/>
              </w:rPr>
              <w:t>Total MEDLINE via OVID: 225</w:t>
            </w:r>
          </w:p>
          <w:p w14:paraId="7618B381" w14:textId="77777777" w:rsidR="00E64E2F" w:rsidRPr="009B3512" w:rsidRDefault="00E64E2F" w:rsidP="00E330BA">
            <w:pPr>
              <w:rPr>
                <w:rFonts w:ascii="Arial" w:hAnsi="Arial" w:cs="Arial"/>
                <w:lang w:val="en-US"/>
              </w:rPr>
            </w:pPr>
            <w:r w:rsidRPr="009B3512">
              <w:rPr>
                <w:rFonts w:ascii="Arial" w:hAnsi="Arial" w:cs="Arial"/>
                <w:lang w:val="en-US"/>
              </w:rPr>
              <w:t>Total EMBASE: 1142</w:t>
            </w:r>
          </w:p>
          <w:p w14:paraId="2CAB44C4" w14:textId="77777777" w:rsidR="00E64E2F" w:rsidRPr="009B3512" w:rsidRDefault="00E64E2F" w:rsidP="00E330BA">
            <w:pPr>
              <w:rPr>
                <w:rFonts w:ascii="Arial" w:hAnsi="Arial" w:cs="Arial"/>
                <w:lang w:val="en-US"/>
              </w:rPr>
            </w:pPr>
            <w:r w:rsidRPr="009B3512">
              <w:rPr>
                <w:rFonts w:ascii="Arial" w:hAnsi="Arial" w:cs="Arial"/>
                <w:lang w:val="en-US"/>
              </w:rPr>
              <w:t>Total: 4895</w:t>
            </w:r>
          </w:p>
          <w:p w14:paraId="4179D211" w14:textId="6606FB82" w:rsidR="00E64E2F" w:rsidRPr="009B3512" w:rsidRDefault="00E64E2F" w:rsidP="00E330BA">
            <w:pPr>
              <w:rPr>
                <w:rFonts w:ascii="Arial" w:hAnsi="Arial" w:cs="Arial"/>
                <w:lang w:val="en-US"/>
              </w:rPr>
            </w:pPr>
            <w:r w:rsidRPr="009B3512">
              <w:rPr>
                <w:rFonts w:ascii="Arial" w:hAnsi="Arial" w:cs="Arial"/>
                <w:lang w:val="en-US"/>
              </w:rPr>
              <w:t>Total duplicates: 529</w:t>
            </w:r>
          </w:p>
          <w:p w14:paraId="797CBF39" w14:textId="17ACB42B" w:rsidR="00E64E2F" w:rsidRPr="009B3512" w:rsidRDefault="00E64E2F" w:rsidP="00E330BA">
            <w:pPr>
              <w:rPr>
                <w:rFonts w:ascii="Arial" w:hAnsi="Arial" w:cs="Arial"/>
                <w:lang w:val="en-US"/>
              </w:rPr>
            </w:pPr>
            <w:r w:rsidRPr="009B3512">
              <w:rPr>
                <w:rFonts w:ascii="Arial" w:hAnsi="Arial" w:cs="Arial"/>
                <w:lang w:val="en-US"/>
              </w:rPr>
              <w:t xml:space="preserve">Total evaluated by title and </w:t>
            </w:r>
            <w:proofErr w:type="spellStart"/>
            <w:r w:rsidRPr="009B3512">
              <w:rPr>
                <w:rFonts w:ascii="Arial" w:hAnsi="Arial" w:cs="Arial"/>
                <w:lang w:val="en-US"/>
              </w:rPr>
              <w:t>abastract</w:t>
            </w:r>
            <w:proofErr w:type="spellEnd"/>
            <w:r w:rsidRPr="009B3512">
              <w:rPr>
                <w:rFonts w:ascii="Arial" w:hAnsi="Arial" w:cs="Arial"/>
                <w:lang w:val="en-US"/>
              </w:rPr>
              <w:t>: 4366</w:t>
            </w:r>
          </w:p>
          <w:p w14:paraId="41C0E0DF" w14:textId="618CD79F" w:rsidR="00E64E2F" w:rsidRPr="009B3512" w:rsidRDefault="00E64E2F" w:rsidP="00E330BA">
            <w:pPr>
              <w:rPr>
                <w:rFonts w:ascii="Arial" w:hAnsi="Arial" w:cs="Arial"/>
                <w:lang w:val="en-US"/>
              </w:rPr>
            </w:pPr>
            <w:r w:rsidRPr="009B3512">
              <w:rPr>
                <w:rFonts w:ascii="Arial" w:hAnsi="Arial" w:cs="Arial"/>
                <w:lang w:val="en-US"/>
              </w:rPr>
              <w:t>Exclusion by title and abstract: 4186</w:t>
            </w:r>
          </w:p>
          <w:p w14:paraId="1F7FABE5" w14:textId="2DBE51BD" w:rsidR="00E64E2F" w:rsidRPr="009B3512" w:rsidRDefault="00E64E2F" w:rsidP="00E330BA">
            <w:pPr>
              <w:rPr>
                <w:rFonts w:ascii="Arial" w:hAnsi="Arial" w:cs="Arial"/>
                <w:lang w:val="en-US"/>
              </w:rPr>
            </w:pPr>
            <w:r w:rsidRPr="009B3512">
              <w:rPr>
                <w:rFonts w:ascii="Arial" w:hAnsi="Arial" w:cs="Arial"/>
                <w:lang w:val="en-US"/>
              </w:rPr>
              <w:t>Full text screening: 180</w:t>
            </w:r>
          </w:p>
          <w:p w14:paraId="6C4BA625" w14:textId="77777777" w:rsidR="00E64E2F" w:rsidRPr="009B3512" w:rsidRDefault="00E64E2F" w:rsidP="00E330BA">
            <w:pPr>
              <w:rPr>
                <w:rFonts w:ascii="Arial" w:hAnsi="Arial" w:cs="Arial"/>
                <w:lang w:val="en-US"/>
              </w:rPr>
            </w:pPr>
            <w:r w:rsidRPr="009B3512">
              <w:rPr>
                <w:rFonts w:ascii="Arial" w:hAnsi="Arial" w:cs="Arial"/>
                <w:lang w:val="en-US"/>
              </w:rPr>
              <w:t>Excluded in full text screening: 138</w:t>
            </w:r>
          </w:p>
          <w:p w14:paraId="0C42CFC4" w14:textId="1E375508" w:rsidR="00E64E2F" w:rsidRPr="009B3512" w:rsidRDefault="00E64E2F" w:rsidP="00E330BA">
            <w:pPr>
              <w:rPr>
                <w:rFonts w:ascii="Arial" w:hAnsi="Arial" w:cs="Arial"/>
                <w:lang w:val="en-US"/>
              </w:rPr>
            </w:pPr>
            <w:r w:rsidRPr="009B3512">
              <w:rPr>
                <w:rFonts w:ascii="Arial" w:hAnsi="Arial" w:cs="Arial"/>
                <w:lang w:val="en-US"/>
              </w:rPr>
              <w:t>Included: 42</w:t>
            </w:r>
          </w:p>
          <w:p w14:paraId="7A2936FD" w14:textId="77777777" w:rsidR="00E64E2F" w:rsidRPr="009B3512" w:rsidRDefault="00E64E2F" w:rsidP="00E330BA">
            <w:pPr>
              <w:rPr>
                <w:rFonts w:ascii="Arial" w:hAnsi="Arial" w:cs="Arial"/>
                <w:lang w:val="en-US"/>
              </w:rPr>
            </w:pPr>
          </w:p>
        </w:tc>
      </w:tr>
    </w:tbl>
    <w:p w14:paraId="2D96A613" w14:textId="77777777" w:rsidR="00E64E2F" w:rsidRPr="009B3512" w:rsidRDefault="00E64E2F" w:rsidP="00E64E2F">
      <w:pPr>
        <w:rPr>
          <w:rFonts w:ascii="Arial" w:hAnsi="Arial" w:cs="Arial"/>
          <w:lang w:val="en-US"/>
        </w:rPr>
      </w:pPr>
    </w:p>
    <w:p w14:paraId="076DE000" w14:textId="25BD642D" w:rsidR="00E64E2F" w:rsidRPr="009B3512" w:rsidRDefault="00E64E2F" w:rsidP="00E64E2F">
      <w:pPr>
        <w:rPr>
          <w:rFonts w:ascii="Arial" w:hAnsi="Arial" w:cs="Arial"/>
          <w:lang w:val="en-US"/>
        </w:rPr>
      </w:pPr>
    </w:p>
    <w:p w14:paraId="1D372337" w14:textId="77777777" w:rsidR="00E64E2F" w:rsidRPr="009B3512" w:rsidRDefault="00E64E2F" w:rsidP="00E64E2F">
      <w:pPr>
        <w:rPr>
          <w:rFonts w:ascii="Arial" w:hAnsi="Arial" w:cs="Arial"/>
          <w:lang w:val="en-US"/>
        </w:rPr>
      </w:pPr>
    </w:p>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3A06FF" w:rsidRPr="009B3512" w14:paraId="699FB790" w14:textId="77777777" w:rsidTr="003A06FF">
        <w:trPr>
          <w:trHeight w:val="60"/>
          <w:jc w:val="center"/>
        </w:trPr>
        <w:tc>
          <w:tcPr>
            <w:tcW w:w="3539" w:type="dxa"/>
            <w:shd w:val="clear" w:color="auto" w:fill="auto"/>
          </w:tcPr>
          <w:p w14:paraId="674EA5D5" w14:textId="42BC83E5" w:rsidR="00E64E2F" w:rsidRPr="009B3512" w:rsidRDefault="00E64E2F" w:rsidP="00E64E2F">
            <w:pPr>
              <w:rPr>
                <w:rFonts w:ascii="Arial" w:hAnsi="Arial" w:cs="Arial"/>
                <w:lang w:val="en-US"/>
              </w:rPr>
            </w:pPr>
            <w:r w:rsidRPr="009B3512">
              <w:rPr>
                <w:rFonts w:ascii="Arial" w:hAnsi="Arial" w:cs="Arial"/>
                <w:lang w:val="en-US"/>
              </w:rPr>
              <w:t>Type or search</w:t>
            </w:r>
          </w:p>
        </w:tc>
        <w:tc>
          <w:tcPr>
            <w:tcW w:w="5289" w:type="dxa"/>
            <w:shd w:val="clear" w:color="auto" w:fill="auto"/>
          </w:tcPr>
          <w:p w14:paraId="4F3CC6B4" w14:textId="153EA240" w:rsidR="00E64E2F" w:rsidRPr="009B3512" w:rsidRDefault="009D53A7" w:rsidP="00E64E2F">
            <w:pPr>
              <w:rPr>
                <w:rFonts w:ascii="Arial" w:hAnsi="Arial" w:cs="Arial"/>
                <w:lang w:val="en-US"/>
              </w:rPr>
            </w:pPr>
            <w:r w:rsidRPr="009B3512">
              <w:rPr>
                <w:rFonts w:ascii="Arial" w:hAnsi="Arial" w:cs="Arial"/>
                <w:lang w:val="en-US"/>
              </w:rPr>
              <w:t xml:space="preserve">New </w:t>
            </w:r>
          </w:p>
        </w:tc>
      </w:tr>
      <w:tr w:rsidR="003A06FF" w:rsidRPr="009B3512" w14:paraId="136EAF99" w14:textId="77777777" w:rsidTr="003A06FF">
        <w:trPr>
          <w:trHeight w:val="63"/>
          <w:jc w:val="center"/>
        </w:trPr>
        <w:tc>
          <w:tcPr>
            <w:tcW w:w="3539" w:type="dxa"/>
            <w:shd w:val="clear" w:color="auto" w:fill="auto"/>
          </w:tcPr>
          <w:p w14:paraId="2F51F6CA" w14:textId="4BE4D7B9" w:rsidR="00E64E2F" w:rsidRPr="009B3512" w:rsidRDefault="00E64E2F" w:rsidP="00E64E2F">
            <w:pPr>
              <w:rPr>
                <w:rFonts w:ascii="Arial" w:hAnsi="Arial" w:cs="Arial"/>
                <w:lang w:val="en-US"/>
              </w:rPr>
            </w:pPr>
            <w:r w:rsidRPr="009B3512">
              <w:rPr>
                <w:rFonts w:ascii="Arial" w:hAnsi="Arial" w:cs="Arial"/>
                <w:lang w:val="en-US"/>
              </w:rPr>
              <w:t>Database</w:t>
            </w:r>
          </w:p>
        </w:tc>
        <w:tc>
          <w:tcPr>
            <w:tcW w:w="5289" w:type="dxa"/>
            <w:shd w:val="clear" w:color="auto" w:fill="auto"/>
          </w:tcPr>
          <w:p w14:paraId="7675774D" w14:textId="77777777" w:rsidR="00E64E2F" w:rsidRPr="009B3512" w:rsidRDefault="00E64E2F" w:rsidP="00E64E2F">
            <w:pPr>
              <w:rPr>
                <w:rFonts w:ascii="Arial" w:hAnsi="Arial" w:cs="Arial"/>
                <w:lang w:val="en-US"/>
              </w:rPr>
            </w:pPr>
            <w:r w:rsidRPr="009B3512">
              <w:rPr>
                <w:rFonts w:ascii="Arial" w:hAnsi="Arial" w:cs="Arial"/>
                <w:lang w:val="en-US"/>
              </w:rPr>
              <w:t>LILACS /</w:t>
            </w:r>
            <w:proofErr w:type="spellStart"/>
            <w:r w:rsidRPr="009B3512">
              <w:rPr>
                <w:rFonts w:ascii="Arial" w:hAnsi="Arial" w:cs="Arial"/>
                <w:lang w:val="en-US"/>
              </w:rPr>
              <w:t>Scielo</w:t>
            </w:r>
            <w:proofErr w:type="spellEnd"/>
          </w:p>
        </w:tc>
      </w:tr>
      <w:tr w:rsidR="003A06FF" w:rsidRPr="009B3512" w14:paraId="19E56CFA" w14:textId="77777777" w:rsidTr="003A06FF">
        <w:trPr>
          <w:trHeight w:val="63"/>
          <w:jc w:val="center"/>
        </w:trPr>
        <w:tc>
          <w:tcPr>
            <w:tcW w:w="3539" w:type="dxa"/>
            <w:shd w:val="clear" w:color="auto" w:fill="auto"/>
          </w:tcPr>
          <w:p w14:paraId="18534658" w14:textId="117F65C8" w:rsidR="00E64E2F" w:rsidRPr="009B3512" w:rsidRDefault="003A06FF" w:rsidP="00E64E2F">
            <w:pPr>
              <w:rPr>
                <w:rFonts w:ascii="Arial" w:hAnsi="Arial" w:cs="Arial"/>
                <w:lang w:val="en-US"/>
              </w:rPr>
            </w:pPr>
            <w:r w:rsidRPr="009B3512">
              <w:rPr>
                <w:rFonts w:ascii="Arial" w:hAnsi="Arial" w:cs="Arial"/>
                <w:lang w:val="en-US"/>
              </w:rPr>
              <w:t>Platform</w:t>
            </w:r>
          </w:p>
        </w:tc>
        <w:tc>
          <w:tcPr>
            <w:tcW w:w="5289" w:type="dxa"/>
            <w:shd w:val="clear" w:color="auto" w:fill="auto"/>
          </w:tcPr>
          <w:p w14:paraId="4DBE5591" w14:textId="734A9787" w:rsidR="00E64E2F" w:rsidRPr="009B3512" w:rsidRDefault="009D53A7" w:rsidP="00E64E2F">
            <w:pPr>
              <w:rPr>
                <w:rFonts w:ascii="Arial" w:hAnsi="Arial" w:cs="Arial"/>
                <w:lang w:val="en-US"/>
              </w:rPr>
            </w:pPr>
            <w:r w:rsidRPr="009B3512">
              <w:rPr>
                <w:rFonts w:ascii="Arial" w:hAnsi="Arial" w:cs="Arial"/>
                <w:lang w:val="en-US"/>
              </w:rPr>
              <w:t xml:space="preserve">Website </w:t>
            </w:r>
          </w:p>
        </w:tc>
      </w:tr>
      <w:tr w:rsidR="003A06FF" w:rsidRPr="009B3512" w14:paraId="2F47F010" w14:textId="77777777" w:rsidTr="003A06FF">
        <w:trPr>
          <w:jc w:val="center"/>
        </w:trPr>
        <w:tc>
          <w:tcPr>
            <w:tcW w:w="3539" w:type="dxa"/>
            <w:shd w:val="clear" w:color="auto" w:fill="auto"/>
          </w:tcPr>
          <w:p w14:paraId="1192695F" w14:textId="2E155074" w:rsidR="00E64E2F" w:rsidRPr="009B3512" w:rsidRDefault="00E64E2F" w:rsidP="00E64E2F">
            <w:pPr>
              <w:rPr>
                <w:rFonts w:ascii="Arial" w:hAnsi="Arial" w:cs="Arial"/>
                <w:lang w:val="en-US"/>
              </w:rPr>
            </w:pPr>
            <w:r w:rsidRPr="009B3512">
              <w:rPr>
                <w:rFonts w:ascii="Arial" w:hAnsi="Arial" w:cs="Arial"/>
                <w:lang w:val="en-US"/>
              </w:rPr>
              <w:t>Date</w:t>
            </w:r>
          </w:p>
        </w:tc>
        <w:tc>
          <w:tcPr>
            <w:tcW w:w="5289" w:type="dxa"/>
            <w:shd w:val="clear" w:color="auto" w:fill="auto"/>
          </w:tcPr>
          <w:p w14:paraId="38E11DFB" w14:textId="77777777" w:rsidR="00E64E2F" w:rsidRPr="009B3512" w:rsidRDefault="00E64E2F" w:rsidP="00E64E2F">
            <w:pPr>
              <w:rPr>
                <w:rFonts w:ascii="Arial" w:hAnsi="Arial" w:cs="Arial"/>
                <w:lang w:val="en-US"/>
              </w:rPr>
            </w:pPr>
            <w:r w:rsidRPr="009B3512">
              <w:rPr>
                <w:rFonts w:ascii="Arial" w:hAnsi="Arial" w:cs="Arial"/>
                <w:lang w:val="en-US"/>
              </w:rPr>
              <w:t>24/09/2021</w:t>
            </w:r>
          </w:p>
        </w:tc>
      </w:tr>
      <w:tr w:rsidR="003A06FF" w:rsidRPr="009B3512" w14:paraId="110D3088" w14:textId="77777777" w:rsidTr="003A06FF">
        <w:trPr>
          <w:jc w:val="center"/>
        </w:trPr>
        <w:tc>
          <w:tcPr>
            <w:tcW w:w="3539" w:type="dxa"/>
            <w:shd w:val="clear" w:color="auto" w:fill="auto"/>
          </w:tcPr>
          <w:p w14:paraId="75D17365" w14:textId="0B6B5CFD" w:rsidR="00E64E2F" w:rsidRPr="009B3512" w:rsidRDefault="00E64E2F" w:rsidP="00E64E2F">
            <w:pPr>
              <w:rPr>
                <w:rFonts w:ascii="Arial" w:hAnsi="Arial" w:cs="Arial"/>
                <w:lang w:val="en-US"/>
              </w:rPr>
            </w:pPr>
            <w:r w:rsidRPr="009B3512">
              <w:rPr>
                <w:rFonts w:ascii="Arial" w:hAnsi="Arial" w:cs="Arial"/>
                <w:lang w:val="en-US"/>
              </w:rPr>
              <w:t xml:space="preserve">Time frame </w:t>
            </w:r>
          </w:p>
        </w:tc>
        <w:tc>
          <w:tcPr>
            <w:tcW w:w="5289" w:type="dxa"/>
            <w:shd w:val="clear" w:color="auto" w:fill="auto"/>
          </w:tcPr>
          <w:p w14:paraId="7F44E4DF" w14:textId="77777777" w:rsidR="00E64E2F" w:rsidRPr="009B3512" w:rsidRDefault="00E64E2F" w:rsidP="00E64E2F">
            <w:pPr>
              <w:rPr>
                <w:rFonts w:ascii="Arial" w:hAnsi="Arial" w:cs="Arial"/>
                <w:lang w:val="en-US"/>
              </w:rPr>
            </w:pPr>
            <w:r w:rsidRPr="009B3512">
              <w:rPr>
                <w:rFonts w:ascii="Arial" w:hAnsi="Arial" w:cs="Arial"/>
                <w:lang w:val="en-US"/>
              </w:rPr>
              <w:t>1993-2020</w:t>
            </w:r>
          </w:p>
        </w:tc>
      </w:tr>
      <w:tr w:rsidR="003A06FF" w:rsidRPr="009B3512" w14:paraId="1B0071D3" w14:textId="77777777" w:rsidTr="003A06FF">
        <w:trPr>
          <w:trHeight w:val="63"/>
          <w:jc w:val="center"/>
        </w:trPr>
        <w:tc>
          <w:tcPr>
            <w:tcW w:w="3539" w:type="dxa"/>
            <w:shd w:val="clear" w:color="auto" w:fill="auto"/>
          </w:tcPr>
          <w:p w14:paraId="420B8C13" w14:textId="61373EC5" w:rsidR="00E64E2F" w:rsidRPr="009B3512" w:rsidRDefault="00E64E2F" w:rsidP="00E64E2F">
            <w:pPr>
              <w:rPr>
                <w:rFonts w:ascii="Arial" w:hAnsi="Arial" w:cs="Arial"/>
                <w:lang w:val="en-US"/>
              </w:rPr>
            </w:pPr>
            <w:r w:rsidRPr="009B3512">
              <w:rPr>
                <w:rFonts w:ascii="Arial" w:hAnsi="Arial" w:cs="Arial"/>
                <w:lang w:val="en-US"/>
              </w:rPr>
              <w:t xml:space="preserve">Other restrictions </w:t>
            </w:r>
          </w:p>
        </w:tc>
        <w:tc>
          <w:tcPr>
            <w:tcW w:w="5289" w:type="dxa"/>
            <w:shd w:val="clear" w:color="auto" w:fill="auto"/>
          </w:tcPr>
          <w:p w14:paraId="5009975C" w14:textId="29FA2C08" w:rsidR="00E64E2F" w:rsidRPr="009B3512" w:rsidRDefault="009D53A7" w:rsidP="00E64E2F">
            <w:pPr>
              <w:rPr>
                <w:rFonts w:ascii="Arial" w:hAnsi="Arial" w:cs="Arial"/>
                <w:lang w:val="en-US"/>
              </w:rPr>
            </w:pPr>
            <w:r w:rsidRPr="009B3512">
              <w:rPr>
                <w:rFonts w:ascii="Arial" w:hAnsi="Arial" w:cs="Arial"/>
                <w:lang w:val="en-US"/>
              </w:rPr>
              <w:t xml:space="preserve">None </w:t>
            </w:r>
          </w:p>
        </w:tc>
      </w:tr>
      <w:tr w:rsidR="003A06FF" w:rsidRPr="009B3512" w14:paraId="244262F7" w14:textId="77777777" w:rsidTr="003A06FF">
        <w:trPr>
          <w:jc w:val="center"/>
        </w:trPr>
        <w:tc>
          <w:tcPr>
            <w:tcW w:w="3539" w:type="dxa"/>
            <w:shd w:val="clear" w:color="auto" w:fill="auto"/>
          </w:tcPr>
          <w:p w14:paraId="441F9104" w14:textId="27009778" w:rsidR="00E64E2F" w:rsidRPr="009B3512" w:rsidRDefault="00E64E2F" w:rsidP="00E64E2F">
            <w:pPr>
              <w:rPr>
                <w:rFonts w:ascii="Arial" w:hAnsi="Arial" w:cs="Arial"/>
                <w:lang w:val="en-US"/>
              </w:rPr>
            </w:pPr>
            <w:r w:rsidRPr="009B3512">
              <w:rPr>
                <w:rFonts w:ascii="Arial" w:hAnsi="Arial" w:cs="Arial"/>
                <w:lang w:val="en-US"/>
              </w:rPr>
              <w:t xml:space="preserve">Search strategy </w:t>
            </w:r>
          </w:p>
        </w:tc>
        <w:tc>
          <w:tcPr>
            <w:tcW w:w="5289" w:type="dxa"/>
            <w:shd w:val="clear" w:color="auto" w:fill="auto"/>
          </w:tcPr>
          <w:p w14:paraId="0A0B1475" w14:textId="77777777" w:rsidR="00E64E2F" w:rsidRPr="009B3512" w:rsidRDefault="00E64E2F" w:rsidP="00E64E2F">
            <w:pPr>
              <w:rPr>
                <w:rFonts w:ascii="Arial" w:hAnsi="Arial" w:cs="Arial"/>
                <w:lang w:val="en-US"/>
              </w:rPr>
            </w:pPr>
            <w:proofErr w:type="spellStart"/>
            <w:r w:rsidRPr="009B3512">
              <w:rPr>
                <w:rFonts w:ascii="Arial" w:hAnsi="Arial" w:cs="Arial"/>
                <w:lang w:val="en-US"/>
              </w:rPr>
              <w:t>Scielo</w:t>
            </w:r>
            <w:proofErr w:type="spellEnd"/>
            <w:r w:rsidRPr="009B3512">
              <w:rPr>
                <w:rFonts w:ascii="Arial" w:hAnsi="Arial" w:cs="Arial"/>
                <w:lang w:val="en-US"/>
              </w:rPr>
              <w:t xml:space="preserve">: </w:t>
            </w:r>
          </w:p>
          <w:p w14:paraId="661C8359" w14:textId="77777777" w:rsidR="00E64E2F" w:rsidRPr="009B3512" w:rsidRDefault="00E64E2F" w:rsidP="00E64E2F">
            <w:pPr>
              <w:rPr>
                <w:rFonts w:ascii="Arial" w:hAnsi="Arial" w:cs="Arial"/>
                <w:lang w:val="en-US"/>
              </w:rPr>
            </w:pPr>
            <w:proofErr w:type="spellStart"/>
            <w:r w:rsidRPr="009B3512">
              <w:rPr>
                <w:rFonts w:ascii="Arial" w:hAnsi="Arial" w:cs="Arial"/>
                <w:lang w:val="en-US"/>
              </w:rPr>
              <w:t>Subsidiado</w:t>
            </w:r>
            <w:proofErr w:type="spellEnd"/>
            <w:r w:rsidRPr="009B3512">
              <w:rPr>
                <w:rFonts w:ascii="Arial" w:hAnsi="Arial" w:cs="Arial"/>
                <w:lang w:val="en-US"/>
              </w:rPr>
              <w:t>: 4</w:t>
            </w:r>
          </w:p>
          <w:p w14:paraId="6EE7EC09" w14:textId="77777777" w:rsidR="00E64E2F" w:rsidRPr="009B3512" w:rsidRDefault="00E64E2F" w:rsidP="00E64E2F">
            <w:pPr>
              <w:rPr>
                <w:rFonts w:ascii="Arial" w:hAnsi="Arial" w:cs="Arial"/>
                <w:lang w:val="en-US"/>
              </w:rPr>
            </w:pPr>
          </w:p>
          <w:p w14:paraId="5256F507" w14:textId="77777777" w:rsidR="00E64E2F" w:rsidRPr="009B3512" w:rsidRDefault="00E64E2F" w:rsidP="00E64E2F">
            <w:pPr>
              <w:rPr>
                <w:rFonts w:ascii="Arial" w:hAnsi="Arial" w:cs="Arial"/>
                <w:lang w:val="en-US"/>
              </w:rPr>
            </w:pPr>
            <w:r w:rsidRPr="009B3512">
              <w:rPr>
                <w:rFonts w:ascii="Arial" w:hAnsi="Arial" w:cs="Arial"/>
                <w:lang w:val="en-US"/>
              </w:rPr>
              <w:t xml:space="preserve">LILACS: </w:t>
            </w:r>
          </w:p>
          <w:p w14:paraId="6D02ECC6" w14:textId="77777777" w:rsidR="00E64E2F" w:rsidRPr="009B3512" w:rsidRDefault="00E64E2F" w:rsidP="00E64E2F">
            <w:pPr>
              <w:rPr>
                <w:rFonts w:ascii="Arial" w:hAnsi="Arial" w:cs="Arial"/>
                <w:lang w:val="en-US"/>
              </w:rPr>
            </w:pPr>
            <w:proofErr w:type="spellStart"/>
            <w:r w:rsidRPr="009B3512">
              <w:rPr>
                <w:rFonts w:ascii="Arial" w:hAnsi="Arial" w:cs="Arial"/>
                <w:lang w:val="en-US"/>
              </w:rPr>
              <w:t>Subsidiado</w:t>
            </w:r>
            <w:proofErr w:type="spellEnd"/>
            <w:r w:rsidRPr="009B3512">
              <w:rPr>
                <w:rFonts w:ascii="Arial" w:hAnsi="Arial" w:cs="Arial"/>
                <w:lang w:val="en-US"/>
              </w:rPr>
              <w:t>: 336</w:t>
            </w:r>
          </w:p>
        </w:tc>
      </w:tr>
    </w:tbl>
    <w:p w14:paraId="21DB5B19" w14:textId="77777777" w:rsidR="00E64E2F" w:rsidRPr="009B3512" w:rsidRDefault="00E64E2F" w:rsidP="00E64E2F">
      <w:pPr>
        <w:rPr>
          <w:rFonts w:ascii="Arial" w:hAnsi="Arial" w:cs="Arial"/>
          <w:lang w:val="en-US"/>
        </w:rPr>
      </w:pPr>
    </w:p>
    <w:p w14:paraId="77429EDA" w14:textId="7A4E623E" w:rsidR="00E64E2F" w:rsidRPr="009B3512" w:rsidRDefault="00E64E2F" w:rsidP="00E64E2F">
      <w:pPr>
        <w:rPr>
          <w:rFonts w:ascii="Arial" w:hAnsi="Arial" w:cs="Arial"/>
          <w:b/>
          <w:bCs/>
          <w:lang w:val="en-US"/>
        </w:rPr>
      </w:pPr>
    </w:p>
    <w:p w14:paraId="2C1BEFE4" w14:textId="6779426C" w:rsidR="00316300" w:rsidRPr="009B3512" w:rsidRDefault="00316300" w:rsidP="00E64E2F">
      <w:pPr>
        <w:rPr>
          <w:rFonts w:ascii="Arial" w:hAnsi="Arial" w:cs="Arial"/>
          <w:b/>
          <w:bCs/>
          <w:lang w:val="en-US"/>
        </w:rPr>
      </w:pPr>
      <w:r w:rsidRPr="009B3512">
        <w:rPr>
          <w:rFonts w:ascii="Arial" w:hAnsi="Arial" w:cs="Arial"/>
          <w:b/>
          <w:bCs/>
          <w:lang w:val="en-US"/>
        </w:rPr>
        <w:t xml:space="preserve">Table </w:t>
      </w:r>
      <w:r w:rsidR="0058573D" w:rsidRPr="009B3512">
        <w:rPr>
          <w:rFonts w:ascii="Arial" w:hAnsi="Arial" w:cs="Arial"/>
          <w:b/>
          <w:bCs/>
          <w:lang w:val="en-US"/>
        </w:rPr>
        <w:t>3</w:t>
      </w:r>
      <w:r w:rsidRPr="009B3512">
        <w:rPr>
          <w:rFonts w:ascii="Arial" w:hAnsi="Arial" w:cs="Arial"/>
          <w:b/>
          <w:bCs/>
          <w:lang w:val="en-US"/>
        </w:rPr>
        <w:t xml:space="preserve">. References included </w:t>
      </w:r>
    </w:p>
    <w:p w14:paraId="30C02BD1" w14:textId="575DBF13" w:rsidR="00316300" w:rsidRPr="009B3512" w:rsidRDefault="00316300" w:rsidP="00E64E2F">
      <w:pPr>
        <w:rPr>
          <w:rFonts w:ascii="Arial" w:hAnsi="Arial" w:cs="Arial"/>
          <w:b/>
          <w:bCs/>
          <w:lang w:val="en-US"/>
        </w:rPr>
      </w:pPr>
    </w:p>
    <w:p w14:paraId="4278270D" w14:textId="3F68D28D" w:rsidR="00316300" w:rsidRPr="009B3512" w:rsidRDefault="00316300" w:rsidP="00E64E2F">
      <w:pPr>
        <w:rPr>
          <w:rFonts w:ascii="Arial" w:hAnsi="Arial" w:cs="Arial"/>
          <w:b/>
          <w:bCs/>
          <w:lang w:val="en-US"/>
        </w:rPr>
      </w:pPr>
    </w:p>
    <w:p w14:paraId="33623D58" w14:textId="5AD835CE" w:rsidR="00E10CC6" w:rsidRPr="009B3512" w:rsidRDefault="00E10CC6" w:rsidP="00E64E2F">
      <w:pPr>
        <w:rPr>
          <w:rFonts w:ascii="Arial" w:hAnsi="Arial" w:cs="Arial"/>
          <w:b/>
          <w:bCs/>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3"/>
        <w:gridCol w:w="5189"/>
        <w:gridCol w:w="1548"/>
        <w:gridCol w:w="1676"/>
      </w:tblGrid>
      <w:tr w:rsidR="00E10CC6" w:rsidRPr="009B3512" w14:paraId="7D6E3279" w14:textId="77777777" w:rsidTr="00E10CC6">
        <w:trPr>
          <w:trHeight w:val="780"/>
          <w:jc w:val="center"/>
        </w:trPr>
        <w:tc>
          <w:tcPr>
            <w:tcW w:w="0" w:type="auto"/>
            <w:tcMar>
              <w:top w:w="0" w:type="dxa"/>
              <w:left w:w="108" w:type="dxa"/>
              <w:bottom w:w="0" w:type="dxa"/>
              <w:right w:w="101" w:type="dxa"/>
            </w:tcMar>
            <w:vAlign w:val="center"/>
          </w:tcPr>
          <w:p w14:paraId="6F164597" w14:textId="32F93C9B" w:rsidR="00E10CC6" w:rsidRPr="009B3512" w:rsidRDefault="00E10CC6" w:rsidP="00E10CC6">
            <w:pPr>
              <w:jc w:val="center"/>
              <w:rPr>
                <w:rFonts w:ascii="Arial" w:eastAsia="Times New Roman" w:hAnsi="Arial" w:cs="Arial"/>
                <w:lang w:val="en-CO" w:eastAsia="en-GB"/>
              </w:rPr>
            </w:pPr>
            <w:r w:rsidRPr="009B3512">
              <w:rPr>
                <w:rFonts w:ascii="Arial" w:hAnsi="Arial" w:cs="Arial"/>
                <w:b/>
                <w:bCs/>
              </w:rPr>
              <w:t xml:space="preserve">N° </w:t>
            </w:r>
          </w:p>
        </w:tc>
        <w:tc>
          <w:tcPr>
            <w:tcW w:w="0" w:type="auto"/>
            <w:tcMar>
              <w:top w:w="0" w:type="dxa"/>
              <w:left w:w="108" w:type="dxa"/>
              <w:bottom w:w="0" w:type="dxa"/>
              <w:right w:w="101" w:type="dxa"/>
            </w:tcMar>
            <w:vAlign w:val="center"/>
          </w:tcPr>
          <w:p w14:paraId="4478A445" w14:textId="184C3B24" w:rsidR="00E10CC6" w:rsidRPr="009B3512" w:rsidRDefault="00E10CC6" w:rsidP="00E10CC6">
            <w:pPr>
              <w:jc w:val="center"/>
              <w:rPr>
                <w:rFonts w:ascii="Arial" w:eastAsia="Times New Roman" w:hAnsi="Arial" w:cs="Arial"/>
                <w:lang w:val="en-CO" w:eastAsia="en-GB"/>
              </w:rPr>
            </w:pPr>
            <w:proofErr w:type="spellStart"/>
            <w:r w:rsidRPr="009B3512">
              <w:rPr>
                <w:rFonts w:ascii="Arial" w:hAnsi="Arial" w:cs="Arial"/>
                <w:b/>
                <w:bCs/>
              </w:rPr>
              <w:t>Title</w:t>
            </w:r>
            <w:proofErr w:type="spellEnd"/>
          </w:p>
        </w:tc>
        <w:tc>
          <w:tcPr>
            <w:tcW w:w="0" w:type="auto"/>
            <w:tcMar>
              <w:top w:w="0" w:type="dxa"/>
              <w:left w:w="108" w:type="dxa"/>
              <w:bottom w:w="0" w:type="dxa"/>
              <w:right w:w="101" w:type="dxa"/>
            </w:tcMar>
            <w:vAlign w:val="center"/>
          </w:tcPr>
          <w:p w14:paraId="6342D2FD" w14:textId="44A7E30D" w:rsidR="00E10CC6" w:rsidRPr="009B3512" w:rsidRDefault="00E10CC6" w:rsidP="00E10CC6">
            <w:pPr>
              <w:jc w:val="center"/>
              <w:rPr>
                <w:rFonts w:ascii="Arial" w:eastAsia="Times New Roman" w:hAnsi="Arial" w:cs="Arial"/>
                <w:lang w:val="en-CO" w:eastAsia="en-GB"/>
              </w:rPr>
            </w:pPr>
            <w:proofErr w:type="spellStart"/>
            <w:r w:rsidRPr="009B3512">
              <w:rPr>
                <w:rFonts w:ascii="Arial" w:hAnsi="Arial" w:cs="Arial"/>
                <w:b/>
                <w:bCs/>
              </w:rPr>
              <w:t>Author</w:t>
            </w:r>
            <w:proofErr w:type="spellEnd"/>
            <w:r w:rsidRPr="009B3512">
              <w:rPr>
                <w:rFonts w:ascii="Arial" w:hAnsi="Arial" w:cs="Arial"/>
                <w:b/>
                <w:bCs/>
              </w:rPr>
              <w:t xml:space="preserve">, </w:t>
            </w:r>
            <w:proofErr w:type="spellStart"/>
            <w:r w:rsidRPr="009B3512">
              <w:rPr>
                <w:rFonts w:ascii="Arial" w:hAnsi="Arial" w:cs="Arial"/>
                <w:b/>
                <w:bCs/>
              </w:rPr>
              <w:t>year</w:t>
            </w:r>
            <w:proofErr w:type="spellEnd"/>
            <w:r w:rsidRPr="009B3512">
              <w:rPr>
                <w:rFonts w:ascii="Arial" w:hAnsi="Arial" w:cs="Arial"/>
                <w:b/>
                <w:bCs/>
              </w:rPr>
              <w:t xml:space="preserve"> </w:t>
            </w:r>
          </w:p>
        </w:tc>
        <w:tc>
          <w:tcPr>
            <w:tcW w:w="0" w:type="auto"/>
            <w:vAlign w:val="center"/>
          </w:tcPr>
          <w:p w14:paraId="15A531A5" w14:textId="19F00094" w:rsidR="00E10CC6" w:rsidRPr="009B3512" w:rsidRDefault="00E10CC6" w:rsidP="00E10CC6">
            <w:pPr>
              <w:rPr>
                <w:rFonts w:ascii="Arial" w:eastAsia="Times New Roman" w:hAnsi="Arial" w:cs="Arial"/>
                <w:lang w:val="en-CO" w:eastAsia="en-GB"/>
              </w:rPr>
            </w:pPr>
            <w:proofErr w:type="spellStart"/>
            <w:r w:rsidRPr="009B3512">
              <w:rPr>
                <w:rFonts w:ascii="Arial" w:hAnsi="Arial" w:cs="Arial"/>
                <w:b/>
                <w:bCs/>
              </w:rPr>
              <w:t>Type</w:t>
            </w:r>
            <w:proofErr w:type="spellEnd"/>
            <w:r w:rsidRPr="009B3512">
              <w:rPr>
                <w:rFonts w:ascii="Arial" w:hAnsi="Arial" w:cs="Arial"/>
                <w:b/>
                <w:bCs/>
              </w:rPr>
              <w:t xml:space="preserve"> of </w:t>
            </w:r>
            <w:proofErr w:type="spellStart"/>
            <w:r w:rsidRPr="009B3512">
              <w:rPr>
                <w:rFonts w:ascii="Arial" w:hAnsi="Arial" w:cs="Arial"/>
                <w:b/>
                <w:bCs/>
              </w:rPr>
              <w:t>study</w:t>
            </w:r>
            <w:proofErr w:type="spellEnd"/>
            <w:r w:rsidRPr="009B3512">
              <w:rPr>
                <w:rFonts w:ascii="Arial" w:hAnsi="Arial" w:cs="Arial"/>
                <w:b/>
                <w:bCs/>
              </w:rPr>
              <w:t xml:space="preserve"> </w:t>
            </w:r>
          </w:p>
        </w:tc>
      </w:tr>
      <w:tr w:rsidR="00E10CC6" w:rsidRPr="009B3512" w14:paraId="2682FB8F" w14:textId="1B8CC439" w:rsidTr="00E10CC6">
        <w:trPr>
          <w:trHeight w:val="780"/>
          <w:jc w:val="center"/>
        </w:trPr>
        <w:tc>
          <w:tcPr>
            <w:tcW w:w="0" w:type="auto"/>
            <w:tcMar>
              <w:top w:w="0" w:type="dxa"/>
              <w:left w:w="108" w:type="dxa"/>
              <w:bottom w:w="0" w:type="dxa"/>
              <w:right w:w="101" w:type="dxa"/>
            </w:tcMar>
            <w:vAlign w:val="center"/>
          </w:tcPr>
          <w:p w14:paraId="3B7A0B1E" w14:textId="2D69ACC7" w:rsidR="00E10CC6" w:rsidRPr="009B3512" w:rsidRDefault="00E10CC6" w:rsidP="00E10CC6">
            <w:pPr>
              <w:jc w:val="center"/>
              <w:rPr>
                <w:rFonts w:ascii="Arial" w:eastAsia="Times New Roman" w:hAnsi="Arial" w:cs="Arial"/>
                <w:lang w:eastAsia="en-GB"/>
              </w:rPr>
            </w:pPr>
            <w:r w:rsidRPr="009B3512">
              <w:rPr>
                <w:rFonts w:ascii="Arial" w:eastAsia="Times New Roman" w:hAnsi="Arial" w:cs="Arial"/>
                <w:lang w:val="en-CO" w:eastAsia="en-GB"/>
              </w:rPr>
              <w:t>1</w:t>
            </w:r>
          </w:p>
        </w:tc>
        <w:tc>
          <w:tcPr>
            <w:tcW w:w="0" w:type="auto"/>
            <w:tcMar>
              <w:top w:w="0" w:type="dxa"/>
              <w:left w:w="108" w:type="dxa"/>
              <w:bottom w:w="0" w:type="dxa"/>
              <w:right w:w="101" w:type="dxa"/>
            </w:tcMar>
            <w:vAlign w:val="center"/>
          </w:tcPr>
          <w:p w14:paraId="540963E0" w14:textId="672199BD"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Gender and intrafamily violence in Colombia 2019</w:t>
            </w:r>
          </w:p>
        </w:tc>
        <w:tc>
          <w:tcPr>
            <w:tcW w:w="0" w:type="auto"/>
            <w:tcMar>
              <w:top w:w="0" w:type="dxa"/>
              <w:left w:w="108" w:type="dxa"/>
              <w:bottom w:w="0" w:type="dxa"/>
              <w:right w:w="101" w:type="dxa"/>
            </w:tcMar>
            <w:vAlign w:val="center"/>
          </w:tcPr>
          <w:p w14:paraId="07496A63" w14:textId="0F13D8BC"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vAlign w:val="center"/>
          </w:tcPr>
          <w:p w14:paraId="02508C43" w14:textId="076E4C16" w:rsidR="00E10CC6" w:rsidRPr="009B3512" w:rsidRDefault="00E10CC6" w:rsidP="00E10CC6">
            <w:pPr>
              <w:rPr>
                <w:rFonts w:ascii="Arial" w:eastAsia="Times New Roman" w:hAnsi="Arial" w:cs="Arial"/>
                <w:sz w:val="20"/>
                <w:szCs w:val="20"/>
                <w:lang w:val="en-CO" w:eastAsia="en-GB"/>
              </w:rPr>
            </w:pPr>
            <w:r w:rsidRPr="009B3512">
              <w:rPr>
                <w:rFonts w:ascii="Arial" w:eastAsia="Times New Roman" w:hAnsi="Arial" w:cs="Arial"/>
                <w:lang w:val="en-CO" w:eastAsia="en-GB"/>
              </w:rPr>
              <w:t>Event report </w:t>
            </w:r>
          </w:p>
        </w:tc>
      </w:tr>
      <w:tr w:rsidR="00E10CC6" w:rsidRPr="009B3512" w14:paraId="44332087" w14:textId="77777777" w:rsidTr="00E10CC6">
        <w:trPr>
          <w:trHeight w:val="780"/>
          <w:jc w:val="center"/>
        </w:trPr>
        <w:tc>
          <w:tcPr>
            <w:tcW w:w="0" w:type="auto"/>
            <w:tcMar>
              <w:top w:w="0" w:type="dxa"/>
              <w:left w:w="101" w:type="dxa"/>
              <w:bottom w:w="0" w:type="dxa"/>
              <w:right w:w="101" w:type="dxa"/>
            </w:tcMar>
            <w:vAlign w:val="center"/>
            <w:hideMark/>
          </w:tcPr>
          <w:p w14:paraId="09F95B25" w14:textId="4D98C2D6" w:rsidR="00E10CC6" w:rsidRPr="009B3512" w:rsidRDefault="00E10CC6" w:rsidP="00E10CC6">
            <w:pPr>
              <w:jc w:val="center"/>
              <w:rPr>
                <w:rFonts w:ascii="Arial" w:eastAsia="Times New Roman" w:hAnsi="Arial" w:cs="Arial"/>
                <w:lang w:eastAsia="en-GB"/>
              </w:rPr>
            </w:pPr>
            <w:r w:rsidRPr="009B3512">
              <w:rPr>
                <w:rFonts w:ascii="Arial" w:eastAsia="Times New Roman" w:hAnsi="Arial" w:cs="Arial"/>
                <w:lang w:eastAsia="en-GB"/>
              </w:rPr>
              <w:lastRenderedPageBreak/>
              <w:t>2</w:t>
            </w:r>
          </w:p>
        </w:tc>
        <w:tc>
          <w:tcPr>
            <w:tcW w:w="0" w:type="auto"/>
            <w:tcMar>
              <w:top w:w="0" w:type="dxa"/>
              <w:left w:w="108" w:type="dxa"/>
              <w:bottom w:w="0" w:type="dxa"/>
              <w:right w:w="101" w:type="dxa"/>
            </w:tcMar>
            <w:vAlign w:val="center"/>
            <w:hideMark/>
          </w:tcPr>
          <w:p w14:paraId="3E2A44C7"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HIV, AIDS and death from AIDS in Colombia 2020</w:t>
            </w:r>
          </w:p>
        </w:tc>
        <w:tc>
          <w:tcPr>
            <w:tcW w:w="0" w:type="auto"/>
            <w:tcMar>
              <w:top w:w="0" w:type="dxa"/>
              <w:left w:w="108" w:type="dxa"/>
              <w:bottom w:w="0" w:type="dxa"/>
              <w:right w:w="101" w:type="dxa"/>
            </w:tcMar>
            <w:vAlign w:val="center"/>
            <w:hideMark/>
          </w:tcPr>
          <w:p w14:paraId="769D51D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0C58C2B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E7E36AD" w14:textId="77777777" w:rsidTr="00E10CC6">
        <w:trPr>
          <w:trHeight w:val="780"/>
          <w:jc w:val="center"/>
        </w:trPr>
        <w:tc>
          <w:tcPr>
            <w:tcW w:w="0" w:type="auto"/>
            <w:tcMar>
              <w:top w:w="0" w:type="dxa"/>
              <w:left w:w="101" w:type="dxa"/>
              <w:bottom w:w="0" w:type="dxa"/>
              <w:right w:w="101" w:type="dxa"/>
            </w:tcMar>
            <w:vAlign w:val="center"/>
            <w:hideMark/>
          </w:tcPr>
          <w:p w14:paraId="7873B56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3</w:t>
            </w:r>
          </w:p>
        </w:tc>
        <w:tc>
          <w:tcPr>
            <w:tcW w:w="0" w:type="auto"/>
            <w:tcMar>
              <w:top w:w="0" w:type="dxa"/>
              <w:left w:w="108" w:type="dxa"/>
              <w:bottom w:w="0" w:type="dxa"/>
              <w:right w:w="101" w:type="dxa"/>
            </w:tcMar>
            <w:vAlign w:val="center"/>
            <w:hideMark/>
          </w:tcPr>
          <w:p w14:paraId="0A0332D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HIV, AIDS in Colombia 2018</w:t>
            </w:r>
          </w:p>
        </w:tc>
        <w:tc>
          <w:tcPr>
            <w:tcW w:w="0" w:type="auto"/>
            <w:tcMar>
              <w:top w:w="0" w:type="dxa"/>
              <w:left w:w="108" w:type="dxa"/>
              <w:bottom w:w="0" w:type="dxa"/>
              <w:right w:w="101" w:type="dxa"/>
            </w:tcMar>
            <w:vAlign w:val="center"/>
            <w:hideMark/>
          </w:tcPr>
          <w:p w14:paraId="37C351A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5B1F654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94C1B47" w14:textId="77777777" w:rsidTr="00E10CC6">
        <w:trPr>
          <w:trHeight w:val="780"/>
          <w:jc w:val="center"/>
        </w:trPr>
        <w:tc>
          <w:tcPr>
            <w:tcW w:w="0" w:type="auto"/>
            <w:tcMar>
              <w:top w:w="0" w:type="dxa"/>
              <w:left w:w="101" w:type="dxa"/>
              <w:bottom w:w="0" w:type="dxa"/>
              <w:right w:w="101" w:type="dxa"/>
            </w:tcMar>
            <w:vAlign w:val="center"/>
            <w:hideMark/>
          </w:tcPr>
          <w:p w14:paraId="2B0486C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4</w:t>
            </w:r>
          </w:p>
        </w:tc>
        <w:tc>
          <w:tcPr>
            <w:tcW w:w="0" w:type="auto"/>
            <w:tcMar>
              <w:top w:w="0" w:type="dxa"/>
              <w:left w:w="108" w:type="dxa"/>
              <w:bottom w:w="0" w:type="dxa"/>
              <w:right w:w="101" w:type="dxa"/>
            </w:tcMar>
            <w:vAlign w:val="center"/>
            <w:hideMark/>
          </w:tcPr>
          <w:p w14:paraId="67B36AC4"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Report on the behavior of HIV-AIDS Colombia epidemiological period XIII of the year 2016</w:t>
            </w:r>
          </w:p>
        </w:tc>
        <w:tc>
          <w:tcPr>
            <w:tcW w:w="0" w:type="auto"/>
            <w:tcMar>
              <w:top w:w="0" w:type="dxa"/>
              <w:left w:w="108" w:type="dxa"/>
              <w:bottom w:w="0" w:type="dxa"/>
              <w:right w:w="101" w:type="dxa"/>
            </w:tcMar>
            <w:vAlign w:val="center"/>
            <w:hideMark/>
          </w:tcPr>
          <w:p w14:paraId="6913BF5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2016</w:t>
            </w:r>
          </w:p>
        </w:tc>
        <w:tc>
          <w:tcPr>
            <w:tcW w:w="0" w:type="auto"/>
            <w:tcMar>
              <w:top w:w="0" w:type="dxa"/>
              <w:left w:w="108" w:type="dxa"/>
              <w:bottom w:w="0" w:type="dxa"/>
              <w:right w:w="101" w:type="dxa"/>
            </w:tcMar>
            <w:vAlign w:val="center"/>
            <w:hideMark/>
          </w:tcPr>
          <w:p w14:paraId="359F3F4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0E446AEE" w14:textId="77777777" w:rsidTr="00E10CC6">
        <w:trPr>
          <w:trHeight w:val="780"/>
          <w:jc w:val="center"/>
        </w:trPr>
        <w:tc>
          <w:tcPr>
            <w:tcW w:w="0" w:type="auto"/>
            <w:tcMar>
              <w:top w:w="0" w:type="dxa"/>
              <w:left w:w="101" w:type="dxa"/>
              <w:bottom w:w="0" w:type="dxa"/>
              <w:right w:w="101" w:type="dxa"/>
            </w:tcMar>
            <w:vAlign w:val="center"/>
            <w:hideMark/>
          </w:tcPr>
          <w:p w14:paraId="37BF566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5</w:t>
            </w:r>
          </w:p>
        </w:tc>
        <w:tc>
          <w:tcPr>
            <w:tcW w:w="0" w:type="auto"/>
            <w:tcMar>
              <w:top w:w="0" w:type="dxa"/>
              <w:left w:w="108" w:type="dxa"/>
              <w:bottom w:w="0" w:type="dxa"/>
              <w:right w:w="101" w:type="dxa"/>
            </w:tcMar>
            <w:vAlign w:val="center"/>
            <w:hideMark/>
          </w:tcPr>
          <w:p w14:paraId="426163B6"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Report on the behavior of HIV-AIDS Colombia until the epidemiological period XIII of the year 2015</w:t>
            </w:r>
          </w:p>
        </w:tc>
        <w:tc>
          <w:tcPr>
            <w:tcW w:w="0" w:type="auto"/>
            <w:tcMar>
              <w:top w:w="0" w:type="dxa"/>
              <w:left w:w="108" w:type="dxa"/>
              <w:bottom w:w="0" w:type="dxa"/>
              <w:right w:w="101" w:type="dxa"/>
            </w:tcMar>
            <w:vAlign w:val="center"/>
            <w:hideMark/>
          </w:tcPr>
          <w:p w14:paraId="2D3B17D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2015</w:t>
            </w:r>
          </w:p>
        </w:tc>
        <w:tc>
          <w:tcPr>
            <w:tcW w:w="0" w:type="auto"/>
            <w:tcMar>
              <w:top w:w="0" w:type="dxa"/>
              <w:left w:w="108" w:type="dxa"/>
              <w:bottom w:w="0" w:type="dxa"/>
              <w:right w:w="101" w:type="dxa"/>
            </w:tcMar>
            <w:vAlign w:val="center"/>
            <w:hideMark/>
          </w:tcPr>
          <w:p w14:paraId="4F0F052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76640F57" w14:textId="77777777" w:rsidTr="00E10CC6">
        <w:trPr>
          <w:trHeight w:val="780"/>
          <w:jc w:val="center"/>
        </w:trPr>
        <w:tc>
          <w:tcPr>
            <w:tcW w:w="0" w:type="auto"/>
            <w:tcMar>
              <w:top w:w="0" w:type="dxa"/>
              <w:left w:w="101" w:type="dxa"/>
              <w:bottom w:w="0" w:type="dxa"/>
              <w:right w:w="101" w:type="dxa"/>
            </w:tcMar>
            <w:vAlign w:val="center"/>
            <w:hideMark/>
          </w:tcPr>
          <w:p w14:paraId="71C6D8D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6</w:t>
            </w:r>
          </w:p>
        </w:tc>
        <w:tc>
          <w:tcPr>
            <w:tcW w:w="0" w:type="auto"/>
            <w:tcMar>
              <w:top w:w="0" w:type="dxa"/>
              <w:left w:w="108" w:type="dxa"/>
              <w:bottom w:w="0" w:type="dxa"/>
              <w:right w:w="101" w:type="dxa"/>
            </w:tcMar>
            <w:vAlign w:val="center"/>
            <w:hideMark/>
          </w:tcPr>
          <w:p w14:paraId="7478B824"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HIV-AIDS report up to epidemiological period 13 of 2012</w:t>
            </w:r>
          </w:p>
        </w:tc>
        <w:tc>
          <w:tcPr>
            <w:tcW w:w="0" w:type="auto"/>
            <w:tcMar>
              <w:top w:w="0" w:type="dxa"/>
              <w:left w:w="108" w:type="dxa"/>
              <w:bottom w:w="0" w:type="dxa"/>
              <w:right w:w="101" w:type="dxa"/>
            </w:tcMar>
            <w:vAlign w:val="center"/>
            <w:hideMark/>
          </w:tcPr>
          <w:p w14:paraId="563D44C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2012</w:t>
            </w:r>
          </w:p>
        </w:tc>
        <w:tc>
          <w:tcPr>
            <w:tcW w:w="0" w:type="auto"/>
            <w:tcMar>
              <w:top w:w="0" w:type="dxa"/>
              <w:left w:w="108" w:type="dxa"/>
              <w:bottom w:w="0" w:type="dxa"/>
              <w:right w:w="101" w:type="dxa"/>
            </w:tcMar>
            <w:vAlign w:val="center"/>
            <w:hideMark/>
          </w:tcPr>
          <w:p w14:paraId="078437F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DA672DF" w14:textId="77777777" w:rsidTr="00E10CC6">
        <w:trPr>
          <w:trHeight w:val="780"/>
          <w:jc w:val="center"/>
        </w:trPr>
        <w:tc>
          <w:tcPr>
            <w:tcW w:w="0" w:type="auto"/>
            <w:tcMar>
              <w:top w:w="0" w:type="dxa"/>
              <w:left w:w="101" w:type="dxa"/>
              <w:bottom w:w="0" w:type="dxa"/>
              <w:right w:w="101" w:type="dxa"/>
            </w:tcMar>
            <w:vAlign w:val="center"/>
            <w:hideMark/>
          </w:tcPr>
          <w:p w14:paraId="77AD6C2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7</w:t>
            </w:r>
          </w:p>
        </w:tc>
        <w:tc>
          <w:tcPr>
            <w:tcW w:w="0" w:type="auto"/>
            <w:tcMar>
              <w:top w:w="0" w:type="dxa"/>
              <w:left w:w="108" w:type="dxa"/>
              <w:bottom w:w="0" w:type="dxa"/>
              <w:right w:w="101" w:type="dxa"/>
            </w:tcMar>
            <w:vAlign w:val="center"/>
            <w:hideMark/>
          </w:tcPr>
          <w:p w14:paraId="531BBFA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Mortality due to child malnutrition in children under 5 years of age and its determinants at the municipal level in Colombia 1998 - 2016</w:t>
            </w:r>
          </w:p>
        </w:tc>
        <w:tc>
          <w:tcPr>
            <w:tcW w:w="0" w:type="auto"/>
            <w:tcMar>
              <w:top w:w="0" w:type="dxa"/>
              <w:left w:w="108" w:type="dxa"/>
              <w:bottom w:w="0" w:type="dxa"/>
              <w:right w:w="101" w:type="dxa"/>
            </w:tcMar>
            <w:vAlign w:val="center"/>
            <w:hideMark/>
          </w:tcPr>
          <w:p w14:paraId="6A946A9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Agudelo, 2019</w:t>
            </w:r>
          </w:p>
        </w:tc>
        <w:tc>
          <w:tcPr>
            <w:tcW w:w="0" w:type="auto"/>
            <w:tcMar>
              <w:top w:w="0" w:type="dxa"/>
              <w:left w:w="108" w:type="dxa"/>
              <w:bottom w:w="0" w:type="dxa"/>
              <w:right w:w="101" w:type="dxa"/>
            </w:tcMar>
            <w:vAlign w:val="center"/>
            <w:hideMark/>
          </w:tcPr>
          <w:p w14:paraId="5ACB206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79E56F00" w14:textId="77777777" w:rsidTr="00E10CC6">
        <w:trPr>
          <w:trHeight w:val="780"/>
          <w:jc w:val="center"/>
        </w:trPr>
        <w:tc>
          <w:tcPr>
            <w:tcW w:w="0" w:type="auto"/>
            <w:tcMar>
              <w:top w:w="0" w:type="dxa"/>
              <w:left w:w="101" w:type="dxa"/>
              <w:bottom w:w="0" w:type="dxa"/>
              <w:right w:w="101" w:type="dxa"/>
            </w:tcMar>
            <w:vAlign w:val="center"/>
            <w:hideMark/>
          </w:tcPr>
          <w:p w14:paraId="3591A6F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8</w:t>
            </w:r>
          </w:p>
        </w:tc>
        <w:tc>
          <w:tcPr>
            <w:tcW w:w="0" w:type="auto"/>
            <w:tcMar>
              <w:top w:w="0" w:type="dxa"/>
              <w:left w:w="108" w:type="dxa"/>
              <w:bottom w:w="0" w:type="dxa"/>
              <w:right w:w="101" w:type="dxa"/>
            </w:tcMar>
            <w:vAlign w:val="center"/>
            <w:hideMark/>
          </w:tcPr>
          <w:p w14:paraId="2FBFE073"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Situation and response of the migratory phenomenon in health</w:t>
            </w:r>
          </w:p>
        </w:tc>
        <w:tc>
          <w:tcPr>
            <w:tcW w:w="0" w:type="auto"/>
            <w:tcMar>
              <w:top w:w="0" w:type="dxa"/>
              <w:left w:w="108" w:type="dxa"/>
              <w:bottom w:w="0" w:type="dxa"/>
              <w:right w:w="101" w:type="dxa"/>
            </w:tcMar>
            <w:vAlign w:val="center"/>
            <w:hideMark/>
          </w:tcPr>
          <w:p w14:paraId="6F12598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R4V, 2021</w:t>
            </w:r>
          </w:p>
        </w:tc>
        <w:tc>
          <w:tcPr>
            <w:tcW w:w="0" w:type="auto"/>
            <w:tcMar>
              <w:top w:w="0" w:type="dxa"/>
              <w:left w:w="108" w:type="dxa"/>
              <w:bottom w:w="0" w:type="dxa"/>
              <w:right w:w="101" w:type="dxa"/>
            </w:tcMar>
            <w:vAlign w:val="center"/>
            <w:hideMark/>
          </w:tcPr>
          <w:p w14:paraId="2E01109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Infrography </w:t>
            </w:r>
          </w:p>
        </w:tc>
      </w:tr>
      <w:tr w:rsidR="00E10CC6" w:rsidRPr="009B3512" w14:paraId="0F0E9469" w14:textId="77777777" w:rsidTr="00E10CC6">
        <w:trPr>
          <w:trHeight w:val="780"/>
          <w:jc w:val="center"/>
        </w:trPr>
        <w:tc>
          <w:tcPr>
            <w:tcW w:w="0" w:type="auto"/>
            <w:tcMar>
              <w:top w:w="0" w:type="dxa"/>
              <w:left w:w="101" w:type="dxa"/>
              <w:bottom w:w="0" w:type="dxa"/>
              <w:right w:w="101" w:type="dxa"/>
            </w:tcMar>
            <w:vAlign w:val="center"/>
            <w:hideMark/>
          </w:tcPr>
          <w:p w14:paraId="71E05B8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9</w:t>
            </w:r>
          </w:p>
        </w:tc>
        <w:tc>
          <w:tcPr>
            <w:tcW w:w="0" w:type="auto"/>
            <w:tcMar>
              <w:top w:w="0" w:type="dxa"/>
              <w:left w:w="108" w:type="dxa"/>
              <w:bottom w:w="0" w:type="dxa"/>
              <w:right w:w="101" w:type="dxa"/>
            </w:tcMar>
            <w:vAlign w:val="center"/>
            <w:hideMark/>
          </w:tcPr>
          <w:p w14:paraId="4723D55B"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Affiliations to the Health of Venezuelan Refugees and Migrants - Antioquia</w:t>
            </w:r>
          </w:p>
        </w:tc>
        <w:tc>
          <w:tcPr>
            <w:tcW w:w="0" w:type="auto"/>
            <w:tcMar>
              <w:top w:w="0" w:type="dxa"/>
              <w:left w:w="108" w:type="dxa"/>
              <w:bottom w:w="0" w:type="dxa"/>
              <w:right w:w="101" w:type="dxa"/>
            </w:tcMar>
            <w:vAlign w:val="center"/>
            <w:hideMark/>
          </w:tcPr>
          <w:p w14:paraId="44BCEE6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R4V, 2021</w:t>
            </w:r>
          </w:p>
        </w:tc>
        <w:tc>
          <w:tcPr>
            <w:tcW w:w="0" w:type="auto"/>
            <w:tcMar>
              <w:top w:w="0" w:type="dxa"/>
              <w:left w:w="108" w:type="dxa"/>
              <w:bottom w:w="0" w:type="dxa"/>
              <w:right w:w="101" w:type="dxa"/>
            </w:tcMar>
            <w:vAlign w:val="center"/>
            <w:hideMark/>
          </w:tcPr>
          <w:p w14:paraId="1F11F5C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Infrography </w:t>
            </w:r>
          </w:p>
        </w:tc>
      </w:tr>
      <w:tr w:rsidR="00E10CC6" w:rsidRPr="009B3512" w14:paraId="1060F65C" w14:textId="77777777" w:rsidTr="00E10CC6">
        <w:trPr>
          <w:trHeight w:val="780"/>
          <w:jc w:val="center"/>
        </w:trPr>
        <w:tc>
          <w:tcPr>
            <w:tcW w:w="0" w:type="auto"/>
            <w:tcMar>
              <w:top w:w="0" w:type="dxa"/>
              <w:left w:w="101" w:type="dxa"/>
              <w:bottom w:w="0" w:type="dxa"/>
              <w:right w:w="101" w:type="dxa"/>
            </w:tcMar>
            <w:vAlign w:val="center"/>
            <w:hideMark/>
          </w:tcPr>
          <w:p w14:paraId="3D602DB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10</w:t>
            </w:r>
          </w:p>
        </w:tc>
        <w:tc>
          <w:tcPr>
            <w:tcW w:w="0" w:type="auto"/>
            <w:tcMar>
              <w:top w:w="0" w:type="dxa"/>
              <w:left w:w="108" w:type="dxa"/>
              <w:bottom w:w="0" w:type="dxa"/>
              <w:right w:w="101" w:type="dxa"/>
            </w:tcMar>
            <w:vAlign w:val="center"/>
            <w:hideMark/>
          </w:tcPr>
          <w:p w14:paraId="2DC616A7"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World Cancer Day 2020</w:t>
            </w:r>
          </w:p>
        </w:tc>
        <w:tc>
          <w:tcPr>
            <w:tcW w:w="0" w:type="auto"/>
            <w:tcMar>
              <w:top w:w="0" w:type="dxa"/>
              <w:left w:w="108" w:type="dxa"/>
              <w:bottom w:w="0" w:type="dxa"/>
              <w:right w:w="101" w:type="dxa"/>
            </w:tcMar>
            <w:vAlign w:val="center"/>
            <w:hideMark/>
          </w:tcPr>
          <w:p w14:paraId="235FCA5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High Cost Account, 2020</w:t>
            </w:r>
          </w:p>
        </w:tc>
        <w:tc>
          <w:tcPr>
            <w:tcW w:w="0" w:type="auto"/>
            <w:tcMar>
              <w:top w:w="0" w:type="dxa"/>
              <w:left w:w="108" w:type="dxa"/>
              <w:bottom w:w="0" w:type="dxa"/>
              <w:right w:w="101" w:type="dxa"/>
            </w:tcMar>
            <w:vAlign w:val="center"/>
            <w:hideMark/>
          </w:tcPr>
          <w:p w14:paraId="2CE2B5B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News</w:t>
            </w:r>
          </w:p>
        </w:tc>
      </w:tr>
      <w:tr w:rsidR="00E10CC6" w:rsidRPr="009B3512" w14:paraId="668BAB89" w14:textId="77777777" w:rsidTr="00E10CC6">
        <w:trPr>
          <w:trHeight w:val="780"/>
          <w:jc w:val="center"/>
        </w:trPr>
        <w:tc>
          <w:tcPr>
            <w:tcW w:w="0" w:type="auto"/>
            <w:tcMar>
              <w:top w:w="0" w:type="dxa"/>
              <w:left w:w="101" w:type="dxa"/>
              <w:bottom w:w="0" w:type="dxa"/>
              <w:right w:w="101" w:type="dxa"/>
            </w:tcMar>
            <w:vAlign w:val="center"/>
            <w:hideMark/>
          </w:tcPr>
          <w:p w14:paraId="72D7DD98" w14:textId="2DF00138" w:rsidR="00E10CC6" w:rsidRPr="009B3512" w:rsidRDefault="00E10CC6" w:rsidP="00E10CC6">
            <w:pPr>
              <w:jc w:val="center"/>
              <w:rPr>
                <w:rFonts w:ascii="Arial" w:eastAsia="Times New Roman" w:hAnsi="Arial" w:cs="Arial"/>
                <w:lang w:eastAsia="en-GB"/>
              </w:rPr>
            </w:pPr>
            <w:r w:rsidRPr="009B3512">
              <w:rPr>
                <w:rFonts w:ascii="Arial" w:eastAsia="Times New Roman" w:hAnsi="Arial" w:cs="Arial"/>
                <w:lang w:eastAsia="en-GB"/>
              </w:rPr>
              <w:t>11</w:t>
            </w:r>
          </w:p>
        </w:tc>
        <w:tc>
          <w:tcPr>
            <w:tcW w:w="0" w:type="auto"/>
            <w:tcMar>
              <w:top w:w="0" w:type="dxa"/>
              <w:left w:w="108" w:type="dxa"/>
              <w:bottom w:w="0" w:type="dxa"/>
              <w:right w:w="101" w:type="dxa"/>
            </w:tcMar>
            <w:vAlign w:val="center"/>
            <w:hideMark/>
          </w:tcPr>
          <w:p w14:paraId="5E5CF692"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Rheumatoid arthritis, a disease that affects work productivity</w:t>
            </w:r>
          </w:p>
        </w:tc>
        <w:tc>
          <w:tcPr>
            <w:tcW w:w="0" w:type="auto"/>
            <w:tcMar>
              <w:top w:w="0" w:type="dxa"/>
              <w:left w:w="108" w:type="dxa"/>
              <w:bottom w:w="0" w:type="dxa"/>
              <w:right w:w="101" w:type="dxa"/>
            </w:tcMar>
            <w:vAlign w:val="center"/>
            <w:hideMark/>
          </w:tcPr>
          <w:p w14:paraId="2F6C1DA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High Cost Account, 2020</w:t>
            </w:r>
          </w:p>
        </w:tc>
        <w:tc>
          <w:tcPr>
            <w:tcW w:w="0" w:type="auto"/>
            <w:tcMar>
              <w:top w:w="0" w:type="dxa"/>
              <w:left w:w="108" w:type="dxa"/>
              <w:bottom w:w="0" w:type="dxa"/>
              <w:right w:w="101" w:type="dxa"/>
            </w:tcMar>
            <w:vAlign w:val="center"/>
            <w:hideMark/>
          </w:tcPr>
          <w:p w14:paraId="61BB392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News</w:t>
            </w:r>
          </w:p>
        </w:tc>
      </w:tr>
      <w:tr w:rsidR="00E10CC6" w:rsidRPr="009B3512" w14:paraId="56E6E1F1" w14:textId="77777777" w:rsidTr="00E10CC6">
        <w:trPr>
          <w:trHeight w:val="780"/>
          <w:jc w:val="center"/>
        </w:trPr>
        <w:tc>
          <w:tcPr>
            <w:tcW w:w="0" w:type="auto"/>
            <w:tcMar>
              <w:top w:w="0" w:type="dxa"/>
              <w:left w:w="101" w:type="dxa"/>
              <w:bottom w:w="0" w:type="dxa"/>
              <w:right w:w="101" w:type="dxa"/>
            </w:tcMar>
            <w:vAlign w:val="center"/>
            <w:hideMark/>
          </w:tcPr>
          <w:p w14:paraId="17408CF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12</w:t>
            </w:r>
          </w:p>
        </w:tc>
        <w:tc>
          <w:tcPr>
            <w:tcW w:w="0" w:type="auto"/>
            <w:tcMar>
              <w:top w:w="0" w:type="dxa"/>
              <w:left w:w="108" w:type="dxa"/>
              <w:bottom w:w="0" w:type="dxa"/>
              <w:right w:w="101" w:type="dxa"/>
            </w:tcMar>
            <w:vAlign w:val="center"/>
            <w:hideMark/>
          </w:tcPr>
          <w:p w14:paraId="226CFD02"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Varicella event report, Colombia, 2019 </w:t>
            </w:r>
          </w:p>
        </w:tc>
        <w:tc>
          <w:tcPr>
            <w:tcW w:w="0" w:type="auto"/>
            <w:tcMar>
              <w:top w:w="0" w:type="dxa"/>
              <w:left w:w="108" w:type="dxa"/>
              <w:bottom w:w="0" w:type="dxa"/>
              <w:right w:w="101" w:type="dxa"/>
            </w:tcMar>
            <w:vAlign w:val="center"/>
            <w:hideMark/>
          </w:tcPr>
          <w:p w14:paraId="4A32F35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1FAD501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05E55F13" w14:textId="77777777" w:rsidTr="00E10CC6">
        <w:trPr>
          <w:trHeight w:val="780"/>
          <w:jc w:val="center"/>
        </w:trPr>
        <w:tc>
          <w:tcPr>
            <w:tcW w:w="0" w:type="auto"/>
            <w:tcMar>
              <w:top w:w="0" w:type="dxa"/>
              <w:left w:w="101" w:type="dxa"/>
              <w:bottom w:w="0" w:type="dxa"/>
              <w:right w:w="101" w:type="dxa"/>
            </w:tcMar>
            <w:vAlign w:val="center"/>
            <w:hideMark/>
          </w:tcPr>
          <w:p w14:paraId="7276B4F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13</w:t>
            </w:r>
          </w:p>
        </w:tc>
        <w:tc>
          <w:tcPr>
            <w:tcW w:w="0" w:type="auto"/>
            <w:tcMar>
              <w:top w:w="0" w:type="dxa"/>
              <w:left w:w="108" w:type="dxa"/>
              <w:bottom w:w="0" w:type="dxa"/>
              <w:right w:w="101" w:type="dxa"/>
            </w:tcMar>
            <w:vAlign w:val="center"/>
            <w:hideMark/>
          </w:tcPr>
          <w:p w14:paraId="4F0A30F7"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Varicella event report, Colombia, 2018 </w:t>
            </w:r>
          </w:p>
        </w:tc>
        <w:tc>
          <w:tcPr>
            <w:tcW w:w="0" w:type="auto"/>
            <w:tcMar>
              <w:top w:w="0" w:type="dxa"/>
              <w:left w:w="108" w:type="dxa"/>
              <w:bottom w:w="0" w:type="dxa"/>
              <w:right w:w="101" w:type="dxa"/>
            </w:tcMar>
            <w:vAlign w:val="center"/>
            <w:hideMark/>
          </w:tcPr>
          <w:p w14:paraId="550552A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484122E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1179873B" w14:textId="77777777" w:rsidTr="00E10CC6">
        <w:trPr>
          <w:trHeight w:val="780"/>
          <w:jc w:val="center"/>
        </w:trPr>
        <w:tc>
          <w:tcPr>
            <w:tcW w:w="0" w:type="auto"/>
            <w:tcMar>
              <w:top w:w="0" w:type="dxa"/>
              <w:left w:w="101" w:type="dxa"/>
              <w:bottom w:w="0" w:type="dxa"/>
              <w:right w:w="101" w:type="dxa"/>
            </w:tcMar>
            <w:vAlign w:val="center"/>
            <w:hideMark/>
          </w:tcPr>
          <w:p w14:paraId="4B7D1D3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14</w:t>
            </w:r>
          </w:p>
        </w:tc>
        <w:tc>
          <w:tcPr>
            <w:tcW w:w="0" w:type="auto"/>
            <w:tcMar>
              <w:top w:w="0" w:type="dxa"/>
              <w:left w:w="108" w:type="dxa"/>
              <w:bottom w:w="0" w:type="dxa"/>
              <w:right w:w="101" w:type="dxa"/>
            </w:tcMar>
            <w:vAlign w:val="center"/>
            <w:hideMark/>
          </w:tcPr>
          <w:p w14:paraId="19D795F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Drug-resistant tuberculosis event report, Colombia, 2019 </w:t>
            </w:r>
          </w:p>
        </w:tc>
        <w:tc>
          <w:tcPr>
            <w:tcW w:w="0" w:type="auto"/>
            <w:tcMar>
              <w:top w:w="0" w:type="dxa"/>
              <w:left w:w="108" w:type="dxa"/>
              <w:bottom w:w="0" w:type="dxa"/>
              <w:right w:w="101" w:type="dxa"/>
            </w:tcMar>
            <w:vAlign w:val="center"/>
            <w:hideMark/>
          </w:tcPr>
          <w:p w14:paraId="7EA1C2C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1EBB460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6BEDFCA" w14:textId="77777777" w:rsidTr="00E10CC6">
        <w:trPr>
          <w:trHeight w:val="780"/>
          <w:jc w:val="center"/>
        </w:trPr>
        <w:tc>
          <w:tcPr>
            <w:tcW w:w="0" w:type="auto"/>
            <w:tcMar>
              <w:top w:w="0" w:type="dxa"/>
              <w:left w:w="101" w:type="dxa"/>
              <w:bottom w:w="0" w:type="dxa"/>
              <w:right w:w="101" w:type="dxa"/>
            </w:tcMar>
            <w:vAlign w:val="center"/>
            <w:hideMark/>
          </w:tcPr>
          <w:p w14:paraId="7E45A75D" w14:textId="035ED910" w:rsidR="00E10CC6" w:rsidRPr="009B3512" w:rsidRDefault="00E10CC6" w:rsidP="00E10CC6">
            <w:pPr>
              <w:jc w:val="center"/>
              <w:rPr>
                <w:rFonts w:ascii="Arial" w:eastAsia="Times New Roman" w:hAnsi="Arial" w:cs="Arial"/>
                <w:lang w:eastAsia="en-GB"/>
              </w:rPr>
            </w:pPr>
            <w:r w:rsidRPr="009B3512">
              <w:rPr>
                <w:rFonts w:ascii="Arial" w:eastAsia="Times New Roman" w:hAnsi="Arial" w:cs="Arial"/>
                <w:lang w:eastAsia="en-GB"/>
              </w:rPr>
              <w:t>15</w:t>
            </w:r>
          </w:p>
        </w:tc>
        <w:tc>
          <w:tcPr>
            <w:tcW w:w="0" w:type="auto"/>
            <w:tcMar>
              <w:top w:w="0" w:type="dxa"/>
              <w:left w:w="108" w:type="dxa"/>
              <w:bottom w:w="0" w:type="dxa"/>
              <w:right w:w="101" w:type="dxa"/>
            </w:tcMar>
            <w:vAlign w:val="center"/>
            <w:hideMark/>
          </w:tcPr>
          <w:p w14:paraId="51329F2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Drug-resistant tuberculosis event report, Colombia, 2018 </w:t>
            </w:r>
          </w:p>
        </w:tc>
        <w:tc>
          <w:tcPr>
            <w:tcW w:w="0" w:type="auto"/>
            <w:tcMar>
              <w:top w:w="0" w:type="dxa"/>
              <w:left w:w="108" w:type="dxa"/>
              <w:bottom w:w="0" w:type="dxa"/>
              <w:right w:w="101" w:type="dxa"/>
            </w:tcMar>
            <w:vAlign w:val="center"/>
            <w:hideMark/>
          </w:tcPr>
          <w:p w14:paraId="1E11A66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262A104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5FAA723" w14:textId="77777777" w:rsidTr="00E10CC6">
        <w:trPr>
          <w:trHeight w:val="780"/>
          <w:jc w:val="center"/>
        </w:trPr>
        <w:tc>
          <w:tcPr>
            <w:tcW w:w="0" w:type="auto"/>
            <w:tcMar>
              <w:top w:w="0" w:type="dxa"/>
              <w:left w:w="101" w:type="dxa"/>
              <w:bottom w:w="0" w:type="dxa"/>
              <w:right w:w="101" w:type="dxa"/>
            </w:tcMar>
            <w:vAlign w:val="center"/>
            <w:hideMark/>
          </w:tcPr>
          <w:p w14:paraId="539C0F1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16</w:t>
            </w:r>
          </w:p>
        </w:tc>
        <w:tc>
          <w:tcPr>
            <w:tcW w:w="0" w:type="auto"/>
            <w:tcMar>
              <w:top w:w="0" w:type="dxa"/>
              <w:left w:w="108" w:type="dxa"/>
              <w:bottom w:w="0" w:type="dxa"/>
              <w:right w:w="101" w:type="dxa"/>
            </w:tcMar>
            <w:vAlign w:val="center"/>
            <w:hideMark/>
          </w:tcPr>
          <w:p w14:paraId="24FCB75C"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Cancer status in the pediatric population </w:t>
            </w:r>
          </w:p>
        </w:tc>
        <w:tc>
          <w:tcPr>
            <w:tcW w:w="0" w:type="auto"/>
            <w:tcMar>
              <w:top w:w="0" w:type="dxa"/>
              <w:left w:w="108" w:type="dxa"/>
              <w:bottom w:w="0" w:type="dxa"/>
              <w:right w:w="101" w:type="dxa"/>
            </w:tcMar>
            <w:vAlign w:val="center"/>
            <w:hideMark/>
          </w:tcPr>
          <w:p w14:paraId="0E13068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2016</w:t>
            </w:r>
          </w:p>
        </w:tc>
        <w:tc>
          <w:tcPr>
            <w:tcW w:w="0" w:type="auto"/>
            <w:tcMar>
              <w:top w:w="0" w:type="dxa"/>
              <w:left w:w="108" w:type="dxa"/>
              <w:bottom w:w="0" w:type="dxa"/>
              <w:right w:w="101" w:type="dxa"/>
            </w:tcMar>
            <w:vAlign w:val="center"/>
            <w:hideMark/>
          </w:tcPr>
          <w:p w14:paraId="0AED8B0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1EF3547" w14:textId="77777777" w:rsidTr="00E10CC6">
        <w:trPr>
          <w:trHeight w:val="780"/>
          <w:jc w:val="center"/>
        </w:trPr>
        <w:tc>
          <w:tcPr>
            <w:tcW w:w="0" w:type="auto"/>
            <w:tcMar>
              <w:top w:w="0" w:type="dxa"/>
              <w:left w:w="101" w:type="dxa"/>
              <w:bottom w:w="0" w:type="dxa"/>
              <w:right w:w="101" w:type="dxa"/>
            </w:tcMar>
            <w:vAlign w:val="center"/>
            <w:hideMark/>
          </w:tcPr>
          <w:p w14:paraId="0BEADAA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17</w:t>
            </w:r>
          </w:p>
        </w:tc>
        <w:tc>
          <w:tcPr>
            <w:tcW w:w="0" w:type="auto"/>
            <w:tcMar>
              <w:top w:w="0" w:type="dxa"/>
              <w:left w:w="108" w:type="dxa"/>
              <w:bottom w:w="0" w:type="dxa"/>
              <w:right w:w="101" w:type="dxa"/>
            </w:tcMar>
            <w:vAlign w:val="center"/>
            <w:hideMark/>
          </w:tcPr>
          <w:p w14:paraId="4BD2486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Tuberculosis event report, Colombia, 2019 </w:t>
            </w:r>
          </w:p>
        </w:tc>
        <w:tc>
          <w:tcPr>
            <w:tcW w:w="0" w:type="auto"/>
            <w:tcMar>
              <w:top w:w="0" w:type="dxa"/>
              <w:left w:w="108" w:type="dxa"/>
              <w:bottom w:w="0" w:type="dxa"/>
              <w:right w:w="101" w:type="dxa"/>
            </w:tcMar>
            <w:vAlign w:val="center"/>
            <w:hideMark/>
          </w:tcPr>
          <w:p w14:paraId="5D3153B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48647BD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7E82370" w14:textId="77777777" w:rsidTr="00E10CC6">
        <w:trPr>
          <w:trHeight w:val="780"/>
          <w:jc w:val="center"/>
        </w:trPr>
        <w:tc>
          <w:tcPr>
            <w:tcW w:w="0" w:type="auto"/>
            <w:tcMar>
              <w:top w:w="0" w:type="dxa"/>
              <w:left w:w="101" w:type="dxa"/>
              <w:bottom w:w="0" w:type="dxa"/>
              <w:right w:w="101" w:type="dxa"/>
            </w:tcMar>
            <w:vAlign w:val="center"/>
            <w:hideMark/>
          </w:tcPr>
          <w:p w14:paraId="60DBC6A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18</w:t>
            </w:r>
          </w:p>
        </w:tc>
        <w:tc>
          <w:tcPr>
            <w:tcW w:w="0" w:type="auto"/>
            <w:tcMar>
              <w:top w:w="0" w:type="dxa"/>
              <w:left w:w="108" w:type="dxa"/>
              <w:bottom w:w="0" w:type="dxa"/>
              <w:right w:w="101" w:type="dxa"/>
            </w:tcMar>
            <w:vAlign w:val="center"/>
            <w:hideMark/>
          </w:tcPr>
          <w:p w14:paraId="6A60B0A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Trachoma event report, Colombia, 2019 </w:t>
            </w:r>
          </w:p>
        </w:tc>
        <w:tc>
          <w:tcPr>
            <w:tcW w:w="0" w:type="auto"/>
            <w:tcMar>
              <w:top w:w="0" w:type="dxa"/>
              <w:left w:w="108" w:type="dxa"/>
              <w:bottom w:w="0" w:type="dxa"/>
              <w:right w:w="101" w:type="dxa"/>
            </w:tcMar>
            <w:vAlign w:val="center"/>
            <w:hideMark/>
          </w:tcPr>
          <w:p w14:paraId="1A67165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7FD20A7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930BF63" w14:textId="77777777" w:rsidTr="00E10CC6">
        <w:trPr>
          <w:trHeight w:val="780"/>
          <w:jc w:val="center"/>
        </w:trPr>
        <w:tc>
          <w:tcPr>
            <w:tcW w:w="0" w:type="auto"/>
            <w:tcMar>
              <w:top w:w="0" w:type="dxa"/>
              <w:left w:w="101" w:type="dxa"/>
              <w:bottom w:w="0" w:type="dxa"/>
              <w:right w:w="101" w:type="dxa"/>
            </w:tcMar>
            <w:vAlign w:val="center"/>
            <w:hideMark/>
          </w:tcPr>
          <w:p w14:paraId="5FA4601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lastRenderedPageBreak/>
              <w:t>19</w:t>
            </w:r>
          </w:p>
        </w:tc>
        <w:tc>
          <w:tcPr>
            <w:tcW w:w="0" w:type="auto"/>
            <w:tcMar>
              <w:top w:w="0" w:type="dxa"/>
              <w:left w:w="108" w:type="dxa"/>
              <w:bottom w:w="0" w:type="dxa"/>
              <w:right w:w="101" w:type="dxa"/>
            </w:tcMar>
            <w:vAlign w:val="center"/>
            <w:hideMark/>
          </w:tcPr>
          <w:p w14:paraId="40085656"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Trachoma event report, Colombia, 2017-2018 </w:t>
            </w:r>
          </w:p>
        </w:tc>
        <w:tc>
          <w:tcPr>
            <w:tcW w:w="0" w:type="auto"/>
            <w:tcMar>
              <w:top w:w="0" w:type="dxa"/>
              <w:left w:w="108" w:type="dxa"/>
              <w:bottom w:w="0" w:type="dxa"/>
              <w:right w:w="101" w:type="dxa"/>
            </w:tcMar>
            <w:vAlign w:val="center"/>
            <w:hideMark/>
          </w:tcPr>
          <w:p w14:paraId="1AE4E94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5AD5051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7217D6E" w14:textId="77777777" w:rsidTr="00E10CC6">
        <w:trPr>
          <w:trHeight w:val="780"/>
          <w:jc w:val="center"/>
        </w:trPr>
        <w:tc>
          <w:tcPr>
            <w:tcW w:w="0" w:type="auto"/>
            <w:tcMar>
              <w:top w:w="0" w:type="dxa"/>
              <w:left w:w="101" w:type="dxa"/>
              <w:bottom w:w="0" w:type="dxa"/>
              <w:right w:w="101" w:type="dxa"/>
            </w:tcMar>
            <w:vAlign w:val="center"/>
            <w:hideMark/>
          </w:tcPr>
          <w:p w14:paraId="1E2AFAC1" w14:textId="7C750BC4" w:rsidR="00E10CC6" w:rsidRPr="009B3512" w:rsidRDefault="00E10CC6" w:rsidP="00E10CC6">
            <w:pPr>
              <w:jc w:val="center"/>
              <w:rPr>
                <w:rFonts w:ascii="Arial" w:eastAsia="Times New Roman" w:hAnsi="Arial" w:cs="Arial"/>
                <w:lang w:eastAsia="en-GB"/>
              </w:rPr>
            </w:pPr>
            <w:r w:rsidRPr="009B3512">
              <w:rPr>
                <w:rFonts w:ascii="Arial" w:eastAsia="Times New Roman" w:hAnsi="Arial" w:cs="Arial"/>
                <w:lang w:eastAsia="en-GB"/>
              </w:rPr>
              <w:t>20</w:t>
            </w:r>
          </w:p>
        </w:tc>
        <w:tc>
          <w:tcPr>
            <w:tcW w:w="0" w:type="auto"/>
            <w:tcMar>
              <w:top w:w="0" w:type="dxa"/>
              <w:left w:w="108" w:type="dxa"/>
              <w:bottom w:w="0" w:type="dxa"/>
              <w:right w:w="101" w:type="dxa"/>
            </w:tcMar>
            <w:vAlign w:val="center"/>
            <w:hideMark/>
          </w:tcPr>
          <w:p w14:paraId="71E28405"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Trachoma Epidemiological period VI. Colombia 2020</w:t>
            </w:r>
          </w:p>
        </w:tc>
        <w:tc>
          <w:tcPr>
            <w:tcW w:w="0" w:type="auto"/>
            <w:tcMar>
              <w:top w:w="0" w:type="dxa"/>
              <w:left w:w="108" w:type="dxa"/>
              <w:bottom w:w="0" w:type="dxa"/>
              <w:right w:w="101" w:type="dxa"/>
            </w:tcMar>
            <w:vAlign w:val="center"/>
            <w:hideMark/>
          </w:tcPr>
          <w:p w14:paraId="19EF9FB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18CEF88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4D0F6EA8" w14:textId="77777777" w:rsidTr="00E10CC6">
        <w:trPr>
          <w:trHeight w:val="780"/>
          <w:jc w:val="center"/>
        </w:trPr>
        <w:tc>
          <w:tcPr>
            <w:tcW w:w="0" w:type="auto"/>
            <w:tcMar>
              <w:top w:w="0" w:type="dxa"/>
              <w:left w:w="101" w:type="dxa"/>
              <w:bottom w:w="0" w:type="dxa"/>
              <w:right w:w="101" w:type="dxa"/>
            </w:tcMar>
            <w:vAlign w:val="center"/>
            <w:hideMark/>
          </w:tcPr>
          <w:p w14:paraId="3AD5C0C0" w14:textId="7918FF63" w:rsidR="00E10CC6" w:rsidRPr="009B3512" w:rsidRDefault="00E10CC6" w:rsidP="00E10CC6">
            <w:pPr>
              <w:jc w:val="center"/>
              <w:rPr>
                <w:rFonts w:ascii="Arial" w:eastAsia="Times New Roman" w:hAnsi="Arial" w:cs="Arial"/>
                <w:lang w:eastAsia="en-GB"/>
              </w:rPr>
            </w:pPr>
            <w:r w:rsidRPr="009B3512">
              <w:rPr>
                <w:rFonts w:ascii="Arial" w:eastAsia="Times New Roman" w:hAnsi="Arial" w:cs="Arial"/>
                <w:lang w:eastAsia="en-GB"/>
              </w:rPr>
              <w:t>21</w:t>
            </w:r>
          </w:p>
        </w:tc>
        <w:tc>
          <w:tcPr>
            <w:tcW w:w="0" w:type="auto"/>
            <w:tcMar>
              <w:top w:w="0" w:type="dxa"/>
              <w:left w:w="108" w:type="dxa"/>
              <w:bottom w:w="0" w:type="dxa"/>
              <w:right w:w="101" w:type="dxa"/>
            </w:tcMar>
            <w:vAlign w:val="center"/>
            <w:hideMark/>
          </w:tcPr>
          <w:p w14:paraId="35504CC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Whooping cough. Epidemiological period VIII. Colombia 2021</w:t>
            </w:r>
          </w:p>
        </w:tc>
        <w:tc>
          <w:tcPr>
            <w:tcW w:w="0" w:type="auto"/>
            <w:tcMar>
              <w:top w:w="0" w:type="dxa"/>
              <w:left w:w="108" w:type="dxa"/>
              <w:bottom w:w="0" w:type="dxa"/>
              <w:right w:w="101" w:type="dxa"/>
            </w:tcMar>
            <w:vAlign w:val="center"/>
            <w:hideMark/>
          </w:tcPr>
          <w:p w14:paraId="649E75F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2E2142E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67A7FB35" w14:textId="77777777" w:rsidTr="00E10CC6">
        <w:trPr>
          <w:trHeight w:val="780"/>
          <w:jc w:val="center"/>
        </w:trPr>
        <w:tc>
          <w:tcPr>
            <w:tcW w:w="0" w:type="auto"/>
            <w:tcMar>
              <w:top w:w="0" w:type="dxa"/>
              <w:left w:w="101" w:type="dxa"/>
              <w:bottom w:w="0" w:type="dxa"/>
              <w:right w:w="101" w:type="dxa"/>
            </w:tcMar>
            <w:vAlign w:val="center"/>
            <w:hideMark/>
          </w:tcPr>
          <w:p w14:paraId="6414F05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22</w:t>
            </w:r>
          </w:p>
        </w:tc>
        <w:tc>
          <w:tcPr>
            <w:tcW w:w="0" w:type="auto"/>
            <w:tcMar>
              <w:top w:w="0" w:type="dxa"/>
              <w:left w:w="108" w:type="dxa"/>
              <w:bottom w:w="0" w:type="dxa"/>
              <w:right w:w="101" w:type="dxa"/>
            </w:tcMar>
            <w:vAlign w:val="center"/>
            <w:hideMark/>
          </w:tcPr>
          <w:p w14:paraId="1255BE49"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Pertussis event report, Colombia, year 2019 </w:t>
            </w:r>
          </w:p>
        </w:tc>
        <w:tc>
          <w:tcPr>
            <w:tcW w:w="0" w:type="auto"/>
            <w:tcMar>
              <w:top w:w="0" w:type="dxa"/>
              <w:left w:w="108" w:type="dxa"/>
              <w:bottom w:w="0" w:type="dxa"/>
              <w:right w:w="101" w:type="dxa"/>
            </w:tcMar>
            <w:vAlign w:val="center"/>
            <w:hideMark/>
          </w:tcPr>
          <w:p w14:paraId="7E71A73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6929121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125B1514" w14:textId="77777777" w:rsidTr="00E10CC6">
        <w:trPr>
          <w:trHeight w:val="780"/>
          <w:jc w:val="center"/>
        </w:trPr>
        <w:tc>
          <w:tcPr>
            <w:tcW w:w="0" w:type="auto"/>
            <w:tcMar>
              <w:top w:w="0" w:type="dxa"/>
              <w:left w:w="101" w:type="dxa"/>
              <w:bottom w:w="0" w:type="dxa"/>
              <w:right w:w="101" w:type="dxa"/>
            </w:tcMar>
            <w:vAlign w:val="center"/>
            <w:hideMark/>
          </w:tcPr>
          <w:p w14:paraId="325D0DF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23</w:t>
            </w:r>
          </w:p>
        </w:tc>
        <w:tc>
          <w:tcPr>
            <w:tcW w:w="0" w:type="auto"/>
            <w:tcMar>
              <w:top w:w="0" w:type="dxa"/>
              <w:left w:w="108" w:type="dxa"/>
              <w:bottom w:w="0" w:type="dxa"/>
              <w:right w:w="101" w:type="dxa"/>
            </w:tcMar>
            <w:vAlign w:val="center"/>
            <w:hideMark/>
          </w:tcPr>
          <w:p w14:paraId="36ECFA1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Report of pertussis event, Colombia, year 2018 </w:t>
            </w:r>
          </w:p>
        </w:tc>
        <w:tc>
          <w:tcPr>
            <w:tcW w:w="0" w:type="auto"/>
            <w:tcMar>
              <w:top w:w="0" w:type="dxa"/>
              <w:left w:w="108" w:type="dxa"/>
              <w:bottom w:w="0" w:type="dxa"/>
              <w:right w:w="101" w:type="dxa"/>
            </w:tcMar>
            <w:vAlign w:val="center"/>
            <w:hideMark/>
          </w:tcPr>
          <w:p w14:paraId="3C443EB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2127E3C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41915C61" w14:textId="77777777" w:rsidTr="00E10CC6">
        <w:trPr>
          <w:trHeight w:val="780"/>
          <w:jc w:val="center"/>
        </w:trPr>
        <w:tc>
          <w:tcPr>
            <w:tcW w:w="0" w:type="auto"/>
            <w:tcMar>
              <w:top w:w="0" w:type="dxa"/>
              <w:left w:w="101" w:type="dxa"/>
              <w:bottom w:w="0" w:type="dxa"/>
              <w:right w:w="101" w:type="dxa"/>
            </w:tcMar>
            <w:vAlign w:val="center"/>
            <w:hideMark/>
          </w:tcPr>
          <w:p w14:paraId="4B445F6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24</w:t>
            </w:r>
          </w:p>
        </w:tc>
        <w:tc>
          <w:tcPr>
            <w:tcW w:w="0" w:type="auto"/>
            <w:tcMar>
              <w:top w:w="0" w:type="dxa"/>
              <w:left w:w="108" w:type="dxa"/>
              <w:bottom w:w="0" w:type="dxa"/>
              <w:right w:w="101" w:type="dxa"/>
            </w:tcMar>
            <w:vAlign w:val="center"/>
            <w:hideMark/>
          </w:tcPr>
          <w:p w14:paraId="190DDD86"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Accidental tetanus. Epidemiological period VIII. Colombia 2021</w:t>
            </w:r>
          </w:p>
        </w:tc>
        <w:tc>
          <w:tcPr>
            <w:tcW w:w="0" w:type="auto"/>
            <w:tcMar>
              <w:top w:w="0" w:type="dxa"/>
              <w:left w:w="108" w:type="dxa"/>
              <w:bottom w:w="0" w:type="dxa"/>
              <w:right w:w="101" w:type="dxa"/>
            </w:tcMar>
            <w:vAlign w:val="center"/>
            <w:hideMark/>
          </w:tcPr>
          <w:p w14:paraId="43F819F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200A2DF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11894EB3" w14:textId="77777777" w:rsidTr="00E10CC6">
        <w:trPr>
          <w:trHeight w:val="780"/>
          <w:jc w:val="center"/>
        </w:trPr>
        <w:tc>
          <w:tcPr>
            <w:tcW w:w="0" w:type="auto"/>
            <w:tcMar>
              <w:top w:w="0" w:type="dxa"/>
              <w:left w:w="101" w:type="dxa"/>
              <w:bottom w:w="0" w:type="dxa"/>
              <w:right w:w="101" w:type="dxa"/>
            </w:tcMar>
            <w:vAlign w:val="center"/>
            <w:hideMark/>
          </w:tcPr>
          <w:p w14:paraId="0091C95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25</w:t>
            </w:r>
          </w:p>
        </w:tc>
        <w:tc>
          <w:tcPr>
            <w:tcW w:w="0" w:type="auto"/>
            <w:tcMar>
              <w:top w:w="0" w:type="dxa"/>
              <w:left w:w="108" w:type="dxa"/>
              <w:bottom w:w="0" w:type="dxa"/>
              <w:right w:w="101" w:type="dxa"/>
            </w:tcMar>
            <w:vAlign w:val="center"/>
            <w:hideMark/>
          </w:tcPr>
          <w:p w14:paraId="73E4ADE5"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Neonatal tetanus event report, Colombia, 2019 </w:t>
            </w:r>
          </w:p>
        </w:tc>
        <w:tc>
          <w:tcPr>
            <w:tcW w:w="0" w:type="auto"/>
            <w:tcMar>
              <w:top w:w="0" w:type="dxa"/>
              <w:left w:w="108" w:type="dxa"/>
              <w:bottom w:w="0" w:type="dxa"/>
              <w:right w:w="101" w:type="dxa"/>
            </w:tcMar>
            <w:vAlign w:val="center"/>
            <w:hideMark/>
          </w:tcPr>
          <w:p w14:paraId="26F00E0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6255D2E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727F689E" w14:textId="77777777" w:rsidTr="00E10CC6">
        <w:trPr>
          <w:trHeight w:val="780"/>
          <w:jc w:val="center"/>
        </w:trPr>
        <w:tc>
          <w:tcPr>
            <w:tcW w:w="0" w:type="auto"/>
            <w:tcMar>
              <w:top w:w="0" w:type="dxa"/>
              <w:left w:w="101" w:type="dxa"/>
              <w:bottom w:w="0" w:type="dxa"/>
              <w:right w:w="101" w:type="dxa"/>
            </w:tcMar>
            <w:vAlign w:val="center"/>
            <w:hideMark/>
          </w:tcPr>
          <w:p w14:paraId="5B9CEDE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26</w:t>
            </w:r>
          </w:p>
        </w:tc>
        <w:tc>
          <w:tcPr>
            <w:tcW w:w="0" w:type="auto"/>
            <w:tcMar>
              <w:top w:w="0" w:type="dxa"/>
              <w:left w:w="108" w:type="dxa"/>
              <w:bottom w:w="0" w:type="dxa"/>
              <w:right w:w="101" w:type="dxa"/>
            </w:tcMar>
            <w:vAlign w:val="center"/>
            <w:hideMark/>
          </w:tcPr>
          <w:p w14:paraId="2E5EF48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Report of the event accidental tetanos Colombia, 2019  </w:t>
            </w:r>
          </w:p>
        </w:tc>
        <w:tc>
          <w:tcPr>
            <w:tcW w:w="0" w:type="auto"/>
            <w:tcMar>
              <w:top w:w="0" w:type="dxa"/>
              <w:left w:w="108" w:type="dxa"/>
              <w:bottom w:w="0" w:type="dxa"/>
              <w:right w:w="101" w:type="dxa"/>
            </w:tcMar>
            <w:vAlign w:val="center"/>
            <w:hideMark/>
          </w:tcPr>
          <w:p w14:paraId="0BD7E1C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73FE012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2911CD46" w14:textId="77777777" w:rsidTr="00E10CC6">
        <w:trPr>
          <w:trHeight w:val="780"/>
          <w:jc w:val="center"/>
        </w:trPr>
        <w:tc>
          <w:tcPr>
            <w:tcW w:w="0" w:type="auto"/>
            <w:tcMar>
              <w:top w:w="0" w:type="dxa"/>
              <w:left w:w="101" w:type="dxa"/>
              <w:bottom w:w="0" w:type="dxa"/>
              <w:right w:w="101" w:type="dxa"/>
            </w:tcMar>
            <w:vAlign w:val="center"/>
            <w:hideMark/>
          </w:tcPr>
          <w:p w14:paraId="1CDD76C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27</w:t>
            </w:r>
          </w:p>
        </w:tc>
        <w:tc>
          <w:tcPr>
            <w:tcW w:w="0" w:type="auto"/>
            <w:tcMar>
              <w:top w:w="0" w:type="dxa"/>
              <w:left w:w="108" w:type="dxa"/>
              <w:bottom w:w="0" w:type="dxa"/>
              <w:right w:w="101" w:type="dxa"/>
            </w:tcMar>
            <w:vAlign w:val="center"/>
            <w:hideMark/>
          </w:tcPr>
          <w:p w14:paraId="7723649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Neonatal tetanus event report, Colombia, 2020 </w:t>
            </w:r>
          </w:p>
        </w:tc>
        <w:tc>
          <w:tcPr>
            <w:tcW w:w="0" w:type="auto"/>
            <w:tcMar>
              <w:top w:w="0" w:type="dxa"/>
              <w:left w:w="108" w:type="dxa"/>
              <w:bottom w:w="0" w:type="dxa"/>
              <w:right w:w="101" w:type="dxa"/>
            </w:tcMar>
            <w:vAlign w:val="center"/>
            <w:hideMark/>
          </w:tcPr>
          <w:p w14:paraId="23D812E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335A44E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1B755E96" w14:textId="77777777" w:rsidTr="00E10CC6">
        <w:trPr>
          <w:trHeight w:val="780"/>
          <w:jc w:val="center"/>
        </w:trPr>
        <w:tc>
          <w:tcPr>
            <w:tcW w:w="0" w:type="auto"/>
            <w:tcMar>
              <w:top w:w="0" w:type="dxa"/>
              <w:left w:w="101" w:type="dxa"/>
              <w:bottom w:w="0" w:type="dxa"/>
              <w:right w:w="101" w:type="dxa"/>
            </w:tcMar>
            <w:vAlign w:val="center"/>
            <w:hideMark/>
          </w:tcPr>
          <w:p w14:paraId="2AFCC63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28</w:t>
            </w:r>
          </w:p>
        </w:tc>
        <w:tc>
          <w:tcPr>
            <w:tcW w:w="0" w:type="auto"/>
            <w:tcMar>
              <w:top w:w="0" w:type="dxa"/>
              <w:left w:w="108" w:type="dxa"/>
              <w:bottom w:w="0" w:type="dxa"/>
              <w:right w:w="101" w:type="dxa"/>
            </w:tcMar>
            <w:vAlign w:val="center"/>
            <w:hideMark/>
          </w:tcPr>
          <w:p w14:paraId="3E4D8A11"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Neonatal tetanus event report, Colombia, 2018 </w:t>
            </w:r>
          </w:p>
        </w:tc>
        <w:tc>
          <w:tcPr>
            <w:tcW w:w="0" w:type="auto"/>
            <w:tcMar>
              <w:top w:w="0" w:type="dxa"/>
              <w:left w:w="108" w:type="dxa"/>
              <w:bottom w:w="0" w:type="dxa"/>
              <w:right w:w="101" w:type="dxa"/>
            </w:tcMar>
            <w:vAlign w:val="center"/>
            <w:hideMark/>
          </w:tcPr>
          <w:p w14:paraId="3FB696B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5AC039C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079C32DA" w14:textId="77777777" w:rsidTr="00E10CC6">
        <w:trPr>
          <w:trHeight w:val="780"/>
          <w:jc w:val="center"/>
        </w:trPr>
        <w:tc>
          <w:tcPr>
            <w:tcW w:w="0" w:type="auto"/>
            <w:tcMar>
              <w:top w:w="0" w:type="dxa"/>
              <w:left w:w="101" w:type="dxa"/>
              <w:bottom w:w="0" w:type="dxa"/>
              <w:right w:w="101" w:type="dxa"/>
            </w:tcMar>
            <w:vAlign w:val="center"/>
            <w:hideMark/>
          </w:tcPr>
          <w:p w14:paraId="00BA6B6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29</w:t>
            </w:r>
          </w:p>
        </w:tc>
        <w:tc>
          <w:tcPr>
            <w:tcW w:w="0" w:type="auto"/>
            <w:tcMar>
              <w:top w:w="0" w:type="dxa"/>
              <w:left w:w="108" w:type="dxa"/>
              <w:bottom w:w="0" w:type="dxa"/>
              <w:right w:w="101" w:type="dxa"/>
            </w:tcMar>
            <w:vAlign w:val="center"/>
            <w:hideMark/>
          </w:tcPr>
          <w:p w14:paraId="0AB7DA4A"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Accidental tetanus event report, Colombia, 2020 </w:t>
            </w:r>
          </w:p>
        </w:tc>
        <w:tc>
          <w:tcPr>
            <w:tcW w:w="0" w:type="auto"/>
            <w:tcMar>
              <w:top w:w="0" w:type="dxa"/>
              <w:left w:w="108" w:type="dxa"/>
              <w:bottom w:w="0" w:type="dxa"/>
              <w:right w:w="101" w:type="dxa"/>
            </w:tcMar>
            <w:vAlign w:val="center"/>
            <w:hideMark/>
          </w:tcPr>
          <w:p w14:paraId="4A3E0A5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4920BA6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417DEEBC" w14:textId="77777777" w:rsidTr="00E10CC6">
        <w:trPr>
          <w:trHeight w:val="780"/>
          <w:jc w:val="center"/>
        </w:trPr>
        <w:tc>
          <w:tcPr>
            <w:tcW w:w="0" w:type="auto"/>
            <w:tcMar>
              <w:top w:w="0" w:type="dxa"/>
              <w:left w:w="101" w:type="dxa"/>
              <w:bottom w:w="0" w:type="dxa"/>
              <w:right w:w="101" w:type="dxa"/>
            </w:tcMar>
            <w:vAlign w:val="center"/>
            <w:hideMark/>
          </w:tcPr>
          <w:p w14:paraId="0E578D7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30</w:t>
            </w:r>
          </w:p>
        </w:tc>
        <w:tc>
          <w:tcPr>
            <w:tcW w:w="0" w:type="auto"/>
            <w:tcMar>
              <w:top w:w="0" w:type="dxa"/>
              <w:left w:w="108" w:type="dxa"/>
              <w:bottom w:w="0" w:type="dxa"/>
              <w:right w:w="101" w:type="dxa"/>
            </w:tcMar>
            <w:vAlign w:val="center"/>
            <w:hideMark/>
          </w:tcPr>
          <w:p w14:paraId="4FDAF7E1"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Accidental tetanus event report, Colombia, 2018 </w:t>
            </w:r>
          </w:p>
        </w:tc>
        <w:tc>
          <w:tcPr>
            <w:tcW w:w="0" w:type="auto"/>
            <w:tcMar>
              <w:top w:w="0" w:type="dxa"/>
              <w:left w:w="108" w:type="dxa"/>
              <w:bottom w:w="0" w:type="dxa"/>
              <w:right w:w="101" w:type="dxa"/>
            </w:tcMar>
            <w:vAlign w:val="center"/>
            <w:hideMark/>
          </w:tcPr>
          <w:p w14:paraId="1E6450E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098153F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4B594F16" w14:textId="77777777" w:rsidTr="00E10CC6">
        <w:trPr>
          <w:trHeight w:val="780"/>
          <w:jc w:val="center"/>
        </w:trPr>
        <w:tc>
          <w:tcPr>
            <w:tcW w:w="0" w:type="auto"/>
            <w:tcMar>
              <w:top w:w="0" w:type="dxa"/>
              <w:left w:w="101" w:type="dxa"/>
              <w:bottom w:w="0" w:type="dxa"/>
              <w:right w:w="101" w:type="dxa"/>
            </w:tcMar>
            <w:vAlign w:val="center"/>
            <w:hideMark/>
          </w:tcPr>
          <w:p w14:paraId="173C864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31</w:t>
            </w:r>
          </w:p>
        </w:tc>
        <w:tc>
          <w:tcPr>
            <w:tcW w:w="0" w:type="auto"/>
            <w:tcMar>
              <w:top w:w="0" w:type="dxa"/>
              <w:left w:w="108" w:type="dxa"/>
              <w:bottom w:w="0" w:type="dxa"/>
              <w:right w:w="101" w:type="dxa"/>
            </w:tcMar>
            <w:vAlign w:val="center"/>
            <w:hideMark/>
          </w:tcPr>
          <w:p w14:paraId="07F72AEE"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Report of serious events allegedly attributed to vaccination or immunization, Colombia, 2018</w:t>
            </w:r>
          </w:p>
        </w:tc>
        <w:tc>
          <w:tcPr>
            <w:tcW w:w="0" w:type="auto"/>
            <w:tcMar>
              <w:top w:w="0" w:type="dxa"/>
              <w:left w:w="108" w:type="dxa"/>
              <w:bottom w:w="0" w:type="dxa"/>
              <w:right w:w="101" w:type="dxa"/>
            </w:tcMar>
            <w:vAlign w:val="center"/>
            <w:hideMark/>
          </w:tcPr>
          <w:p w14:paraId="3036B29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3D6E4BA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14058DF3" w14:textId="77777777" w:rsidTr="00E10CC6">
        <w:trPr>
          <w:trHeight w:val="780"/>
          <w:jc w:val="center"/>
        </w:trPr>
        <w:tc>
          <w:tcPr>
            <w:tcW w:w="0" w:type="auto"/>
            <w:tcMar>
              <w:top w:w="0" w:type="dxa"/>
              <w:left w:w="101" w:type="dxa"/>
              <w:bottom w:w="0" w:type="dxa"/>
              <w:right w:w="101" w:type="dxa"/>
            </w:tcMar>
            <w:vAlign w:val="center"/>
            <w:hideMark/>
          </w:tcPr>
          <w:p w14:paraId="3C3BDDC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32</w:t>
            </w:r>
          </w:p>
        </w:tc>
        <w:tc>
          <w:tcPr>
            <w:tcW w:w="0" w:type="auto"/>
            <w:tcMar>
              <w:top w:w="0" w:type="dxa"/>
              <w:left w:w="108" w:type="dxa"/>
              <w:bottom w:w="0" w:type="dxa"/>
              <w:right w:w="101" w:type="dxa"/>
            </w:tcMar>
            <w:vAlign w:val="center"/>
            <w:hideMark/>
          </w:tcPr>
          <w:p w14:paraId="5FB7EC83"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Congenital rubella syndrome, Colombia, 2020</w:t>
            </w:r>
          </w:p>
        </w:tc>
        <w:tc>
          <w:tcPr>
            <w:tcW w:w="0" w:type="auto"/>
            <w:tcMar>
              <w:top w:w="0" w:type="dxa"/>
              <w:left w:w="108" w:type="dxa"/>
              <w:bottom w:w="0" w:type="dxa"/>
              <w:right w:w="101" w:type="dxa"/>
            </w:tcMar>
            <w:vAlign w:val="center"/>
            <w:hideMark/>
          </w:tcPr>
          <w:p w14:paraId="2DF959E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51FA8D2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CA7640F" w14:textId="77777777" w:rsidTr="00E10CC6">
        <w:trPr>
          <w:trHeight w:val="780"/>
          <w:jc w:val="center"/>
        </w:trPr>
        <w:tc>
          <w:tcPr>
            <w:tcW w:w="0" w:type="auto"/>
            <w:tcMar>
              <w:top w:w="0" w:type="dxa"/>
              <w:left w:w="101" w:type="dxa"/>
              <w:bottom w:w="0" w:type="dxa"/>
              <w:right w:w="101" w:type="dxa"/>
            </w:tcMar>
            <w:vAlign w:val="center"/>
            <w:hideMark/>
          </w:tcPr>
          <w:p w14:paraId="34235E0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33</w:t>
            </w:r>
          </w:p>
        </w:tc>
        <w:tc>
          <w:tcPr>
            <w:tcW w:w="0" w:type="auto"/>
            <w:tcMar>
              <w:top w:w="0" w:type="dxa"/>
              <w:left w:w="108" w:type="dxa"/>
              <w:bottom w:w="0" w:type="dxa"/>
              <w:right w:w="101" w:type="dxa"/>
            </w:tcMar>
            <w:vAlign w:val="center"/>
            <w:hideMark/>
          </w:tcPr>
          <w:p w14:paraId="4BDACF3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Congenital rubella syndrome event report, Colombia, 2019</w:t>
            </w:r>
          </w:p>
        </w:tc>
        <w:tc>
          <w:tcPr>
            <w:tcW w:w="0" w:type="auto"/>
            <w:tcMar>
              <w:top w:w="0" w:type="dxa"/>
              <w:left w:w="108" w:type="dxa"/>
              <w:bottom w:w="0" w:type="dxa"/>
              <w:right w:w="101" w:type="dxa"/>
            </w:tcMar>
            <w:vAlign w:val="center"/>
            <w:hideMark/>
          </w:tcPr>
          <w:p w14:paraId="244D46C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43A2190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5C576AE" w14:textId="77777777" w:rsidTr="00E10CC6">
        <w:trPr>
          <w:trHeight w:val="780"/>
          <w:jc w:val="center"/>
        </w:trPr>
        <w:tc>
          <w:tcPr>
            <w:tcW w:w="0" w:type="auto"/>
            <w:tcMar>
              <w:top w:w="0" w:type="dxa"/>
              <w:left w:w="101" w:type="dxa"/>
              <w:bottom w:w="0" w:type="dxa"/>
              <w:right w:w="101" w:type="dxa"/>
            </w:tcMar>
            <w:vAlign w:val="center"/>
            <w:hideMark/>
          </w:tcPr>
          <w:p w14:paraId="7CB65B9A" w14:textId="2C141C41" w:rsidR="00E10CC6" w:rsidRPr="009B3512" w:rsidRDefault="00E10CC6" w:rsidP="00E10CC6">
            <w:pPr>
              <w:jc w:val="center"/>
              <w:rPr>
                <w:rFonts w:ascii="Arial" w:eastAsia="Times New Roman" w:hAnsi="Arial" w:cs="Arial"/>
                <w:lang w:eastAsia="en-GB"/>
              </w:rPr>
            </w:pPr>
            <w:r w:rsidRPr="009B3512">
              <w:rPr>
                <w:rFonts w:ascii="Arial" w:eastAsia="Times New Roman" w:hAnsi="Arial" w:cs="Arial"/>
                <w:lang w:eastAsia="en-GB"/>
              </w:rPr>
              <w:t>34</w:t>
            </w:r>
          </w:p>
        </w:tc>
        <w:tc>
          <w:tcPr>
            <w:tcW w:w="0" w:type="auto"/>
            <w:tcMar>
              <w:top w:w="0" w:type="dxa"/>
              <w:left w:w="108" w:type="dxa"/>
              <w:bottom w:w="0" w:type="dxa"/>
              <w:right w:w="101" w:type="dxa"/>
            </w:tcMar>
            <w:vAlign w:val="center"/>
            <w:hideMark/>
          </w:tcPr>
          <w:p w14:paraId="7AE52013"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Low term birth weight event report, Colombia, year 2019 </w:t>
            </w:r>
          </w:p>
        </w:tc>
        <w:tc>
          <w:tcPr>
            <w:tcW w:w="0" w:type="auto"/>
            <w:tcMar>
              <w:top w:w="0" w:type="dxa"/>
              <w:left w:w="108" w:type="dxa"/>
              <w:bottom w:w="0" w:type="dxa"/>
              <w:right w:w="101" w:type="dxa"/>
            </w:tcMar>
            <w:vAlign w:val="center"/>
            <w:hideMark/>
          </w:tcPr>
          <w:p w14:paraId="430C5FE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4CC8FE0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0A5A1B7D" w14:textId="77777777" w:rsidTr="00E10CC6">
        <w:trPr>
          <w:trHeight w:val="780"/>
          <w:jc w:val="center"/>
        </w:trPr>
        <w:tc>
          <w:tcPr>
            <w:tcW w:w="0" w:type="auto"/>
            <w:tcMar>
              <w:top w:w="0" w:type="dxa"/>
              <w:left w:w="101" w:type="dxa"/>
              <w:bottom w:w="0" w:type="dxa"/>
              <w:right w:w="101" w:type="dxa"/>
            </w:tcMar>
            <w:vAlign w:val="center"/>
            <w:hideMark/>
          </w:tcPr>
          <w:p w14:paraId="1366D6E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35</w:t>
            </w:r>
          </w:p>
        </w:tc>
        <w:tc>
          <w:tcPr>
            <w:tcW w:w="0" w:type="auto"/>
            <w:tcMar>
              <w:top w:w="0" w:type="dxa"/>
              <w:left w:w="108" w:type="dxa"/>
              <w:bottom w:w="0" w:type="dxa"/>
              <w:right w:w="101" w:type="dxa"/>
            </w:tcMar>
            <w:vAlign w:val="center"/>
            <w:hideMark/>
          </w:tcPr>
          <w:p w14:paraId="6B4EAEF5"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Low full-term birth weight. Colombia 2018</w:t>
            </w:r>
          </w:p>
        </w:tc>
        <w:tc>
          <w:tcPr>
            <w:tcW w:w="0" w:type="auto"/>
            <w:tcMar>
              <w:top w:w="0" w:type="dxa"/>
              <w:left w:w="108" w:type="dxa"/>
              <w:bottom w:w="0" w:type="dxa"/>
              <w:right w:w="101" w:type="dxa"/>
            </w:tcMar>
            <w:vAlign w:val="center"/>
            <w:hideMark/>
          </w:tcPr>
          <w:p w14:paraId="449AEDC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06A1DAF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4EB254B" w14:textId="77777777" w:rsidTr="00E10CC6">
        <w:trPr>
          <w:trHeight w:val="780"/>
          <w:jc w:val="center"/>
        </w:trPr>
        <w:tc>
          <w:tcPr>
            <w:tcW w:w="0" w:type="auto"/>
            <w:tcMar>
              <w:top w:w="0" w:type="dxa"/>
              <w:left w:w="101" w:type="dxa"/>
              <w:bottom w:w="0" w:type="dxa"/>
              <w:right w:w="101" w:type="dxa"/>
            </w:tcMar>
            <w:vAlign w:val="center"/>
            <w:hideMark/>
          </w:tcPr>
          <w:p w14:paraId="3DDD312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lastRenderedPageBreak/>
              <w:t>36</w:t>
            </w:r>
          </w:p>
        </w:tc>
        <w:tc>
          <w:tcPr>
            <w:tcW w:w="0" w:type="auto"/>
            <w:tcMar>
              <w:top w:w="0" w:type="dxa"/>
              <w:left w:w="108" w:type="dxa"/>
              <w:bottom w:w="0" w:type="dxa"/>
              <w:right w:w="101" w:type="dxa"/>
            </w:tcMar>
            <w:vAlign w:val="center"/>
            <w:hideMark/>
          </w:tcPr>
          <w:p w14:paraId="69B3551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Report of attacks and contacts with potentially rabies-transmitting animals - human rabies, colombia, 2019 </w:t>
            </w:r>
          </w:p>
        </w:tc>
        <w:tc>
          <w:tcPr>
            <w:tcW w:w="0" w:type="auto"/>
            <w:tcMar>
              <w:top w:w="0" w:type="dxa"/>
              <w:left w:w="108" w:type="dxa"/>
              <w:bottom w:w="0" w:type="dxa"/>
              <w:right w:w="101" w:type="dxa"/>
            </w:tcMar>
            <w:vAlign w:val="center"/>
            <w:hideMark/>
          </w:tcPr>
          <w:p w14:paraId="1FD569B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5944869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0DEF8BB3" w14:textId="77777777" w:rsidTr="00E10CC6">
        <w:trPr>
          <w:trHeight w:val="780"/>
          <w:jc w:val="center"/>
        </w:trPr>
        <w:tc>
          <w:tcPr>
            <w:tcW w:w="0" w:type="auto"/>
            <w:tcMar>
              <w:top w:w="0" w:type="dxa"/>
              <w:left w:w="101" w:type="dxa"/>
              <w:bottom w:w="0" w:type="dxa"/>
              <w:right w:w="101" w:type="dxa"/>
            </w:tcMar>
            <w:vAlign w:val="center"/>
            <w:hideMark/>
          </w:tcPr>
          <w:p w14:paraId="3C02861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37</w:t>
            </w:r>
          </w:p>
        </w:tc>
        <w:tc>
          <w:tcPr>
            <w:tcW w:w="0" w:type="auto"/>
            <w:tcMar>
              <w:top w:w="0" w:type="dxa"/>
              <w:left w:w="108" w:type="dxa"/>
              <w:bottom w:w="0" w:type="dxa"/>
              <w:right w:w="101" w:type="dxa"/>
            </w:tcMar>
            <w:vAlign w:val="center"/>
            <w:hideMark/>
          </w:tcPr>
          <w:p w14:paraId="47DDE92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Report of ophidian accident event, Colombia, 2019 </w:t>
            </w:r>
          </w:p>
        </w:tc>
        <w:tc>
          <w:tcPr>
            <w:tcW w:w="0" w:type="auto"/>
            <w:tcMar>
              <w:top w:w="0" w:type="dxa"/>
              <w:left w:w="108" w:type="dxa"/>
              <w:bottom w:w="0" w:type="dxa"/>
              <w:right w:w="101" w:type="dxa"/>
            </w:tcMar>
            <w:vAlign w:val="center"/>
            <w:hideMark/>
          </w:tcPr>
          <w:p w14:paraId="2746791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55A09E8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036B4696" w14:textId="77777777" w:rsidTr="00E10CC6">
        <w:trPr>
          <w:trHeight w:val="780"/>
          <w:jc w:val="center"/>
        </w:trPr>
        <w:tc>
          <w:tcPr>
            <w:tcW w:w="0" w:type="auto"/>
            <w:tcMar>
              <w:top w:w="0" w:type="dxa"/>
              <w:left w:w="101" w:type="dxa"/>
              <w:bottom w:w="0" w:type="dxa"/>
              <w:right w:w="101" w:type="dxa"/>
            </w:tcMar>
            <w:vAlign w:val="center"/>
            <w:hideMark/>
          </w:tcPr>
          <w:p w14:paraId="39CF0AE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38</w:t>
            </w:r>
          </w:p>
        </w:tc>
        <w:tc>
          <w:tcPr>
            <w:tcW w:w="0" w:type="auto"/>
            <w:tcMar>
              <w:top w:w="0" w:type="dxa"/>
              <w:left w:w="108" w:type="dxa"/>
              <w:bottom w:w="0" w:type="dxa"/>
              <w:right w:w="101" w:type="dxa"/>
            </w:tcMar>
            <w:vAlign w:val="center"/>
            <w:hideMark/>
          </w:tcPr>
          <w:p w14:paraId="56E1EE39"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Low term birth weight Epidemiological period VIII. Colombia 2021</w:t>
            </w:r>
          </w:p>
        </w:tc>
        <w:tc>
          <w:tcPr>
            <w:tcW w:w="0" w:type="auto"/>
            <w:tcMar>
              <w:top w:w="0" w:type="dxa"/>
              <w:left w:w="108" w:type="dxa"/>
              <w:bottom w:w="0" w:type="dxa"/>
              <w:right w:w="101" w:type="dxa"/>
            </w:tcMar>
            <w:vAlign w:val="center"/>
            <w:hideMark/>
          </w:tcPr>
          <w:p w14:paraId="347CE44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364EADB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7F951EE4" w14:textId="77777777" w:rsidTr="00E10CC6">
        <w:trPr>
          <w:trHeight w:val="780"/>
          <w:jc w:val="center"/>
        </w:trPr>
        <w:tc>
          <w:tcPr>
            <w:tcW w:w="0" w:type="auto"/>
            <w:tcMar>
              <w:top w:w="0" w:type="dxa"/>
              <w:left w:w="101" w:type="dxa"/>
              <w:bottom w:w="0" w:type="dxa"/>
              <w:right w:w="101" w:type="dxa"/>
            </w:tcMar>
            <w:vAlign w:val="center"/>
            <w:hideMark/>
          </w:tcPr>
          <w:p w14:paraId="457F9AB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39</w:t>
            </w:r>
          </w:p>
        </w:tc>
        <w:tc>
          <w:tcPr>
            <w:tcW w:w="0" w:type="auto"/>
            <w:tcMar>
              <w:top w:w="0" w:type="dxa"/>
              <w:left w:w="108" w:type="dxa"/>
              <w:bottom w:w="0" w:type="dxa"/>
              <w:right w:w="101" w:type="dxa"/>
            </w:tcMar>
            <w:vAlign w:val="center"/>
            <w:hideMark/>
          </w:tcPr>
          <w:p w14:paraId="4B5E6CF7"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Ophidic accident Epidemiological period VIII. Colombia 2021</w:t>
            </w:r>
          </w:p>
        </w:tc>
        <w:tc>
          <w:tcPr>
            <w:tcW w:w="0" w:type="auto"/>
            <w:tcMar>
              <w:top w:w="0" w:type="dxa"/>
              <w:left w:w="108" w:type="dxa"/>
              <w:bottom w:w="0" w:type="dxa"/>
              <w:right w:w="101" w:type="dxa"/>
            </w:tcMar>
            <w:vAlign w:val="center"/>
            <w:hideMark/>
          </w:tcPr>
          <w:p w14:paraId="0087127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58DBB3F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62D1808C" w14:textId="77777777" w:rsidTr="00E10CC6">
        <w:trPr>
          <w:trHeight w:val="780"/>
          <w:jc w:val="center"/>
        </w:trPr>
        <w:tc>
          <w:tcPr>
            <w:tcW w:w="0" w:type="auto"/>
            <w:tcMar>
              <w:top w:w="0" w:type="dxa"/>
              <w:left w:w="101" w:type="dxa"/>
              <w:bottom w:w="0" w:type="dxa"/>
              <w:right w:w="101" w:type="dxa"/>
            </w:tcMar>
            <w:vAlign w:val="center"/>
            <w:hideMark/>
          </w:tcPr>
          <w:p w14:paraId="16CF13A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40</w:t>
            </w:r>
          </w:p>
        </w:tc>
        <w:tc>
          <w:tcPr>
            <w:tcW w:w="0" w:type="auto"/>
            <w:tcMar>
              <w:top w:w="0" w:type="dxa"/>
              <w:left w:w="108" w:type="dxa"/>
              <w:bottom w:w="0" w:type="dxa"/>
              <w:right w:w="101" w:type="dxa"/>
            </w:tcMar>
            <w:vAlign w:val="center"/>
            <w:hideMark/>
          </w:tcPr>
          <w:p w14:paraId="2131CD34"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Report of ophidian accident event, Colombia, 2018 </w:t>
            </w:r>
          </w:p>
        </w:tc>
        <w:tc>
          <w:tcPr>
            <w:tcW w:w="0" w:type="auto"/>
            <w:tcMar>
              <w:top w:w="0" w:type="dxa"/>
              <w:left w:w="108" w:type="dxa"/>
              <w:bottom w:w="0" w:type="dxa"/>
              <w:right w:w="101" w:type="dxa"/>
            </w:tcMar>
            <w:vAlign w:val="center"/>
            <w:hideMark/>
          </w:tcPr>
          <w:p w14:paraId="0E9A0E1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471A9BA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247525D2" w14:textId="77777777" w:rsidTr="00E10CC6">
        <w:trPr>
          <w:trHeight w:val="780"/>
          <w:jc w:val="center"/>
        </w:trPr>
        <w:tc>
          <w:tcPr>
            <w:tcW w:w="0" w:type="auto"/>
            <w:tcMar>
              <w:top w:w="0" w:type="dxa"/>
              <w:left w:w="101" w:type="dxa"/>
              <w:bottom w:w="0" w:type="dxa"/>
              <w:right w:w="101" w:type="dxa"/>
            </w:tcMar>
            <w:vAlign w:val="center"/>
            <w:hideMark/>
          </w:tcPr>
          <w:p w14:paraId="1A3D6DE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41</w:t>
            </w:r>
          </w:p>
        </w:tc>
        <w:tc>
          <w:tcPr>
            <w:tcW w:w="0" w:type="auto"/>
            <w:tcMar>
              <w:top w:w="0" w:type="dxa"/>
              <w:left w:w="108" w:type="dxa"/>
              <w:bottom w:w="0" w:type="dxa"/>
              <w:right w:w="101" w:type="dxa"/>
            </w:tcMar>
            <w:vAlign w:val="center"/>
            <w:hideMark/>
          </w:tcPr>
          <w:p w14:paraId="41ACFD3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Chikungunya outbreak in the municipality of San Juan Nepomuceno, Bolivar, Colombia 2014 </w:t>
            </w:r>
          </w:p>
        </w:tc>
        <w:tc>
          <w:tcPr>
            <w:tcW w:w="0" w:type="auto"/>
            <w:tcMar>
              <w:top w:w="0" w:type="dxa"/>
              <w:left w:w="108" w:type="dxa"/>
              <w:bottom w:w="0" w:type="dxa"/>
              <w:right w:w="101" w:type="dxa"/>
            </w:tcMar>
            <w:vAlign w:val="center"/>
            <w:hideMark/>
          </w:tcPr>
          <w:p w14:paraId="247C2FA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2014</w:t>
            </w:r>
          </w:p>
        </w:tc>
        <w:tc>
          <w:tcPr>
            <w:tcW w:w="0" w:type="auto"/>
            <w:tcMar>
              <w:top w:w="0" w:type="dxa"/>
              <w:left w:w="108" w:type="dxa"/>
              <w:bottom w:w="0" w:type="dxa"/>
              <w:right w:w="101" w:type="dxa"/>
            </w:tcMar>
            <w:vAlign w:val="center"/>
            <w:hideMark/>
          </w:tcPr>
          <w:p w14:paraId="4B3DFF3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Outbreak study </w:t>
            </w:r>
          </w:p>
        </w:tc>
      </w:tr>
      <w:tr w:rsidR="00E10CC6" w:rsidRPr="009B3512" w14:paraId="7DC857E3" w14:textId="77777777" w:rsidTr="00E10CC6">
        <w:trPr>
          <w:trHeight w:val="780"/>
          <w:jc w:val="center"/>
        </w:trPr>
        <w:tc>
          <w:tcPr>
            <w:tcW w:w="0" w:type="auto"/>
            <w:tcMar>
              <w:top w:w="0" w:type="dxa"/>
              <w:left w:w="101" w:type="dxa"/>
              <w:bottom w:w="0" w:type="dxa"/>
              <w:right w:w="101" w:type="dxa"/>
            </w:tcMar>
            <w:vAlign w:val="center"/>
            <w:hideMark/>
          </w:tcPr>
          <w:p w14:paraId="3D38A34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42</w:t>
            </w:r>
          </w:p>
        </w:tc>
        <w:tc>
          <w:tcPr>
            <w:tcW w:w="0" w:type="auto"/>
            <w:tcMar>
              <w:top w:w="0" w:type="dxa"/>
              <w:left w:w="108" w:type="dxa"/>
              <w:bottom w:w="0" w:type="dxa"/>
              <w:right w:w="101" w:type="dxa"/>
            </w:tcMar>
            <w:vAlign w:val="center"/>
            <w:hideMark/>
          </w:tcPr>
          <w:p w14:paraId="40DCF1A0"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Visceral leishmaniasis outbreak in a periurban area in the municipality of Neiva, Huila. Situation from January to July 2017.</w:t>
            </w:r>
          </w:p>
        </w:tc>
        <w:tc>
          <w:tcPr>
            <w:tcW w:w="0" w:type="auto"/>
            <w:tcMar>
              <w:top w:w="0" w:type="dxa"/>
              <w:left w:w="108" w:type="dxa"/>
              <w:bottom w:w="0" w:type="dxa"/>
              <w:right w:w="101" w:type="dxa"/>
            </w:tcMar>
            <w:vAlign w:val="center"/>
            <w:hideMark/>
          </w:tcPr>
          <w:p w14:paraId="772E534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2017</w:t>
            </w:r>
          </w:p>
        </w:tc>
        <w:tc>
          <w:tcPr>
            <w:tcW w:w="0" w:type="auto"/>
            <w:tcMar>
              <w:top w:w="0" w:type="dxa"/>
              <w:left w:w="108" w:type="dxa"/>
              <w:bottom w:w="0" w:type="dxa"/>
              <w:right w:w="101" w:type="dxa"/>
            </w:tcMar>
            <w:vAlign w:val="center"/>
            <w:hideMark/>
          </w:tcPr>
          <w:p w14:paraId="473CAD1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Outbreak study </w:t>
            </w:r>
          </w:p>
        </w:tc>
      </w:tr>
      <w:tr w:rsidR="00E10CC6" w:rsidRPr="009B3512" w14:paraId="21F4A10E" w14:textId="77777777" w:rsidTr="00E10CC6">
        <w:trPr>
          <w:trHeight w:val="780"/>
          <w:jc w:val="center"/>
        </w:trPr>
        <w:tc>
          <w:tcPr>
            <w:tcW w:w="0" w:type="auto"/>
            <w:tcMar>
              <w:top w:w="0" w:type="dxa"/>
              <w:left w:w="101" w:type="dxa"/>
              <w:bottom w:w="0" w:type="dxa"/>
              <w:right w:w="101" w:type="dxa"/>
            </w:tcMar>
            <w:vAlign w:val="center"/>
            <w:hideMark/>
          </w:tcPr>
          <w:p w14:paraId="09E0A33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43</w:t>
            </w:r>
          </w:p>
        </w:tc>
        <w:tc>
          <w:tcPr>
            <w:tcW w:w="0" w:type="auto"/>
            <w:tcMar>
              <w:top w:w="0" w:type="dxa"/>
              <w:left w:w="108" w:type="dxa"/>
              <w:bottom w:w="0" w:type="dxa"/>
              <w:right w:w="101" w:type="dxa"/>
            </w:tcMar>
            <w:vAlign w:val="center"/>
            <w:hideMark/>
          </w:tcPr>
          <w:p w14:paraId="09E14EDE"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Congenital rubella syndrome event report, Colombia, year 2018 </w:t>
            </w:r>
          </w:p>
        </w:tc>
        <w:tc>
          <w:tcPr>
            <w:tcW w:w="0" w:type="auto"/>
            <w:tcMar>
              <w:top w:w="0" w:type="dxa"/>
              <w:left w:w="108" w:type="dxa"/>
              <w:bottom w:w="0" w:type="dxa"/>
              <w:right w:w="101" w:type="dxa"/>
            </w:tcMar>
            <w:vAlign w:val="center"/>
            <w:hideMark/>
          </w:tcPr>
          <w:p w14:paraId="239B59B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19CE7F4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547291C" w14:textId="77777777" w:rsidTr="00E10CC6">
        <w:trPr>
          <w:trHeight w:val="780"/>
          <w:jc w:val="center"/>
        </w:trPr>
        <w:tc>
          <w:tcPr>
            <w:tcW w:w="0" w:type="auto"/>
            <w:tcMar>
              <w:top w:w="0" w:type="dxa"/>
              <w:left w:w="101" w:type="dxa"/>
              <w:bottom w:w="0" w:type="dxa"/>
              <w:right w:w="101" w:type="dxa"/>
            </w:tcMar>
            <w:vAlign w:val="center"/>
            <w:hideMark/>
          </w:tcPr>
          <w:p w14:paraId="40D351A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44</w:t>
            </w:r>
          </w:p>
        </w:tc>
        <w:tc>
          <w:tcPr>
            <w:tcW w:w="0" w:type="auto"/>
            <w:tcMar>
              <w:top w:w="0" w:type="dxa"/>
              <w:left w:w="108" w:type="dxa"/>
              <w:bottom w:w="0" w:type="dxa"/>
              <w:right w:w="101" w:type="dxa"/>
            </w:tcMar>
            <w:vAlign w:val="center"/>
            <w:hideMark/>
          </w:tcPr>
          <w:p w14:paraId="05F05D05"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Gestational syphilis and congenital syphilis event report, Colombia, 2019 </w:t>
            </w:r>
          </w:p>
        </w:tc>
        <w:tc>
          <w:tcPr>
            <w:tcW w:w="0" w:type="auto"/>
            <w:tcMar>
              <w:top w:w="0" w:type="dxa"/>
              <w:left w:w="108" w:type="dxa"/>
              <w:bottom w:w="0" w:type="dxa"/>
              <w:right w:w="101" w:type="dxa"/>
            </w:tcMar>
            <w:vAlign w:val="center"/>
            <w:hideMark/>
          </w:tcPr>
          <w:p w14:paraId="712D4B2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71A8014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581DAB3" w14:textId="77777777" w:rsidTr="00E10CC6">
        <w:trPr>
          <w:trHeight w:val="780"/>
          <w:jc w:val="center"/>
        </w:trPr>
        <w:tc>
          <w:tcPr>
            <w:tcW w:w="0" w:type="auto"/>
            <w:tcMar>
              <w:top w:w="0" w:type="dxa"/>
              <w:left w:w="101" w:type="dxa"/>
              <w:bottom w:w="0" w:type="dxa"/>
              <w:right w:w="101" w:type="dxa"/>
            </w:tcMar>
            <w:vAlign w:val="center"/>
            <w:hideMark/>
          </w:tcPr>
          <w:p w14:paraId="2601094A" w14:textId="239422B0" w:rsidR="00E10CC6" w:rsidRPr="009B3512" w:rsidRDefault="00E10CC6" w:rsidP="00E10CC6">
            <w:pPr>
              <w:jc w:val="center"/>
              <w:rPr>
                <w:rFonts w:ascii="Arial" w:eastAsia="Times New Roman" w:hAnsi="Arial" w:cs="Arial"/>
                <w:lang w:eastAsia="en-GB"/>
              </w:rPr>
            </w:pPr>
            <w:r w:rsidRPr="009B3512">
              <w:rPr>
                <w:rFonts w:ascii="Arial" w:eastAsia="Times New Roman" w:hAnsi="Arial" w:cs="Arial"/>
                <w:lang w:eastAsia="en-GB"/>
              </w:rPr>
              <w:t>45</w:t>
            </w:r>
          </w:p>
        </w:tc>
        <w:tc>
          <w:tcPr>
            <w:tcW w:w="0" w:type="auto"/>
            <w:tcMar>
              <w:top w:w="0" w:type="dxa"/>
              <w:left w:w="108" w:type="dxa"/>
              <w:bottom w:w="0" w:type="dxa"/>
              <w:right w:w="101" w:type="dxa"/>
            </w:tcMar>
            <w:vAlign w:val="center"/>
            <w:hideMark/>
          </w:tcPr>
          <w:p w14:paraId="10CE27D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Gestational syphilis epidemiological period VIII. Colombia 2021</w:t>
            </w:r>
          </w:p>
        </w:tc>
        <w:tc>
          <w:tcPr>
            <w:tcW w:w="0" w:type="auto"/>
            <w:tcMar>
              <w:top w:w="0" w:type="dxa"/>
              <w:left w:w="108" w:type="dxa"/>
              <w:bottom w:w="0" w:type="dxa"/>
              <w:right w:w="101" w:type="dxa"/>
            </w:tcMar>
            <w:vAlign w:val="center"/>
            <w:hideMark/>
          </w:tcPr>
          <w:p w14:paraId="4FDC03C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468ACA5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6483FF10" w14:textId="77777777" w:rsidTr="00E10CC6">
        <w:trPr>
          <w:trHeight w:val="780"/>
          <w:jc w:val="center"/>
        </w:trPr>
        <w:tc>
          <w:tcPr>
            <w:tcW w:w="0" w:type="auto"/>
            <w:tcMar>
              <w:top w:w="0" w:type="dxa"/>
              <w:left w:w="101" w:type="dxa"/>
              <w:bottom w:w="0" w:type="dxa"/>
              <w:right w:w="101" w:type="dxa"/>
            </w:tcMar>
            <w:vAlign w:val="center"/>
            <w:hideMark/>
          </w:tcPr>
          <w:p w14:paraId="71AFF67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46</w:t>
            </w:r>
          </w:p>
        </w:tc>
        <w:tc>
          <w:tcPr>
            <w:tcW w:w="0" w:type="auto"/>
            <w:tcMar>
              <w:top w:w="0" w:type="dxa"/>
              <w:left w:w="108" w:type="dxa"/>
              <w:bottom w:w="0" w:type="dxa"/>
              <w:right w:w="101" w:type="dxa"/>
            </w:tcMar>
            <w:vAlign w:val="center"/>
            <w:hideMark/>
          </w:tcPr>
          <w:p w14:paraId="068F3396"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Gestational syphilis and congenital syphilis event report, Colombia, 2020 </w:t>
            </w:r>
          </w:p>
        </w:tc>
        <w:tc>
          <w:tcPr>
            <w:tcW w:w="0" w:type="auto"/>
            <w:tcMar>
              <w:top w:w="0" w:type="dxa"/>
              <w:left w:w="108" w:type="dxa"/>
              <w:bottom w:w="0" w:type="dxa"/>
              <w:right w:w="101" w:type="dxa"/>
            </w:tcMar>
            <w:vAlign w:val="center"/>
            <w:hideMark/>
          </w:tcPr>
          <w:p w14:paraId="3EBABAD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1C9D95A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2FE03DC1" w14:textId="77777777" w:rsidTr="00E10CC6">
        <w:trPr>
          <w:trHeight w:val="780"/>
          <w:jc w:val="center"/>
        </w:trPr>
        <w:tc>
          <w:tcPr>
            <w:tcW w:w="0" w:type="auto"/>
            <w:tcMar>
              <w:top w:w="0" w:type="dxa"/>
              <w:left w:w="101" w:type="dxa"/>
              <w:bottom w:w="0" w:type="dxa"/>
              <w:right w:w="101" w:type="dxa"/>
            </w:tcMar>
            <w:vAlign w:val="center"/>
            <w:hideMark/>
          </w:tcPr>
          <w:p w14:paraId="36DCF44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47</w:t>
            </w:r>
          </w:p>
        </w:tc>
        <w:tc>
          <w:tcPr>
            <w:tcW w:w="0" w:type="auto"/>
            <w:tcMar>
              <w:top w:w="0" w:type="dxa"/>
              <w:left w:w="108" w:type="dxa"/>
              <w:bottom w:w="0" w:type="dxa"/>
              <w:right w:w="101" w:type="dxa"/>
            </w:tcMar>
            <w:vAlign w:val="center"/>
            <w:hideMark/>
          </w:tcPr>
          <w:p w14:paraId="559373F2"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Gestational syphilis and congenital syphilis event report, Colombia, 2020 </w:t>
            </w:r>
          </w:p>
        </w:tc>
        <w:tc>
          <w:tcPr>
            <w:tcW w:w="0" w:type="auto"/>
            <w:tcMar>
              <w:top w:w="0" w:type="dxa"/>
              <w:left w:w="108" w:type="dxa"/>
              <w:bottom w:w="0" w:type="dxa"/>
              <w:right w:w="101" w:type="dxa"/>
            </w:tcMar>
            <w:vAlign w:val="center"/>
            <w:hideMark/>
          </w:tcPr>
          <w:p w14:paraId="14D4014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2442C08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72BDDC16" w14:textId="77777777" w:rsidTr="00E10CC6">
        <w:trPr>
          <w:trHeight w:val="780"/>
          <w:jc w:val="center"/>
        </w:trPr>
        <w:tc>
          <w:tcPr>
            <w:tcW w:w="0" w:type="auto"/>
            <w:tcMar>
              <w:top w:w="0" w:type="dxa"/>
              <w:left w:w="101" w:type="dxa"/>
              <w:bottom w:w="0" w:type="dxa"/>
              <w:right w:w="101" w:type="dxa"/>
            </w:tcMar>
            <w:vAlign w:val="center"/>
            <w:hideMark/>
          </w:tcPr>
          <w:p w14:paraId="48ADD8A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48</w:t>
            </w:r>
          </w:p>
        </w:tc>
        <w:tc>
          <w:tcPr>
            <w:tcW w:w="0" w:type="auto"/>
            <w:tcMar>
              <w:top w:w="0" w:type="dxa"/>
              <w:left w:w="108" w:type="dxa"/>
              <w:bottom w:w="0" w:type="dxa"/>
              <w:right w:w="101" w:type="dxa"/>
            </w:tcMar>
            <w:vAlign w:val="center"/>
            <w:hideMark/>
          </w:tcPr>
          <w:p w14:paraId="505C3EDA"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Gestational syphilis and congenital syphilis report, Colombia, 2018 </w:t>
            </w:r>
          </w:p>
        </w:tc>
        <w:tc>
          <w:tcPr>
            <w:tcW w:w="0" w:type="auto"/>
            <w:tcMar>
              <w:top w:w="0" w:type="dxa"/>
              <w:left w:w="108" w:type="dxa"/>
              <w:bottom w:w="0" w:type="dxa"/>
              <w:right w:w="101" w:type="dxa"/>
            </w:tcMar>
            <w:vAlign w:val="center"/>
            <w:hideMark/>
          </w:tcPr>
          <w:p w14:paraId="7DE40B0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308829F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08386C42" w14:textId="77777777" w:rsidTr="00E10CC6">
        <w:trPr>
          <w:trHeight w:val="780"/>
          <w:jc w:val="center"/>
        </w:trPr>
        <w:tc>
          <w:tcPr>
            <w:tcW w:w="0" w:type="auto"/>
            <w:tcMar>
              <w:top w:w="0" w:type="dxa"/>
              <w:left w:w="101" w:type="dxa"/>
              <w:bottom w:w="0" w:type="dxa"/>
              <w:right w:w="101" w:type="dxa"/>
            </w:tcMar>
            <w:vAlign w:val="center"/>
            <w:hideMark/>
          </w:tcPr>
          <w:p w14:paraId="78B13A8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49</w:t>
            </w:r>
          </w:p>
        </w:tc>
        <w:tc>
          <w:tcPr>
            <w:tcW w:w="0" w:type="auto"/>
            <w:tcMar>
              <w:top w:w="0" w:type="dxa"/>
              <w:left w:w="108" w:type="dxa"/>
              <w:bottom w:w="0" w:type="dxa"/>
              <w:right w:w="101" w:type="dxa"/>
            </w:tcMar>
            <w:vAlign w:val="center"/>
            <w:hideMark/>
          </w:tcPr>
          <w:p w14:paraId="421EC3FA"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Gestational syphilis and congenital syphilis report, Colombia, 2018 </w:t>
            </w:r>
          </w:p>
        </w:tc>
        <w:tc>
          <w:tcPr>
            <w:tcW w:w="0" w:type="auto"/>
            <w:tcMar>
              <w:top w:w="0" w:type="dxa"/>
              <w:left w:w="108" w:type="dxa"/>
              <w:bottom w:w="0" w:type="dxa"/>
              <w:right w:w="101" w:type="dxa"/>
            </w:tcMar>
            <w:vAlign w:val="center"/>
            <w:hideMark/>
          </w:tcPr>
          <w:p w14:paraId="3151288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118DCE8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495AFA1C" w14:textId="77777777" w:rsidTr="00E10CC6">
        <w:trPr>
          <w:trHeight w:val="780"/>
          <w:jc w:val="center"/>
        </w:trPr>
        <w:tc>
          <w:tcPr>
            <w:tcW w:w="0" w:type="auto"/>
            <w:tcMar>
              <w:top w:w="0" w:type="dxa"/>
              <w:left w:w="101" w:type="dxa"/>
              <w:bottom w:w="0" w:type="dxa"/>
              <w:right w:w="101" w:type="dxa"/>
            </w:tcMar>
            <w:vAlign w:val="center"/>
            <w:hideMark/>
          </w:tcPr>
          <w:p w14:paraId="779DCC55" w14:textId="467EB018" w:rsidR="00E10CC6" w:rsidRPr="009B3512" w:rsidRDefault="009B3512" w:rsidP="00E10CC6">
            <w:pPr>
              <w:jc w:val="center"/>
              <w:rPr>
                <w:rFonts w:ascii="Arial" w:eastAsia="Times New Roman" w:hAnsi="Arial" w:cs="Arial"/>
                <w:lang w:eastAsia="en-GB"/>
              </w:rPr>
            </w:pPr>
            <w:r>
              <w:rPr>
                <w:rFonts w:ascii="Arial" w:eastAsia="Times New Roman" w:hAnsi="Arial" w:cs="Arial"/>
                <w:lang w:eastAsia="en-GB"/>
              </w:rPr>
              <w:t>50</w:t>
            </w:r>
          </w:p>
        </w:tc>
        <w:tc>
          <w:tcPr>
            <w:tcW w:w="0" w:type="auto"/>
            <w:tcMar>
              <w:top w:w="0" w:type="dxa"/>
              <w:left w:w="108" w:type="dxa"/>
              <w:bottom w:w="0" w:type="dxa"/>
              <w:right w:w="101" w:type="dxa"/>
            </w:tcMar>
            <w:vAlign w:val="center"/>
            <w:hideMark/>
          </w:tcPr>
          <w:p w14:paraId="7BB4C71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Measles and Rubella Event Report, Colombia, 2019 </w:t>
            </w:r>
          </w:p>
        </w:tc>
        <w:tc>
          <w:tcPr>
            <w:tcW w:w="0" w:type="auto"/>
            <w:tcMar>
              <w:top w:w="0" w:type="dxa"/>
              <w:left w:w="108" w:type="dxa"/>
              <w:bottom w:w="0" w:type="dxa"/>
              <w:right w:w="101" w:type="dxa"/>
            </w:tcMar>
            <w:vAlign w:val="center"/>
            <w:hideMark/>
          </w:tcPr>
          <w:p w14:paraId="6146EB6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78C2198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18CAEF8" w14:textId="77777777" w:rsidTr="00E10CC6">
        <w:trPr>
          <w:trHeight w:val="780"/>
          <w:jc w:val="center"/>
        </w:trPr>
        <w:tc>
          <w:tcPr>
            <w:tcW w:w="0" w:type="auto"/>
            <w:tcMar>
              <w:top w:w="0" w:type="dxa"/>
              <w:left w:w="101" w:type="dxa"/>
              <w:bottom w:w="0" w:type="dxa"/>
              <w:right w:w="101" w:type="dxa"/>
            </w:tcMar>
            <w:vAlign w:val="center"/>
            <w:hideMark/>
          </w:tcPr>
          <w:p w14:paraId="4239CD8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51</w:t>
            </w:r>
          </w:p>
        </w:tc>
        <w:tc>
          <w:tcPr>
            <w:tcW w:w="0" w:type="auto"/>
            <w:tcMar>
              <w:top w:w="0" w:type="dxa"/>
              <w:left w:w="108" w:type="dxa"/>
              <w:bottom w:w="0" w:type="dxa"/>
              <w:right w:w="101" w:type="dxa"/>
            </w:tcMar>
            <w:vAlign w:val="center"/>
            <w:hideMark/>
          </w:tcPr>
          <w:p w14:paraId="3E8E8737"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Measles and rubella event report, Colombia, 2018 </w:t>
            </w:r>
          </w:p>
        </w:tc>
        <w:tc>
          <w:tcPr>
            <w:tcW w:w="0" w:type="auto"/>
            <w:tcMar>
              <w:top w:w="0" w:type="dxa"/>
              <w:left w:w="108" w:type="dxa"/>
              <w:bottom w:w="0" w:type="dxa"/>
              <w:right w:w="101" w:type="dxa"/>
            </w:tcMar>
            <w:vAlign w:val="center"/>
            <w:hideMark/>
          </w:tcPr>
          <w:p w14:paraId="7CE6144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21A4FD0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46AECB8D" w14:textId="77777777" w:rsidTr="00E10CC6">
        <w:trPr>
          <w:trHeight w:val="780"/>
          <w:jc w:val="center"/>
        </w:trPr>
        <w:tc>
          <w:tcPr>
            <w:tcW w:w="0" w:type="auto"/>
            <w:tcMar>
              <w:top w:w="0" w:type="dxa"/>
              <w:left w:w="101" w:type="dxa"/>
              <w:bottom w:w="0" w:type="dxa"/>
              <w:right w:w="101" w:type="dxa"/>
            </w:tcMar>
            <w:vAlign w:val="center"/>
            <w:hideMark/>
          </w:tcPr>
          <w:p w14:paraId="1D21325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52</w:t>
            </w:r>
          </w:p>
        </w:tc>
        <w:tc>
          <w:tcPr>
            <w:tcW w:w="0" w:type="auto"/>
            <w:tcMar>
              <w:top w:w="0" w:type="dxa"/>
              <w:left w:w="108" w:type="dxa"/>
              <w:bottom w:w="0" w:type="dxa"/>
              <w:right w:w="101" w:type="dxa"/>
            </w:tcMar>
            <w:vAlign w:val="center"/>
            <w:hideMark/>
          </w:tcPr>
          <w:p w14:paraId="1D96048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Measles and rubella event report Colombia, 2018 </w:t>
            </w:r>
          </w:p>
        </w:tc>
        <w:tc>
          <w:tcPr>
            <w:tcW w:w="0" w:type="auto"/>
            <w:tcMar>
              <w:top w:w="0" w:type="dxa"/>
              <w:left w:w="108" w:type="dxa"/>
              <w:bottom w:w="0" w:type="dxa"/>
              <w:right w:w="101" w:type="dxa"/>
            </w:tcMar>
            <w:vAlign w:val="center"/>
            <w:hideMark/>
          </w:tcPr>
          <w:p w14:paraId="1F39B59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03F770C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238AE5DD" w14:textId="77777777" w:rsidTr="00E10CC6">
        <w:trPr>
          <w:trHeight w:val="780"/>
          <w:jc w:val="center"/>
        </w:trPr>
        <w:tc>
          <w:tcPr>
            <w:tcW w:w="0" w:type="auto"/>
            <w:tcMar>
              <w:top w:w="0" w:type="dxa"/>
              <w:left w:w="101" w:type="dxa"/>
              <w:bottom w:w="0" w:type="dxa"/>
              <w:right w:w="101" w:type="dxa"/>
            </w:tcMar>
            <w:vAlign w:val="center"/>
            <w:hideMark/>
          </w:tcPr>
          <w:p w14:paraId="3AC3B5B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lastRenderedPageBreak/>
              <w:t>53</w:t>
            </w:r>
          </w:p>
        </w:tc>
        <w:tc>
          <w:tcPr>
            <w:tcW w:w="0" w:type="auto"/>
            <w:tcMar>
              <w:top w:w="0" w:type="dxa"/>
              <w:left w:w="108" w:type="dxa"/>
              <w:bottom w:w="0" w:type="dxa"/>
              <w:right w:w="101" w:type="dxa"/>
            </w:tcMar>
            <w:vAlign w:val="center"/>
            <w:hideMark/>
          </w:tcPr>
          <w:p w14:paraId="011F10F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Measles and Rubella Event Report, Colombia, 2020 </w:t>
            </w:r>
          </w:p>
        </w:tc>
        <w:tc>
          <w:tcPr>
            <w:tcW w:w="0" w:type="auto"/>
            <w:tcMar>
              <w:top w:w="0" w:type="dxa"/>
              <w:left w:w="108" w:type="dxa"/>
              <w:bottom w:w="0" w:type="dxa"/>
              <w:right w:w="101" w:type="dxa"/>
            </w:tcMar>
            <w:vAlign w:val="center"/>
            <w:hideMark/>
          </w:tcPr>
          <w:p w14:paraId="1FDB75C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4142322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7DAEE4BC" w14:textId="77777777" w:rsidTr="00E10CC6">
        <w:trPr>
          <w:trHeight w:val="780"/>
          <w:jc w:val="center"/>
        </w:trPr>
        <w:tc>
          <w:tcPr>
            <w:tcW w:w="0" w:type="auto"/>
            <w:tcMar>
              <w:top w:w="0" w:type="dxa"/>
              <w:left w:w="101" w:type="dxa"/>
              <w:bottom w:w="0" w:type="dxa"/>
              <w:right w:w="101" w:type="dxa"/>
            </w:tcMar>
            <w:vAlign w:val="center"/>
            <w:hideMark/>
          </w:tcPr>
          <w:p w14:paraId="22A1096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54</w:t>
            </w:r>
          </w:p>
        </w:tc>
        <w:tc>
          <w:tcPr>
            <w:tcW w:w="0" w:type="auto"/>
            <w:tcMar>
              <w:top w:w="0" w:type="dxa"/>
              <w:left w:w="108" w:type="dxa"/>
              <w:bottom w:w="0" w:type="dxa"/>
              <w:right w:w="101" w:type="dxa"/>
            </w:tcMar>
            <w:vAlign w:val="center"/>
            <w:hideMark/>
          </w:tcPr>
          <w:p w14:paraId="16F39901"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Mumps event report, Colombia, year 2019 </w:t>
            </w:r>
          </w:p>
        </w:tc>
        <w:tc>
          <w:tcPr>
            <w:tcW w:w="0" w:type="auto"/>
            <w:tcMar>
              <w:top w:w="0" w:type="dxa"/>
              <w:left w:w="108" w:type="dxa"/>
              <w:bottom w:w="0" w:type="dxa"/>
              <w:right w:w="101" w:type="dxa"/>
            </w:tcMar>
            <w:vAlign w:val="center"/>
            <w:hideMark/>
          </w:tcPr>
          <w:p w14:paraId="1A417F4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5DBB837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46BD9C25" w14:textId="77777777" w:rsidTr="00E10CC6">
        <w:trPr>
          <w:trHeight w:val="780"/>
          <w:jc w:val="center"/>
        </w:trPr>
        <w:tc>
          <w:tcPr>
            <w:tcW w:w="0" w:type="auto"/>
            <w:tcMar>
              <w:top w:w="0" w:type="dxa"/>
              <w:left w:w="101" w:type="dxa"/>
              <w:bottom w:w="0" w:type="dxa"/>
              <w:right w:w="101" w:type="dxa"/>
            </w:tcMar>
            <w:vAlign w:val="center"/>
            <w:hideMark/>
          </w:tcPr>
          <w:p w14:paraId="3989FA3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55</w:t>
            </w:r>
          </w:p>
        </w:tc>
        <w:tc>
          <w:tcPr>
            <w:tcW w:w="0" w:type="auto"/>
            <w:tcMar>
              <w:top w:w="0" w:type="dxa"/>
              <w:left w:w="108" w:type="dxa"/>
              <w:bottom w:w="0" w:type="dxa"/>
              <w:right w:w="101" w:type="dxa"/>
            </w:tcMar>
            <w:vAlign w:val="center"/>
            <w:hideMark/>
          </w:tcPr>
          <w:p w14:paraId="7D508B1B"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Mumps event report, Colombia, 2018 </w:t>
            </w:r>
          </w:p>
        </w:tc>
        <w:tc>
          <w:tcPr>
            <w:tcW w:w="0" w:type="auto"/>
            <w:tcMar>
              <w:top w:w="0" w:type="dxa"/>
              <w:left w:w="108" w:type="dxa"/>
              <w:bottom w:w="0" w:type="dxa"/>
              <w:right w:w="101" w:type="dxa"/>
            </w:tcMar>
            <w:vAlign w:val="center"/>
            <w:hideMark/>
          </w:tcPr>
          <w:p w14:paraId="15F5926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08FF571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66B3E159" w14:textId="77777777" w:rsidTr="00E10CC6">
        <w:trPr>
          <w:trHeight w:val="780"/>
          <w:jc w:val="center"/>
        </w:trPr>
        <w:tc>
          <w:tcPr>
            <w:tcW w:w="0" w:type="auto"/>
            <w:tcMar>
              <w:top w:w="0" w:type="dxa"/>
              <w:left w:w="101" w:type="dxa"/>
              <w:bottom w:w="0" w:type="dxa"/>
              <w:right w:w="101" w:type="dxa"/>
            </w:tcMar>
            <w:vAlign w:val="center"/>
            <w:hideMark/>
          </w:tcPr>
          <w:p w14:paraId="731C228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56</w:t>
            </w:r>
          </w:p>
        </w:tc>
        <w:tc>
          <w:tcPr>
            <w:tcW w:w="0" w:type="auto"/>
            <w:tcMar>
              <w:top w:w="0" w:type="dxa"/>
              <w:left w:w="108" w:type="dxa"/>
              <w:bottom w:w="0" w:type="dxa"/>
              <w:right w:w="101" w:type="dxa"/>
            </w:tcMar>
            <w:vAlign w:val="center"/>
            <w:hideMark/>
          </w:tcPr>
          <w:p w14:paraId="1964EB16"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Acute flaccid paralysis event report, colombia, 2020 </w:t>
            </w:r>
          </w:p>
        </w:tc>
        <w:tc>
          <w:tcPr>
            <w:tcW w:w="0" w:type="auto"/>
            <w:tcMar>
              <w:top w:w="0" w:type="dxa"/>
              <w:left w:w="108" w:type="dxa"/>
              <w:bottom w:w="0" w:type="dxa"/>
              <w:right w:w="101" w:type="dxa"/>
            </w:tcMar>
            <w:vAlign w:val="center"/>
            <w:hideMark/>
          </w:tcPr>
          <w:p w14:paraId="4F9B694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1821E0A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00A73A2E" w14:textId="77777777" w:rsidTr="00E10CC6">
        <w:trPr>
          <w:trHeight w:val="780"/>
          <w:jc w:val="center"/>
        </w:trPr>
        <w:tc>
          <w:tcPr>
            <w:tcW w:w="0" w:type="auto"/>
            <w:tcMar>
              <w:top w:w="0" w:type="dxa"/>
              <w:left w:w="101" w:type="dxa"/>
              <w:bottom w:w="0" w:type="dxa"/>
              <w:right w:w="101" w:type="dxa"/>
            </w:tcMar>
            <w:vAlign w:val="center"/>
            <w:hideMark/>
          </w:tcPr>
          <w:p w14:paraId="1DD8F12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57</w:t>
            </w:r>
          </w:p>
        </w:tc>
        <w:tc>
          <w:tcPr>
            <w:tcW w:w="0" w:type="auto"/>
            <w:tcMar>
              <w:top w:w="0" w:type="dxa"/>
              <w:left w:w="108" w:type="dxa"/>
              <w:bottom w:w="0" w:type="dxa"/>
              <w:right w:w="101" w:type="dxa"/>
            </w:tcMar>
            <w:vAlign w:val="center"/>
            <w:hideMark/>
          </w:tcPr>
          <w:p w14:paraId="26A7DBCE"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Perinatal and late neonatal mortality event report, Colombia, 2018 </w:t>
            </w:r>
          </w:p>
        </w:tc>
        <w:tc>
          <w:tcPr>
            <w:tcW w:w="0" w:type="auto"/>
            <w:tcMar>
              <w:top w:w="0" w:type="dxa"/>
              <w:left w:w="108" w:type="dxa"/>
              <w:bottom w:w="0" w:type="dxa"/>
              <w:right w:w="101" w:type="dxa"/>
            </w:tcMar>
            <w:vAlign w:val="center"/>
            <w:hideMark/>
          </w:tcPr>
          <w:p w14:paraId="10A82CA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1EC4D83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777A1689" w14:textId="77777777" w:rsidTr="00E10CC6">
        <w:trPr>
          <w:trHeight w:val="780"/>
          <w:jc w:val="center"/>
        </w:trPr>
        <w:tc>
          <w:tcPr>
            <w:tcW w:w="0" w:type="auto"/>
            <w:tcMar>
              <w:top w:w="0" w:type="dxa"/>
              <w:left w:w="101" w:type="dxa"/>
              <w:bottom w:w="0" w:type="dxa"/>
              <w:right w:w="101" w:type="dxa"/>
            </w:tcMar>
            <w:vAlign w:val="center"/>
            <w:hideMark/>
          </w:tcPr>
          <w:p w14:paraId="2A6FB0C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58</w:t>
            </w:r>
          </w:p>
        </w:tc>
        <w:tc>
          <w:tcPr>
            <w:tcW w:w="0" w:type="auto"/>
            <w:tcMar>
              <w:top w:w="0" w:type="dxa"/>
              <w:left w:w="108" w:type="dxa"/>
              <w:bottom w:w="0" w:type="dxa"/>
              <w:right w:w="101" w:type="dxa"/>
            </w:tcMar>
            <w:vAlign w:val="center"/>
            <w:hideMark/>
          </w:tcPr>
          <w:p w14:paraId="19DDB9BC"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Acute flaccid paralysis event report, Colombia, 2018. </w:t>
            </w:r>
          </w:p>
        </w:tc>
        <w:tc>
          <w:tcPr>
            <w:tcW w:w="0" w:type="auto"/>
            <w:tcMar>
              <w:top w:w="0" w:type="dxa"/>
              <w:left w:w="108" w:type="dxa"/>
              <w:bottom w:w="0" w:type="dxa"/>
              <w:right w:w="101" w:type="dxa"/>
            </w:tcMar>
            <w:vAlign w:val="center"/>
            <w:hideMark/>
          </w:tcPr>
          <w:p w14:paraId="6A2B0E7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10D5DC8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4C4E9665" w14:textId="77777777" w:rsidTr="00E10CC6">
        <w:trPr>
          <w:trHeight w:val="780"/>
          <w:jc w:val="center"/>
        </w:trPr>
        <w:tc>
          <w:tcPr>
            <w:tcW w:w="0" w:type="auto"/>
            <w:tcMar>
              <w:top w:w="0" w:type="dxa"/>
              <w:left w:w="101" w:type="dxa"/>
              <w:bottom w:w="0" w:type="dxa"/>
              <w:right w:w="101" w:type="dxa"/>
            </w:tcMar>
            <w:vAlign w:val="center"/>
            <w:hideMark/>
          </w:tcPr>
          <w:p w14:paraId="21BF6A6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59</w:t>
            </w:r>
          </w:p>
        </w:tc>
        <w:tc>
          <w:tcPr>
            <w:tcW w:w="0" w:type="auto"/>
            <w:tcMar>
              <w:top w:w="0" w:type="dxa"/>
              <w:left w:w="108" w:type="dxa"/>
              <w:bottom w:w="0" w:type="dxa"/>
              <w:right w:w="101" w:type="dxa"/>
            </w:tcMar>
            <w:vAlign w:val="center"/>
            <w:hideMark/>
          </w:tcPr>
          <w:p w14:paraId="4761A2CC"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Acute flaccid paralysis event report, Colombia, 2019 </w:t>
            </w:r>
          </w:p>
        </w:tc>
        <w:tc>
          <w:tcPr>
            <w:tcW w:w="0" w:type="auto"/>
            <w:tcMar>
              <w:top w:w="0" w:type="dxa"/>
              <w:left w:w="108" w:type="dxa"/>
              <w:bottom w:w="0" w:type="dxa"/>
              <w:right w:w="101" w:type="dxa"/>
            </w:tcMar>
            <w:vAlign w:val="center"/>
            <w:hideMark/>
          </w:tcPr>
          <w:p w14:paraId="07AF3A7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686380B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769841C1" w14:textId="77777777" w:rsidTr="00E10CC6">
        <w:trPr>
          <w:trHeight w:val="780"/>
          <w:jc w:val="center"/>
        </w:trPr>
        <w:tc>
          <w:tcPr>
            <w:tcW w:w="0" w:type="auto"/>
            <w:tcMar>
              <w:top w:w="0" w:type="dxa"/>
              <w:left w:w="101" w:type="dxa"/>
              <w:bottom w:w="0" w:type="dxa"/>
              <w:right w:w="101" w:type="dxa"/>
            </w:tcMar>
            <w:vAlign w:val="center"/>
            <w:hideMark/>
          </w:tcPr>
          <w:p w14:paraId="7DEC825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60</w:t>
            </w:r>
          </w:p>
        </w:tc>
        <w:tc>
          <w:tcPr>
            <w:tcW w:w="0" w:type="auto"/>
            <w:tcMar>
              <w:top w:w="0" w:type="dxa"/>
              <w:left w:w="108" w:type="dxa"/>
              <w:bottom w:w="0" w:type="dxa"/>
              <w:right w:w="101" w:type="dxa"/>
            </w:tcMar>
            <w:vAlign w:val="center"/>
            <w:hideMark/>
          </w:tcPr>
          <w:p w14:paraId="755077A0"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Perinatal and late neonatal mortality event report, Colombia, 2019 </w:t>
            </w:r>
          </w:p>
        </w:tc>
        <w:tc>
          <w:tcPr>
            <w:tcW w:w="0" w:type="auto"/>
            <w:tcMar>
              <w:top w:w="0" w:type="dxa"/>
              <w:left w:w="108" w:type="dxa"/>
              <w:bottom w:w="0" w:type="dxa"/>
              <w:right w:w="101" w:type="dxa"/>
            </w:tcMar>
            <w:vAlign w:val="center"/>
            <w:hideMark/>
          </w:tcPr>
          <w:p w14:paraId="2B0A2E6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40A4352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2AFA64BB" w14:textId="77777777" w:rsidTr="00E10CC6">
        <w:trPr>
          <w:trHeight w:val="780"/>
          <w:jc w:val="center"/>
        </w:trPr>
        <w:tc>
          <w:tcPr>
            <w:tcW w:w="0" w:type="auto"/>
            <w:tcMar>
              <w:top w:w="0" w:type="dxa"/>
              <w:left w:w="101" w:type="dxa"/>
              <w:bottom w:w="0" w:type="dxa"/>
              <w:right w:w="101" w:type="dxa"/>
            </w:tcMar>
            <w:vAlign w:val="center"/>
            <w:hideMark/>
          </w:tcPr>
          <w:p w14:paraId="4A1F7D7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61</w:t>
            </w:r>
          </w:p>
        </w:tc>
        <w:tc>
          <w:tcPr>
            <w:tcW w:w="0" w:type="auto"/>
            <w:tcMar>
              <w:top w:w="0" w:type="dxa"/>
              <w:left w:w="108" w:type="dxa"/>
              <w:bottom w:w="0" w:type="dxa"/>
              <w:right w:w="101" w:type="dxa"/>
            </w:tcMar>
            <w:vAlign w:val="center"/>
            <w:hideMark/>
          </w:tcPr>
          <w:p w14:paraId="351D8E9B"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Maternal mortality event report, Colombia, 2019 </w:t>
            </w:r>
          </w:p>
        </w:tc>
        <w:tc>
          <w:tcPr>
            <w:tcW w:w="0" w:type="auto"/>
            <w:tcMar>
              <w:top w:w="0" w:type="dxa"/>
              <w:left w:w="108" w:type="dxa"/>
              <w:bottom w:w="0" w:type="dxa"/>
              <w:right w:w="101" w:type="dxa"/>
            </w:tcMar>
            <w:vAlign w:val="center"/>
            <w:hideMark/>
          </w:tcPr>
          <w:p w14:paraId="49F4AF9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4B021C0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7BFC2C0E" w14:textId="77777777" w:rsidTr="00E10CC6">
        <w:trPr>
          <w:trHeight w:val="780"/>
          <w:jc w:val="center"/>
        </w:trPr>
        <w:tc>
          <w:tcPr>
            <w:tcW w:w="0" w:type="auto"/>
            <w:tcMar>
              <w:top w:w="0" w:type="dxa"/>
              <w:left w:w="101" w:type="dxa"/>
              <w:bottom w:w="0" w:type="dxa"/>
              <w:right w:w="101" w:type="dxa"/>
            </w:tcMar>
            <w:vAlign w:val="center"/>
            <w:hideMark/>
          </w:tcPr>
          <w:p w14:paraId="62F71D2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62</w:t>
            </w:r>
          </w:p>
        </w:tc>
        <w:tc>
          <w:tcPr>
            <w:tcW w:w="0" w:type="auto"/>
            <w:tcMar>
              <w:top w:w="0" w:type="dxa"/>
              <w:left w:w="108" w:type="dxa"/>
              <w:bottom w:w="0" w:type="dxa"/>
              <w:right w:w="101" w:type="dxa"/>
            </w:tcMar>
            <w:vAlign w:val="center"/>
            <w:hideMark/>
          </w:tcPr>
          <w:p w14:paraId="3D25EBA9"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Extreme maternal morbidity event report, Colombia, period thirteen of 2018 </w:t>
            </w:r>
          </w:p>
        </w:tc>
        <w:tc>
          <w:tcPr>
            <w:tcW w:w="0" w:type="auto"/>
            <w:tcMar>
              <w:top w:w="0" w:type="dxa"/>
              <w:left w:w="108" w:type="dxa"/>
              <w:bottom w:w="0" w:type="dxa"/>
              <w:right w:w="101" w:type="dxa"/>
            </w:tcMar>
            <w:vAlign w:val="center"/>
            <w:hideMark/>
          </w:tcPr>
          <w:p w14:paraId="72CE765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759F513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900A22B" w14:textId="77777777" w:rsidTr="00E10CC6">
        <w:trPr>
          <w:trHeight w:val="780"/>
          <w:jc w:val="center"/>
        </w:trPr>
        <w:tc>
          <w:tcPr>
            <w:tcW w:w="0" w:type="auto"/>
            <w:tcMar>
              <w:top w:w="0" w:type="dxa"/>
              <w:left w:w="101" w:type="dxa"/>
              <w:bottom w:w="0" w:type="dxa"/>
              <w:right w:w="101" w:type="dxa"/>
            </w:tcMar>
            <w:vAlign w:val="center"/>
            <w:hideMark/>
          </w:tcPr>
          <w:p w14:paraId="14331D6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63</w:t>
            </w:r>
          </w:p>
        </w:tc>
        <w:tc>
          <w:tcPr>
            <w:tcW w:w="0" w:type="auto"/>
            <w:tcMar>
              <w:top w:w="0" w:type="dxa"/>
              <w:left w:w="108" w:type="dxa"/>
              <w:bottom w:w="0" w:type="dxa"/>
              <w:right w:w="101" w:type="dxa"/>
            </w:tcMar>
            <w:vAlign w:val="center"/>
            <w:hideMark/>
          </w:tcPr>
          <w:p w14:paraId="07FAFBAB"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Maternal mortality event report, Colombia, 2018 </w:t>
            </w:r>
          </w:p>
        </w:tc>
        <w:tc>
          <w:tcPr>
            <w:tcW w:w="0" w:type="auto"/>
            <w:tcMar>
              <w:top w:w="0" w:type="dxa"/>
              <w:left w:w="108" w:type="dxa"/>
              <w:bottom w:w="0" w:type="dxa"/>
              <w:right w:w="101" w:type="dxa"/>
            </w:tcMar>
            <w:vAlign w:val="center"/>
            <w:hideMark/>
          </w:tcPr>
          <w:p w14:paraId="4295720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7A44B5D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7478D2F3" w14:textId="77777777" w:rsidTr="00E10CC6">
        <w:trPr>
          <w:trHeight w:val="780"/>
          <w:jc w:val="center"/>
        </w:trPr>
        <w:tc>
          <w:tcPr>
            <w:tcW w:w="0" w:type="auto"/>
            <w:tcMar>
              <w:top w:w="0" w:type="dxa"/>
              <w:left w:w="101" w:type="dxa"/>
              <w:bottom w:w="0" w:type="dxa"/>
              <w:right w:w="101" w:type="dxa"/>
            </w:tcMar>
            <w:vAlign w:val="center"/>
            <w:hideMark/>
          </w:tcPr>
          <w:p w14:paraId="685A13C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64</w:t>
            </w:r>
          </w:p>
        </w:tc>
        <w:tc>
          <w:tcPr>
            <w:tcW w:w="0" w:type="auto"/>
            <w:tcMar>
              <w:top w:w="0" w:type="dxa"/>
              <w:left w:w="108" w:type="dxa"/>
              <w:bottom w:w="0" w:type="dxa"/>
              <w:right w:w="101" w:type="dxa"/>
            </w:tcMar>
            <w:vAlign w:val="center"/>
            <w:hideMark/>
          </w:tcPr>
          <w:p w14:paraId="62B5900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Maternal mortality (early)</w:t>
            </w:r>
          </w:p>
        </w:tc>
        <w:tc>
          <w:tcPr>
            <w:tcW w:w="0" w:type="auto"/>
            <w:tcMar>
              <w:top w:w="0" w:type="dxa"/>
              <w:left w:w="108" w:type="dxa"/>
              <w:bottom w:w="0" w:type="dxa"/>
              <w:right w:w="101" w:type="dxa"/>
            </w:tcMar>
            <w:vAlign w:val="center"/>
            <w:hideMark/>
          </w:tcPr>
          <w:p w14:paraId="6A64765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2B1C370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1AEACF81" w14:textId="77777777" w:rsidTr="00E10CC6">
        <w:trPr>
          <w:trHeight w:val="780"/>
          <w:jc w:val="center"/>
        </w:trPr>
        <w:tc>
          <w:tcPr>
            <w:tcW w:w="0" w:type="auto"/>
            <w:tcMar>
              <w:top w:w="0" w:type="dxa"/>
              <w:left w:w="101" w:type="dxa"/>
              <w:bottom w:w="0" w:type="dxa"/>
              <w:right w:w="101" w:type="dxa"/>
            </w:tcMar>
            <w:vAlign w:val="center"/>
            <w:hideMark/>
          </w:tcPr>
          <w:p w14:paraId="5A419D5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65</w:t>
            </w:r>
          </w:p>
        </w:tc>
        <w:tc>
          <w:tcPr>
            <w:tcW w:w="0" w:type="auto"/>
            <w:tcMar>
              <w:top w:w="0" w:type="dxa"/>
              <w:left w:w="108" w:type="dxa"/>
              <w:bottom w:w="0" w:type="dxa"/>
              <w:right w:w="101" w:type="dxa"/>
            </w:tcMar>
            <w:vAlign w:val="center"/>
            <w:hideMark/>
          </w:tcPr>
          <w:p w14:paraId="223D6C7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Bacterial meningitis and meningococcal disease event report, Colombia, 2020 </w:t>
            </w:r>
          </w:p>
        </w:tc>
        <w:tc>
          <w:tcPr>
            <w:tcW w:w="0" w:type="auto"/>
            <w:tcMar>
              <w:top w:w="0" w:type="dxa"/>
              <w:left w:w="108" w:type="dxa"/>
              <w:bottom w:w="0" w:type="dxa"/>
              <w:right w:w="101" w:type="dxa"/>
            </w:tcMar>
            <w:vAlign w:val="center"/>
            <w:hideMark/>
          </w:tcPr>
          <w:p w14:paraId="2976FFF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5546DF2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2C51796E" w14:textId="77777777" w:rsidTr="00E10CC6">
        <w:trPr>
          <w:trHeight w:val="780"/>
          <w:jc w:val="center"/>
        </w:trPr>
        <w:tc>
          <w:tcPr>
            <w:tcW w:w="0" w:type="auto"/>
            <w:tcMar>
              <w:top w:w="0" w:type="dxa"/>
              <w:left w:w="101" w:type="dxa"/>
              <w:bottom w:w="0" w:type="dxa"/>
              <w:right w:w="101" w:type="dxa"/>
            </w:tcMar>
            <w:vAlign w:val="center"/>
            <w:hideMark/>
          </w:tcPr>
          <w:p w14:paraId="3D274B8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66</w:t>
            </w:r>
          </w:p>
        </w:tc>
        <w:tc>
          <w:tcPr>
            <w:tcW w:w="0" w:type="auto"/>
            <w:tcMar>
              <w:top w:w="0" w:type="dxa"/>
              <w:left w:w="108" w:type="dxa"/>
              <w:bottom w:w="0" w:type="dxa"/>
              <w:right w:w="101" w:type="dxa"/>
            </w:tcMar>
            <w:vAlign w:val="center"/>
            <w:hideMark/>
          </w:tcPr>
          <w:p w14:paraId="27892E5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Bacterial meningitis and meningococcal disease event report, Colombia, 2020 </w:t>
            </w:r>
          </w:p>
        </w:tc>
        <w:tc>
          <w:tcPr>
            <w:tcW w:w="0" w:type="auto"/>
            <w:tcMar>
              <w:top w:w="0" w:type="dxa"/>
              <w:left w:w="108" w:type="dxa"/>
              <w:bottom w:w="0" w:type="dxa"/>
              <w:right w:w="101" w:type="dxa"/>
            </w:tcMar>
            <w:vAlign w:val="center"/>
            <w:hideMark/>
          </w:tcPr>
          <w:p w14:paraId="54C3B79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7366081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0A945438" w14:textId="77777777" w:rsidTr="00E10CC6">
        <w:trPr>
          <w:trHeight w:val="780"/>
          <w:jc w:val="center"/>
        </w:trPr>
        <w:tc>
          <w:tcPr>
            <w:tcW w:w="0" w:type="auto"/>
            <w:tcMar>
              <w:top w:w="0" w:type="dxa"/>
              <w:left w:w="101" w:type="dxa"/>
              <w:bottom w:w="0" w:type="dxa"/>
              <w:right w:w="101" w:type="dxa"/>
            </w:tcMar>
            <w:vAlign w:val="center"/>
            <w:hideMark/>
          </w:tcPr>
          <w:p w14:paraId="4CAC3C6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67</w:t>
            </w:r>
          </w:p>
        </w:tc>
        <w:tc>
          <w:tcPr>
            <w:tcW w:w="0" w:type="auto"/>
            <w:tcMar>
              <w:top w:w="0" w:type="dxa"/>
              <w:left w:w="108" w:type="dxa"/>
              <w:bottom w:w="0" w:type="dxa"/>
              <w:right w:w="101" w:type="dxa"/>
            </w:tcMar>
            <w:vAlign w:val="center"/>
            <w:hideMark/>
          </w:tcPr>
          <w:p w14:paraId="069684FB"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Maternal mortality (early) </w:t>
            </w:r>
          </w:p>
        </w:tc>
        <w:tc>
          <w:tcPr>
            <w:tcW w:w="0" w:type="auto"/>
            <w:tcMar>
              <w:top w:w="0" w:type="dxa"/>
              <w:left w:w="108" w:type="dxa"/>
              <w:bottom w:w="0" w:type="dxa"/>
              <w:right w:w="101" w:type="dxa"/>
            </w:tcMar>
            <w:vAlign w:val="center"/>
            <w:hideMark/>
          </w:tcPr>
          <w:p w14:paraId="577835D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39B5B2A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69A4A162" w14:textId="77777777" w:rsidTr="00E10CC6">
        <w:trPr>
          <w:trHeight w:val="780"/>
          <w:jc w:val="center"/>
        </w:trPr>
        <w:tc>
          <w:tcPr>
            <w:tcW w:w="0" w:type="auto"/>
            <w:tcMar>
              <w:top w:w="0" w:type="dxa"/>
              <w:left w:w="101" w:type="dxa"/>
              <w:bottom w:w="0" w:type="dxa"/>
              <w:right w:w="101" w:type="dxa"/>
            </w:tcMar>
            <w:vAlign w:val="center"/>
            <w:hideMark/>
          </w:tcPr>
          <w:p w14:paraId="776F92C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68</w:t>
            </w:r>
          </w:p>
        </w:tc>
        <w:tc>
          <w:tcPr>
            <w:tcW w:w="0" w:type="auto"/>
            <w:tcMar>
              <w:top w:w="0" w:type="dxa"/>
              <w:left w:w="108" w:type="dxa"/>
              <w:bottom w:w="0" w:type="dxa"/>
              <w:right w:w="101" w:type="dxa"/>
            </w:tcMar>
            <w:vAlign w:val="center"/>
            <w:hideMark/>
          </w:tcPr>
          <w:p w14:paraId="0E5DC89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Extreme Maternal Morbidity Report, Colombia, 2019 </w:t>
            </w:r>
          </w:p>
        </w:tc>
        <w:tc>
          <w:tcPr>
            <w:tcW w:w="0" w:type="auto"/>
            <w:tcMar>
              <w:top w:w="0" w:type="dxa"/>
              <w:left w:w="108" w:type="dxa"/>
              <w:bottom w:w="0" w:type="dxa"/>
              <w:right w:w="101" w:type="dxa"/>
            </w:tcMar>
            <w:vAlign w:val="center"/>
            <w:hideMark/>
          </w:tcPr>
          <w:p w14:paraId="3EE5E21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141E4E0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C1A8B81" w14:textId="77777777" w:rsidTr="00E10CC6">
        <w:trPr>
          <w:trHeight w:val="780"/>
          <w:jc w:val="center"/>
        </w:trPr>
        <w:tc>
          <w:tcPr>
            <w:tcW w:w="0" w:type="auto"/>
            <w:tcMar>
              <w:top w:w="0" w:type="dxa"/>
              <w:left w:w="101" w:type="dxa"/>
              <w:bottom w:w="0" w:type="dxa"/>
              <w:right w:w="101" w:type="dxa"/>
            </w:tcMar>
            <w:vAlign w:val="center"/>
            <w:hideMark/>
          </w:tcPr>
          <w:p w14:paraId="6BD01EF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69</w:t>
            </w:r>
          </w:p>
        </w:tc>
        <w:tc>
          <w:tcPr>
            <w:tcW w:w="0" w:type="auto"/>
            <w:tcMar>
              <w:top w:w="0" w:type="dxa"/>
              <w:left w:w="108" w:type="dxa"/>
              <w:bottom w:w="0" w:type="dxa"/>
              <w:right w:w="101" w:type="dxa"/>
            </w:tcMar>
            <w:vAlign w:val="center"/>
            <w:hideMark/>
          </w:tcPr>
          <w:p w14:paraId="2A3FE46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Malaria event report, Colombia, 2018 </w:t>
            </w:r>
          </w:p>
        </w:tc>
        <w:tc>
          <w:tcPr>
            <w:tcW w:w="0" w:type="auto"/>
            <w:tcMar>
              <w:top w:w="0" w:type="dxa"/>
              <w:left w:w="108" w:type="dxa"/>
              <w:bottom w:w="0" w:type="dxa"/>
              <w:right w:w="101" w:type="dxa"/>
            </w:tcMar>
            <w:vAlign w:val="center"/>
            <w:hideMark/>
          </w:tcPr>
          <w:p w14:paraId="702B4AE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47E5F5F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5A93A73" w14:textId="77777777" w:rsidTr="00E10CC6">
        <w:trPr>
          <w:trHeight w:val="780"/>
          <w:jc w:val="center"/>
        </w:trPr>
        <w:tc>
          <w:tcPr>
            <w:tcW w:w="0" w:type="auto"/>
            <w:tcMar>
              <w:top w:w="0" w:type="dxa"/>
              <w:left w:w="101" w:type="dxa"/>
              <w:bottom w:w="0" w:type="dxa"/>
              <w:right w:w="101" w:type="dxa"/>
            </w:tcMar>
            <w:vAlign w:val="center"/>
            <w:hideMark/>
          </w:tcPr>
          <w:p w14:paraId="0166AE3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lastRenderedPageBreak/>
              <w:t>70</w:t>
            </w:r>
          </w:p>
        </w:tc>
        <w:tc>
          <w:tcPr>
            <w:tcW w:w="0" w:type="auto"/>
            <w:tcMar>
              <w:top w:w="0" w:type="dxa"/>
              <w:left w:w="108" w:type="dxa"/>
              <w:bottom w:w="0" w:type="dxa"/>
              <w:right w:w="101" w:type="dxa"/>
            </w:tcMar>
            <w:vAlign w:val="center"/>
            <w:hideMark/>
          </w:tcPr>
          <w:p w14:paraId="5B36C32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Bacterial meningitis and meningococcal disease event report, Colombia, 2018 </w:t>
            </w:r>
          </w:p>
        </w:tc>
        <w:tc>
          <w:tcPr>
            <w:tcW w:w="0" w:type="auto"/>
            <w:tcMar>
              <w:top w:w="0" w:type="dxa"/>
              <w:left w:w="108" w:type="dxa"/>
              <w:bottom w:w="0" w:type="dxa"/>
              <w:right w:w="101" w:type="dxa"/>
            </w:tcMar>
            <w:vAlign w:val="center"/>
            <w:hideMark/>
          </w:tcPr>
          <w:p w14:paraId="5EE9B87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47557D0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0897487" w14:textId="77777777" w:rsidTr="00E10CC6">
        <w:trPr>
          <w:trHeight w:val="780"/>
          <w:jc w:val="center"/>
        </w:trPr>
        <w:tc>
          <w:tcPr>
            <w:tcW w:w="0" w:type="auto"/>
            <w:tcMar>
              <w:top w:w="0" w:type="dxa"/>
              <w:left w:w="101" w:type="dxa"/>
              <w:bottom w:w="0" w:type="dxa"/>
              <w:right w:w="101" w:type="dxa"/>
            </w:tcMar>
            <w:vAlign w:val="center"/>
            <w:hideMark/>
          </w:tcPr>
          <w:p w14:paraId="3834124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71</w:t>
            </w:r>
          </w:p>
        </w:tc>
        <w:tc>
          <w:tcPr>
            <w:tcW w:w="0" w:type="auto"/>
            <w:tcMar>
              <w:top w:w="0" w:type="dxa"/>
              <w:left w:w="108" w:type="dxa"/>
              <w:bottom w:w="0" w:type="dxa"/>
              <w:right w:w="101" w:type="dxa"/>
            </w:tcMar>
            <w:vAlign w:val="center"/>
            <w:hideMark/>
          </w:tcPr>
          <w:p w14:paraId="40AD6EEE"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Bacterial meningitis and meningococcal disease event report, Colombia, 2018 </w:t>
            </w:r>
          </w:p>
        </w:tc>
        <w:tc>
          <w:tcPr>
            <w:tcW w:w="0" w:type="auto"/>
            <w:tcMar>
              <w:top w:w="0" w:type="dxa"/>
              <w:left w:w="108" w:type="dxa"/>
              <w:bottom w:w="0" w:type="dxa"/>
              <w:right w:w="101" w:type="dxa"/>
            </w:tcMar>
            <w:vAlign w:val="center"/>
            <w:hideMark/>
          </w:tcPr>
          <w:p w14:paraId="58856B1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116A27E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43B2E6F8" w14:textId="77777777" w:rsidTr="00E10CC6">
        <w:trPr>
          <w:trHeight w:val="780"/>
          <w:jc w:val="center"/>
        </w:trPr>
        <w:tc>
          <w:tcPr>
            <w:tcW w:w="0" w:type="auto"/>
            <w:tcMar>
              <w:top w:w="0" w:type="dxa"/>
              <w:left w:w="101" w:type="dxa"/>
              <w:bottom w:w="0" w:type="dxa"/>
              <w:right w:w="101" w:type="dxa"/>
            </w:tcMar>
            <w:vAlign w:val="center"/>
            <w:hideMark/>
          </w:tcPr>
          <w:p w14:paraId="24482DF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72</w:t>
            </w:r>
          </w:p>
        </w:tc>
        <w:tc>
          <w:tcPr>
            <w:tcW w:w="0" w:type="auto"/>
            <w:tcMar>
              <w:top w:w="0" w:type="dxa"/>
              <w:left w:w="108" w:type="dxa"/>
              <w:bottom w:w="0" w:type="dxa"/>
              <w:right w:w="101" w:type="dxa"/>
            </w:tcMar>
            <w:vAlign w:val="center"/>
            <w:hideMark/>
          </w:tcPr>
          <w:p w14:paraId="00175AA9"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Cancer in children under </w:t>
            </w:r>
            <w:r w:rsidRPr="009B3512">
              <w:rPr>
                <w:rFonts w:ascii="Arial" w:eastAsia="Times New Roman" w:hAnsi="Arial" w:cs="Arial"/>
                <w:lang w:val="en-CO" w:eastAsia="en-GB"/>
              </w:rPr>
              <w:br/>
              <w:t>18 years of age</w:t>
            </w:r>
          </w:p>
        </w:tc>
        <w:tc>
          <w:tcPr>
            <w:tcW w:w="0" w:type="auto"/>
            <w:tcMar>
              <w:top w:w="0" w:type="dxa"/>
              <w:left w:w="108" w:type="dxa"/>
              <w:bottom w:w="0" w:type="dxa"/>
              <w:right w:w="101" w:type="dxa"/>
            </w:tcMar>
            <w:vAlign w:val="center"/>
            <w:hideMark/>
          </w:tcPr>
          <w:p w14:paraId="1AFDAC4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10C72A6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39B73E97" w14:textId="77777777" w:rsidTr="00E10CC6">
        <w:trPr>
          <w:trHeight w:val="780"/>
          <w:jc w:val="center"/>
        </w:trPr>
        <w:tc>
          <w:tcPr>
            <w:tcW w:w="0" w:type="auto"/>
            <w:tcMar>
              <w:top w:w="0" w:type="dxa"/>
              <w:left w:w="101" w:type="dxa"/>
              <w:bottom w:w="0" w:type="dxa"/>
              <w:right w:w="101" w:type="dxa"/>
            </w:tcMar>
            <w:vAlign w:val="center"/>
            <w:hideMark/>
          </w:tcPr>
          <w:p w14:paraId="4153965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73</w:t>
            </w:r>
          </w:p>
        </w:tc>
        <w:tc>
          <w:tcPr>
            <w:tcW w:w="0" w:type="auto"/>
            <w:tcMar>
              <w:top w:w="0" w:type="dxa"/>
              <w:left w:w="108" w:type="dxa"/>
              <w:bottom w:w="0" w:type="dxa"/>
              <w:right w:w="101" w:type="dxa"/>
            </w:tcMar>
            <w:vAlign w:val="center"/>
            <w:hideMark/>
          </w:tcPr>
          <w:p w14:paraId="3EBBE7DE"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Diphtheria event report, Colombia 2018 </w:t>
            </w:r>
          </w:p>
        </w:tc>
        <w:tc>
          <w:tcPr>
            <w:tcW w:w="0" w:type="auto"/>
            <w:tcMar>
              <w:top w:w="0" w:type="dxa"/>
              <w:left w:w="108" w:type="dxa"/>
              <w:bottom w:w="0" w:type="dxa"/>
              <w:right w:w="101" w:type="dxa"/>
            </w:tcMar>
            <w:vAlign w:val="center"/>
            <w:hideMark/>
          </w:tcPr>
          <w:p w14:paraId="49BAFC1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2565493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65BF9E6C" w14:textId="77777777" w:rsidTr="00E10CC6">
        <w:trPr>
          <w:trHeight w:val="780"/>
          <w:jc w:val="center"/>
        </w:trPr>
        <w:tc>
          <w:tcPr>
            <w:tcW w:w="0" w:type="auto"/>
            <w:tcMar>
              <w:top w:w="0" w:type="dxa"/>
              <w:left w:w="101" w:type="dxa"/>
              <w:bottom w:w="0" w:type="dxa"/>
              <w:right w:w="101" w:type="dxa"/>
            </w:tcMar>
            <w:vAlign w:val="center"/>
            <w:hideMark/>
          </w:tcPr>
          <w:p w14:paraId="45E8FEB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74</w:t>
            </w:r>
          </w:p>
        </w:tc>
        <w:tc>
          <w:tcPr>
            <w:tcW w:w="0" w:type="auto"/>
            <w:tcMar>
              <w:top w:w="0" w:type="dxa"/>
              <w:left w:w="108" w:type="dxa"/>
              <w:bottom w:w="0" w:type="dxa"/>
              <w:right w:w="101" w:type="dxa"/>
            </w:tcMar>
            <w:vAlign w:val="center"/>
            <w:hideMark/>
          </w:tcPr>
          <w:p w14:paraId="1681C1B4"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Dengue event report, Colombia, 2018 </w:t>
            </w:r>
          </w:p>
        </w:tc>
        <w:tc>
          <w:tcPr>
            <w:tcW w:w="0" w:type="auto"/>
            <w:tcMar>
              <w:top w:w="0" w:type="dxa"/>
              <w:left w:w="108" w:type="dxa"/>
              <w:bottom w:w="0" w:type="dxa"/>
              <w:right w:w="101" w:type="dxa"/>
            </w:tcMar>
            <w:vAlign w:val="center"/>
            <w:hideMark/>
          </w:tcPr>
          <w:p w14:paraId="0AF0C17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513B29C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792B384" w14:textId="77777777" w:rsidTr="00E10CC6">
        <w:trPr>
          <w:trHeight w:val="780"/>
          <w:jc w:val="center"/>
        </w:trPr>
        <w:tc>
          <w:tcPr>
            <w:tcW w:w="0" w:type="auto"/>
            <w:tcMar>
              <w:top w:w="0" w:type="dxa"/>
              <w:left w:w="101" w:type="dxa"/>
              <w:bottom w:w="0" w:type="dxa"/>
              <w:right w:w="101" w:type="dxa"/>
            </w:tcMar>
            <w:vAlign w:val="center"/>
            <w:hideMark/>
          </w:tcPr>
          <w:p w14:paraId="032D863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75</w:t>
            </w:r>
          </w:p>
        </w:tc>
        <w:tc>
          <w:tcPr>
            <w:tcW w:w="0" w:type="auto"/>
            <w:tcMar>
              <w:top w:w="0" w:type="dxa"/>
              <w:left w:w="108" w:type="dxa"/>
              <w:bottom w:w="0" w:type="dxa"/>
              <w:right w:w="101" w:type="dxa"/>
            </w:tcMar>
            <w:vAlign w:val="center"/>
            <w:hideMark/>
          </w:tcPr>
          <w:p w14:paraId="0483359E"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Malaria Epidemiological period VIII. Colombia 2021  </w:t>
            </w:r>
          </w:p>
        </w:tc>
        <w:tc>
          <w:tcPr>
            <w:tcW w:w="0" w:type="auto"/>
            <w:tcMar>
              <w:top w:w="0" w:type="dxa"/>
              <w:left w:w="108" w:type="dxa"/>
              <w:bottom w:w="0" w:type="dxa"/>
              <w:right w:w="101" w:type="dxa"/>
            </w:tcMar>
            <w:vAlign w:val="center"/>
            <w:hideMark/>
          </w:tcPr>
          <w:p w14:paraId="38AC9A0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509D249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1BF9263E" w14:textId="77777777" w:rsidTr="00E10CC6">
        <w:trPr>
          <w:trHeight w:val="780"/>
          <w:jc w:val="center"/>
        </w:trPr>
        <w:tc>
          <w:tcPr>
            <w:tcW w:w="0" w:type="auto"/>
            <w:tcMar>
              <w:top w:w="0" w:type="dxa"/>
              <w:left w:w="101" w:type="dxa"/>
              <w:bottom w:w="0" w:type="dxa"/>
              <w:right w:w="101" w:type="dxa"/>
            </w:tcMar>
            <w:vAlign w:val="center"/>
            <w:hideMark/>
          </w:tcPr>
          <w:p w14:paraId="11FD9AE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76</w:t>
            </w:r>
          </w:p>
        </w:tc>
        <w:tc>
          <w:tcPr>
            <w:tcW w:w="0" w:type="auto"/>
            <w:tcMar>
              <w:top w:w="0" w:type="dxa"/>
              <w:left w:w="108" w:type="dxa"/>
              <w:bottom w:w="0" w:type="dxa"/>
              <w:right w:w="101" w:type="dxa"/>
            </w:tcMar>
            <w:vAlign w:val="center"/>
            <w:hideMark/>
          </w:tcPr>
          <w:p w14:paraId="492D7D5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Mortality associated with congenital anomalies in </w:t>
            </w:r>
            <w:r w:rsidRPr="009B3512">
              <w:rPr>
                <w:rFonts w:ascii="Arial" w:eastAsia="Times New Roman" w:hAnsi="Arial" w:cs="Arial"/>
                <w:lang w:val="en-CO" w:eastAsia="en-GB"/>
              </w:rPr>
              <w:br/>
              <w:t>Colombia, 1998-2010</w:t>
            </w:r>
          </w:p>
        </w:tc>
        <w:tc>
          <w:tcPr>
            <w:tcW w:w="0" w:type="auto"/>
            <w:tcMar>
              <w:top w:w="0" w:type="dxa"/>
              <w:left w:w="108" w:type="dxa"/>
              <w:bottom w:w="0" w:type="dxa"/>
              <w:right w:w="101" w:type="dxa"/>
            </w:tcMar>
            <w:vAlign w:val="center"/>
            <w:hideMark/>
          </w:tcPr>
          <w:p w14:paraId="712E6D7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2010</w:t>
            </w:r>
          </w:p>
        </w:tc>
        <w:tc>
          <w:tcPr>
            <w:tcW w:w="0" w:type="auto"/>
            <w:tcMar>
              <w:top w:w="0" w:type="dxa"/>
              <w:left w:w="108" w:type="dxa"/>
              <w:bottom w:w="0" w:type="dxa"/>
              <w:right w:w="101" w:type="dxa"/>
            </w:tcMar>
            <w:vAlign w:val="center"/>
            <w:hideMark/>
          </w:tcPr>
          <w:p w14:paraId="1D2B2A0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Slideshow </w:t>
            </w:r>
          </w:p>
        </w:tc>
      </w:tr>
      <w:tr w:rsidR="00E10CC6" w:rsidRPr="009B3512" w14:paraId="7DBAC6C0" w14:textId="77777777" w:rsidTr="00E10CC6">
        <w:trPr>
          <w:trHeight w:val="780"/>
          <w:jc w:val="center"/>
        </w:trPr>
        <w:tc>
          <w:tcPr>
            <w:tcW w:w="0" w:type="auto"/>
            <w:tcMar>
              <w:top w:w="0" w:type="dxa"/>
              <w:left w:w="101" w:type="dxa"/>
              <w:bottom w:w="0" w:type="dxa"/>
              <w:right w:w="101" w:type="dxa"/>
            </w:tcMar>
            <w:vAlign w:val="center"/>
            <w:hideMark/>
          </w:tcPr>
          <w:p w14:paraId="403CD31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77</w:t>
            </w:r>
          </w:p>
        </w:tc>
        <w:tc>
          <w:tcPr>
            <w:tcW w:w="0" w:type="auto"/>
            <w:tcMar>
              <w:top w:w="0" w:type="dxa"/>
              <w:left w:w="108" w:type="dxa"/>
              <w:bottom w:w="0" w:type="dxa"/>
              <w:right w:w="101" w:type="dxa"/>
            </w:tcMar>
            <w:vAlign w:val="center"/>
            <w:hideMark/>
          </w:tcPr>
          <w:p w14:paraId="787C0162"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Leprosy event report, Colombia, 2019 </w:t>
            </w:r>
          </w:p>
        </w:tc>
        <w:tc>
          <w:tcPr>
            <w:tcW w:w="0" w:type="auto"/>
            <w:tcMar>
              <w:top w:w="0" w:type="dxa"/>
              <w:left w:w="108" w:type="dxa"/>
              <w:bottom w:w="0" w:type="dxa"/>
              <w:right w:w="101" w:type="dxa"/>
            </w:tcMar>
            <w:vAlign w:val="center"/>
            <w:hideMark/>
          </w:tcPr>
          <w:p w14:paraId="484E047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740EFAD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49C5F8CF" w14:textId="77777777" w:rsidTr="00E10CC6">
        <w:trPr>
          <w:trHeight w:val="780"/>
          <w:jc w:val="center"/>
        </w:trPr>
        <w:tc>
          <w:tcPr>
            <w:tcW w:w="0" w:type="auto"/>
            <w:tcMar>
              <w:top w:w="0" w:type="dxa"/>
              <w:left w:w="101" w:type="dxa"/>
              <w:bottom w:w="0" w:type="dxa"/>
              <w:right w:w="101" w:type="dxa"/>
            </w:tcMar>
            <w:vAlign w:val="center"/>
            <w:hideMark/>
          </w:tcPr>
          <w:p w14:paraId="0167A54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78</w:t>
            </w:r>
          </w:p>
        </w:tc>
        <w:tc>
          <w:tcPr>
            <w:tcW w:w="0" w:type="auto"/>
            <w:tcMar>
              <w:top w:w="0" w:type="dxa"/>
              <w:left w:w="108" w:type="dxa"/>
              <w:bottom w:w="0" w:type="dxa"/>
              <w:right w:w="101" w:type="dxa"/>
            </w:tcMar>
            <w:vAlign w:val="center"/>
            <w:hideMark/>
          </w:tcPr>
          <w:p w14:paraId="003C02B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Leptospirosis. Epidemiological period VII. Colombia 2021</w:t>
            </w:r>
          </w:p>
        </w:tc>
        <w:tc>
          <w:tcPr>
            <w:tcW w:w="0" w:type="auto"/>
            <w:tcMar>
              <w:top w:w="0" w:type="dxa"/>
              <w:left w:w="108" w:type="dxa"/>
              <w:bottom w:w="0" w:type="dxa"/>
              <w:right w:w="101" w:type="dxa"/>
            </w:tcMar>
            <w:vAlign w:val="center"/>
            <w:hideMark/>
          </w:tcPr>
          <w:p w14:paraId="1941C8C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0BBF6D0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78DA76C3" w14:textId="77777777" w:rsidTr="00E10CC6">
        <w:trPr>
          <w:trHeight w:val="780"/>
          <w:jc w:val="center"/>
        </w:trPr>
        <w:tc>
          <w:tcPr>
            <w:tcW w:w="0" w:type="auto"/>
            <w:tcMar>
              <w:top w:w="0" w:type="dxa"/>
              <w:left w:w="101" w:type="dxa"/>
              <w:bottom w:w="0" w:type="dxa"/>
              <w:right w:w="101" w:type="dxa"/>
            </w:tcMar>
            <w:vAlign w:val="center"/>
            <w:hideMark/>
          </w:tcPr>
          <w:p w14:paraId="4AE70C8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79</w:t>
            </w:r>
          </w:p>
        </w:tc>
        <w:tc>
          <w:tcPr>
            <w:tcW w:w="0" w:type="auto"/>
            <w:tcMar>
              <w:top w:w="0" w:type="dxa"/>
              <w:left w:w="108" w:type="dxa"/>
              <w:bottom w:w="0" w:type="dxa"/>
              <w:right w:w="101" w:type="dxa"/>
            </w:tcMar>
            <w:vAlign w:val="center"/>
            <w:hideMark/>
          </w:tcPr>
          <w:p w14:paraId="1CD90731"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Cutaneous, mucosal and visceral leishmaniasis event report, Colombia, 2019 </w:t>
            </w:r>
          </w:p>
        </w:tc>
        <w:tc>
          <w:tcPr>
            <w:tcW w:w="0" w:type="auto"/>
            <w:tcMar>
              <w:top w:w="0" w:type="dxa"/>
              <w:left w:w="108" w:type="dxa"/>
              <w:bottom w:w="0" w:type="dxa"/>
              <w:right w:w="101" w:type="dxa"/>
            </w:tcMar>
            <w:vAlign w:val="center"/>
            <w:hideMark/>
          </w:tcPr>
          <w:p w14:paraId="4CF59C5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057BC8F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2780BAF8" w14:textId="77777777" w:rsidTr="00E10CC6">
        <w:trPr>
          <w:trHeight w:val="780"/>
          <w:jc w:val="center"/>
        </w:trPr>
        <w:tc>
          <w:tcPr>
            <w:tcW w:w="0" w:type="auto"/>
            <w:tcMar>
              <w:top w:w="0" w:type="dxa"/>
              <w:left w:w="101" w:type="dxa"/>
              <w:bottom w:w="0" w:type="dxa"/>
              <w:right w:w="101" w:type="dxa"/>
            </w:tcMar>
            <w:vAlign w:val="center"/>
            <w:hideMark/>
          </w:tcPr>
          <w:p w14:paraId="700B036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80</w:t>
            </w:r>
          </w:p>
        </w:tc>
        <w:tc>
          <w:tcPr>
            <w:tcW w:w="0" w:type="auto"/>
            <w:tcMar>
              <w:top w:w="0" w:type="dxa"/>
              <w:left w:w="108" w:type="dxa"/>
              <w:bottom w:w="0" w:type="dxa"/>
              <w:right w:w="101" w:type="dxa"/>
            </w:tcMar>
            <w:vAlign w:val="center"/>
            <w:hideMark/>
          </w:tcPr>
          <w:p w14:paraId="718EB4A0"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Leprosy event report, Colombia 2018 </w:t>
            </w:r>
          </w:p>
        </w:tc>
        <w:tc>
          <w:tcPr>
            <w:tcW w:w="0" w:type="auto"/>
            <w:tcMar>
              <w:top w:w="0" w:type="dxa"/>
              <w:left w:w="108" w:type="dxa"/>
              <w:bottom w:w="0" w:type="dxa"/>
              <w:right w:w="101" w:type="dxa"/>
            </w:tcMar>
            <w:vAlign w:val="center"/>
            <w:hideMark/>
          </w:tcPr>
          <w:p w14:paraId="0AB4441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40A57B8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D7E2B5D" w14:textId="77777777" w:rsidTr="00E10CC6">
        <w:trPr>
          <w:trHeight w:val="780"/>
          <w:jc w:val="center"/>
        </w:trPr>
        <w:tc>
          <w:tcPr>
            <w:tcW w:w="0" w:type="auto"/>
            <w:tcMar>
              <w:top w:w="0" w:type="dxa"/>
              <w:left w:w="101" w:type="dxa"/>
              <w:bottom w:w="0" w:type="dxa"/>
              <w:right w:w="101" w:type="dxa"/>
            </w:tcMar>
            <w:vAlign w:val="center"/>
            <w:hideMark/>
          </w:tcPr>
          <w:p w14:paraId="1091762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81</w:t>
            </w:r>
          </w:p>
        </w:tc>
        <w:tc>
          <w:tcPr>
            <w:tcW w:w="0" w:type="auto"/>
            <w:tcMar>
              <w:top w:w="0" w:type="dxa"/>
              <w:left w:w="108" w:type="dxa"/>
              <w:bottom w:w="0" w:type="dxa"/>
              <w:right w:w="101" w:type="dxa"/>
            </w:tcMar>
            <w:vAlign w:val="center"/>
            <w:hideMark/>
          </w:tcPr>
          <w:p w14:paraId="376EFA55"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Leptospirosis event report, Colombia year 2019 </w:t>
            </w:r>
          </w:p>
        </w:tc>
        <w:tc>
          <w:tcPr>
            <w:tcW w:w="0" w:type="auto"/>
            <w:tcMar>
              <w:top w:w="0" w:type="dxa"/>
              <w:left w:w="108" w:type="dxa"/>
              <w:bottom w:w="0" w:type="dxa"/>
              <w:right w:w="101" w:type="dxa"/>
            </w:tcMar>
            <w:vAlign w:val="center"/>
            <w:hideMark/>
          </w:tcPr>
          <w:p w14:paraId="378656E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37C00B4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6DB4C8CC" w14:textId="77777777" w:rsidTr="00E10CC6">
        <w:trPr>
          <w:trHeight w:val="780"/>
          <w:jc w:val="center"/>
        </w:trPr>
        <w:tc>
          <w:tcPr>
            <w:tcW w:w="0" w:type="auto"/>
            <w:tcMar>
              <w:top w:w="0" w:type="dxa"/>
              <w:left w:w="101" w:type="dxa"/>
              <w:bottom w:w="0" w:type="dxa"/>
              <w:right w:w="101" w:type="dxa"/>
            </w:tcMar>
            <w:vAlign w:val="center"/>
            <w:hideMark/>
          </w:tcPr>
          <w:p w14:paraId="4C5276E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82</w:t>
            </w:r>
          </w:p>
        </w:tc>
        <w:tc>
          <w:tcPr>
            <w:tcW w:w="0" w:type="auto"/>
            <w:tcMar>
              <w:top w:w="0" w:type="dxa"/>
              <w:left w:w="108" w:type="dxa"/>
              <w:bottom w:w="0" w:type="dxa"/>
              <w:right w:w="101" w:type="dxa"/>
            </w:tcMar>
            <w:vAlign w:val="center"/>
            <w:hideMark/>
          </w:tcPr>
          <w:p w14:paraId="12A99B19"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Final report of the leptospirosis event, Colombia, 2015. </w:t>
            </w:r>
          </w:p>
        </w:tc>
        <w:tc>
          <w:tcPr>
            <w:tcW w:w="0" w:type="auto"/>
            <w:tcMar>
              <w:top w:w="0" w:type="dxa"/>
              <w:left w:w="108" w:type="dxa"/>
              <w:bottom w:w="0" w:type="dxa"/>
              <w:right w:w="101" w:type="dxa"/>
            </w:tcMar>
            <w:vAlign w:val="center"/>
            <w:hideMark/>
          </w:tcPr>
          <w:p w14:paraId="0FAFD39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2015</w:t>
            </w:r>
          </w:p>
        </w:tc>
        <w:tc>
          <w:tcPr>
            <w:tcW w:w="0" w:type="auto"/>
            <w:tcMar>
              <w:top w:w="0" w:type="dxa"/>
              <w:left w:w="108" w:type="dxa"/>
              <w:bottom w:w="0" w:type="dxa"/>
              <w:right w:w="101" w:type="dxa"/>
            </w:tcMar>
            <w:vAlign w:val="center"/>
            <w:hideMark/>
          </w:tcPr>
          <w:p w14:paraId="67561D7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BA449E2" w14:textId="77777777" w:rsidTr="00E10CC6">
        <w:trPr>
          <w:trHeight w:val="780"/>
          <w:jc w:val="center"/>
        </w:trPr>
        <w:tc>
          <w:tcPr>
            <w:tcW w:w="0" w:type="auto"/>
            <w:tcMar>
              <w:top w:w="0" w:type="dxa"/>
              <w:left w:w="101" w:type="dxa"/>
              <w:bottom w:w="0" w:type="dxa"/>
              <w:right w:w="101" w:type="dxa"/>
            </w:tcMar>
            <w:vAlign w:val="center"/>
            <w:hideMark/>
          </w:tcPr>
          <w:p w14:paraId="4B883C4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83</w:t>
            </w:r>
          </w:p>
        </w:tc>
        <w:tc>
          <w:tcPr>
            <w:tcW w:w="0" w:type="auto"/>
            <w:tcMar>
              <w:top w:w="0" w:type="dxa"/>
              <w:left w:w="108" w:type="dxa"/>
              <w:bottom w:w="0" w:type="dxa"/>
              <w:right w:w="101" w:type="dxa"/>
            </w:tcMar>
            <w:vAlign w:val="center"/>
            <w:hideMark/>
          </w:tcPr>
          <w:p w14:paraId="447C9D72"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Equine encephalitis event report, Colombia, 2018 </w:t>
            </w:r>
          </w:p>
        </w:tc>
        <w:tc>
          <w:tcPr>
            <w:tcW w:w="0" w:type="auto"/>
            <w:tcMar>
              <w:top w:w="0" w:type="dxa"/>
              <w:left w:w="108" w:type="dxa"/>
              <w:bottom w:w="0" w:type="dxa"/>
              <w:right w:w="101" w:type="dxa"/>
            </w:tcMar>
            <w:vAlign w:val="center"/>
            <w:hideMark/>
          </w:tcPr>
          <w:p w14:paraId="7BB106B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515B6E5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04C83ACF" w14:textId="77777777" w:rsidTr="00E10CC6">
        <w:trPr>
          <w:trHeight w:val="780"/>
          <w:jc w:val="center"/>
        </w:trPr>
        <w:tc>
          <w:tcPr>
            <w:tcW w:w="0" w:type="auto"/>
            <w:tcMar>
              <w:top w:w="0" w:type="dxa"/>
              <w:left w:w="101" w:type="dxa"/>
              <w:bottom w:w="0" w:type="dxa"/>
              <w:right w:w="101" w:type="dxa"/>
            </w:tcMar>
            <w:vAlign w:val="center"/>
            <w:hideMark/>
          </w:tcPr>
          <w:p w14:paraId="28B333E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84</w:t>
            </w:r>
          </w:p>
        </w:tc>
        <w:tc>
          <w:tcPr>
            <w:tcW w:w="0" w:type="auto"/>
            <w:tcMar>
              <w:top w:w="0" w:type="dxa"/>
              <w:left w:w="108" w:type="dxa"/>
              <w:bottom w:w="0" w:type="dxa"/>
              <w:right w:w="101" w:type="dxa"/>
            </w:tcMar>
            <w:vAlign w:val="center"/>
            <w:hideMark/>
          </w:tcPr>
          <w:p w14:paraId="7DD9EADE"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Hepatitis a event report, Colombia, 2018 </w:t>
            </w:r>
          </w:p>
        </w:tc>
        <w:tc>
          <w:tcPr>
            <w:tcW w:w="0" w:type="auto"/>
            <w:tcMar>
              <w:top w:w="0" w:type="dxa"/>
              <w:left w:w="108" w:type="dxa"/>
              <w:bottom w:w="0" w:type="dxa"/>
              <w:right w:w="101" w:type="dxa"/>
            </w:tcMar>
            <w:vAlign w:val="center"/>
            <w:hideMark/>
          </w:tcPr>
          <w:p w14:paraId="2C14465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20DACBC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030988D5" w14:textId="77777777" w:rsidTr="00E10CC6">
        <w:trPr>
          <w:trHeight w:val="780"/>
          <w:jc w:val="center"/>
        </w:trPr>
        <w:tc>
          <w:tcPr>
            <w:tcW w:w="0" w:type="auto"/>
            <w:tcMar>
              <w:top w:w="0" w:type="dxa"/>
              <w:left w:w="101" w:type="dxa"/>
              <w:bottom w:w="0" w:type="dxa"/>
              <w:right w:w="101" w:type="dxa"/>
            </w:tcMar>
            <w:vAlign w:val="center"/>
            <w:hideMark/>
          </w:tcPr>
          <w:p w14:paraId="1084BC7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85</w:t>
            </w:r>
          </w:p>
        </w:tc>
        <w:tc>
          <w:tcPr>
            <w:tcW w:w="0" w:type="auto"/>
            <w:tcMar>
              <w:top w:w="0" w:type="dxa"/>
              <w:left w:w="108" w:type="dxa"/>
              <w:bottom w:w="0" w:type="dxa"/>
              <w:right w:w="101" w:type="dxa"/>
            </w:tcMar>
            <w:vAlign w:val="center"/>
            <w:hideMark/>
          </w:tcPr>
          <w:p w14:paraId="4F3DF917"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Behavior of Acute Respiratory Infection Epidemiological weeks 1 to 52 of 2012 </w:t>
            </w:r>
          </w:p>
        </w:tc>
        <w:tc>
          <w:tcPr>
            <w:tcW w:w="0" w:type="auto"/>
            <w:tcMar>
              <w:top w:w="0" w:type="dxa"/>
              <w:left w:w="108" w:type="dxa"/>
              <w:bottom w:w="0" w:type="dxa"/>
              <w:right w:w="101" w:type="dxa"/>
            </w:tcMar>
            <w:vAlign w:val="center"/>
            <w:hideMark/>
          </w:tcPr>
          <w:p w14:paraId="1789D07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2012</w:t>
            </w:r>
          </w:p>
        </w:tc>
        <w:tc>
          <w:tcPr>
            <w:tcW w:w="0" w:type="auto"/>
            <w:tcMar>
              <w:top w:w="0" w:type="dxa"/>
              <w:left w:w="108" w:type="dxa"/>
              <w:bottom w:w="0" w:type="dxa"/>
              <w:right w:w="101" w:type="dxa"/>
            </w:tcMar>
            <w:vAlign w:val="center"/>
            <w:hideMark/>
          </w:tcPr>
          <w:p w14:paraId="1D0FD27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74CD1D1F" w14:textId="77777777" w:rsidTr="00E10CC6">
        <w:trPr>
          <w:trHeight w:val="780"/>
          <w:jc w:val="center"/>
        </w:trPr>
        <w:tc>
          <w:tcPr>
            <w:tcW w:w="0" w:type="auto"/>
            <w:tcMar>
              <w:top w:w="0" w:type="dxa"/>
              <w:left w:w="101" w:type="dxa"/>
              <w:bottom w:w="0" w:type="dxa"/>
              <w:right w:w="101" w:type="dxa"/>
            </w:tcMar>
            <w:vAlign w:val="center"/>
            <w:hideMark/>
          </w:tcPr>
          <w:p w14:paraId="1FD2FAF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86</w:t>
            </w:r>
          </w:p>
        </w:tc>
        <w:tc>
          <w:tcPr>
            <w:tcW w:w="0" w:type="auto"/>
            <w:tcMar>
              <w:top w:w="0" w:type="dxa"/>
              <w:left w:w="108" w:type="dxa"/>
              <w:bottom w:w="0" w:type="dxa"/>
              <w:right w:w="101" w:type="dxa"/>
            </w:tcMar>
            <w:vAlign w:val="center"/>
            <w:hideMark/>
          </w:tcPr>
          <w:p w14:paraId="7BF1C5CB"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Yellow fever event report, Colombia, 2018 </w:t>
            </w:r>
          </w:p>
        </w:tc>
        <w:tc>
          <w:tcPr>
            <w:tcW w:w="0" w:type="auto"/>
            <w:tcMar>
              <w:top w:w="0" w:type="dxa"/>
              <w:left w:w="108" w:type="dxa"/>
              <w:bottom w:w="0" w:type="dxa"/>
              <w:right w:w="101" w:type="dxa"/>
            </w:tcMar>
            <w:vAlign w:val="center"/>
            <w:hideMark/>
          </w:tcPr>
          <w:p w14:paraId="053DF03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34351E0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61D38FA8" w14:textId="77777777" w:rsidTr="00E10CC6">
        <w:trPr>
          <w:trHeight w:val="780"/>
          <w:jc w:val="center"/>
        </w:trPr>
        <w:tc>
          <w:tcPr>
            <w:tcW w:w="0" w:type="auto"/>
            <w:tcMar>
              <w:top w:w="0" w:type="dxa"/>
              <w:left w:w="101" w:type="dxa"/>
              <w:bottom w:w="0" w:type="dxa"/>
              <w:right w:w="101" w:type="dxa"/>
            </w:tcMar>
            <w:vAlign w:val="center"/>
            <w:hideMark/>
          </w:tcPr>
          <w:p w14:paraId="7BE32BC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lastRenderedPageBreak/>
              <w:t>87</w:t>
            </w:r>
          </w:p>
        </w:tc>
        <w:tc>
          <w:tcPr>
            <w:tcW w:w="0" w:type="auto"/>
            <w:tcMar>
              <w:top w:w="0" w:type="dxa"/>
              <w:left w:w="108" w:type="dxa"/>
              <w:bottom w:w="0" w:type="dxa"/>
              <w:right w:w="101" w:type="dxa"/>
            </w:tcMar>
            <w:vAlign w:val="center"/>
            <w:hideMark/>
          </w:tcPr>
          <w:p w14:paraId="5512E1A2"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Chikungunya Colombia event report, 2018 </w:t>
            </w:r>
          </w:p>
        </w:tc>
        <w:tc>
          <w:tcPr>
            <w:tcW w:w="0" w:type="auto"/>
            <w:tcMar>
              <w:top w:w="0" w:type="dxa"/>
              <w:left w:w="108" w:type="dxa"/>
              <w:bottom w:w="0" w:type="dxa"/>
              <w:right w:w="101" w:type="dxa"/>
            </w:tcMar>
            <w:vAlign w:val="center"/>
            <w:hideMark/>
          </w:tcPr>
          <w:p w14:paraId="5066DF3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158D1E6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F837E63" w14:textId="77777777" w:rsidTr="00E10CC6">
        <w:trPr>
          <w:trHeight w:val="780"/>
          <w:jc w:val="center"/>
        </w:trPr>
        <w:tc>
          <w:tcPr>
            <w:tcW w:w="0" w:type="auto"/>
            <w:tcMar>
              <w:top w:w="0" w:type="dxa"/>
              <w:left w:w="101" w:type="dxa"/>
              <w:bottom w:w="0" w:type="dxa"/>
              <w:right w:w="101" w:type="dxa"/>
            </w:tcMar>
            <w:vAlign w:val="center"/>
            <w:hideMark/>
          </w:tcPr>
          <w:p w14:paraId="0C3B1C1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88</w:t>
            </w:r>
          </w:p>
        </w:tc>
        <w:tc>
          <w:tcPr>
            <w:tcW w:w="0" w:type="auto"/>
            <w:tcMar>
              <w:top w:w="0" w:type="dxa"/>
              <w:left w:w="108" w:type="dxa"/>
              <w:bottom w:w="0" w:type="dxa"/>
              <w:right w:w="101" w:type="dxa"/>
            </w:tcMar>
            <w:vAlign w:val="center"/>
            <w:hideMark/>
          </w:tcPr>
          <w:p w14:paraId="52B25695"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Typhoid and paratyphoid fever </w:t>
            </w:r>
            <w:r w:rsidRPr="009B3512">
              <w:rPr>
                <w:rFonts w:ascii="Arial" w:eastAsia="Times New Roman" w:hAnsi="Arial" w:cs="Arial"/>
                <w:lang w:val="en-CO" w:eastAsia="en-GB"/>
              </w:rPr>
              <w:br/>
              <w:t>epidemiological period Colombia 2021</w:t>
            </w:r>
          </w:p>
        </w:tc>
        <w:tc>
          <w:tcPr>
            <w:tcW w:w="0" w:type="auto"/>
            <w:tcMar>
              <w:top w:w="0" w:type="dxa"/>
              <w:left w:w="108" w:type="dxa"/>
              <w:bottom w:w="0" w:type="dxa"/>
              <w:right w:w="101" w:type="dxa"/>
            </w:tcMar>
            <w:vAlign w:val="center"/>
            <w:hideMark/>
          </w:tcPr>
          <w:p w14:paraId="1EB0680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7092819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797BC3D2" w14:textId="77777777" w:rsidTr="00E10CC6">
        <w:trPr>
          <w:trHeight w:val="780"/>
          <w:jc w:val="center"/>
        </w:trPr>
        <w:tc>
          <w:tcPr>
            <w:tcW w:w="0" w:type="auto"/>
            <w:tcMar>
              <w:top w:w="0" w:type="dxa"/>
              <w:left w:w="101" w:type="dxa"/>
              <w:bottom w:w="0" w:type="dxa"/>
              <w:right w:w="101" w:type="dxa"/>
            </w:tcMar>
            <w:vAlign w:val="center"/>
            <w:hideMark/>
          </w:tcPr>
          <w:p w14:paraId="32947CB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89</w:t>
            </w:r>
          </w:p>
        </w:tc>
        <w:tc>
          <w:tcPr>
            <w:tcW w:w="0" w:type="auto"/>
            <w:tcMar>
              <w:top w:w="0" w:type="dxa"/>
              <w:left w:w="108" w:type="dxa"/>
              <w:bottom w:w="0" w:type="dxa"/>
              <w:right w:w="101" w:type="dxa"/>
            </w:tcMar>
            <w:vAlign w:val="center"/>
            <w:hideMark/>
          </w:tcPr>
          <w:p w14:paraId="0580A59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Leptospirosis event report, Colombia 2018 </w:t>
            </w:r>
          </w:p>
        </w:tc>
        <w:tc>
          <w:tcPr>
            <w:tcW w:w="0" w:type="auto"/>
            <w:tcMar>
              <w:top w:w="0" w:type="dxa"/>
              <w:left w:w="108" w:type="dxa"/>
              <w:bottom w:w="0" w:type="dxa"/>
              <w:right w:w="101" w:type="dxa"/>
            </w:tcMar>
            <w:vAlign w:val="center"/>
            <w:hideMark/>
          </w:tcPr>
          <w:p w14:paraId="335E2F8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3F534B4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87E4668" w14:textId="77777777" w:rsidTr="00E10CC6">
        <w:trPr>
          <w:trHeight w:val="780"/>
          <w:jc w:val="center"/>
        </w:trPr>
        <w:tc>
          <w:tcPr>
            <w:tcW w:w="0" w:type="auto"/>
            <w:tcMar>
              <w:top w:w="0" w:type="dxa"/>
              <w:left w:w="101" w:type="dxa"/>
              <w:bottom w:w="0" w:type="dxa"/>
              <w:right w:w="101" w:type="dxa"/>
            </w:tcMar>
            <w:vAlign w:val="center"/>
            <w:hideMark/>
          </w:tcPr>
          <w:p w14:paraId="1C14581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90</w:t>
            </w:r>
          </w:p>
        </w:tc>
        <w:tc>
          <w:tcPr>
            <w:tcW w:w="0" w:type="auto"/>
            <w:tcMar>
              <w:top w:w="0" w:type="dxa"/>
              <w:left w:w="108" w:type="dxa"/>
              <w:bottom w:w="0" w:type="dxa"/>
              <w:right w:w="101" w:type="dxa"/>
            </w:tcMar>
            <w:vAlign w:val="center"/>
            <w:hideMark/>
          </w:tcPr>
          <w:p w14:paraId="5384F7B9"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Leprosy epidemiological period vi. Colombia, 2021</w:t>
            </w:r>
          </w:p>
        </w:tc>
        <w:tc>
          <w:tcPr>
            <w:tcW w:w="0" w:type="auto"/>
            <w:tcMar>
              <w:top w:w="0" w:type="dxa"/>
              <w:left w:w="108" w:type="dxa"/>
              <w:bottom w:w="0" w:type="dxa"/>
              <w:right w:w="101" w:type="dxa"/>
            </w:tcMar>
            <w:vAlign w:val="center"/>
            <w:hideMark/>
          </w:tcPr>
          <w:p w14:paraId="2F204DF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055C142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569F7B56" w14:textId="77777777" w:rsidTr="00E10CC6">
        <w:trPr>
          <w:trHeight w:val="780"/>
          <w:jc w:val="center"/>
        </w:trPr>
        <w:tc>
          <w:tcPr>
            <w:tcW w:w="0" w:type="auto"/>
            <w:tcMar>
              <w:top w:w="0" w:type="dxa"/>
              <w:left w:w="101" w:type="dxa"/>
              <w:bottom w:w="0" w:type="dxa"/>
              <w:right w:w="101" w:type="dxa"/>
            </w:tcMar>
            <w:vAlign w:val="center"/>
            <w:hideMark/>
          </w:tcPr>
          <w:p w14:paraId="5F5FD1A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91</w:t>
            </w:r>
          </w:p>
        </w:tc>
        <w:tc>
          <w:tcPr>
            <w:tcW w:w="0" w:type="auto"/>
            <w:tcMar>
              <w:top w:w="0" w:type="dxa"/>
              <w:left w:w="108" w:type="dxa"/>
              <w:bottom w:w="0" w:type="dxa"/>
              <w:right w:w="101" w:type="dxa"/>
            </w:tcMar>
            <w:vAlign w:val="center"/>
            <w:hideMark/>
          </w:tcPr>
          <w:p w14:paraId="79FA031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Acute, moderate and severe malnutrition in children under five years of age </w:t>
            </w:r>
            <w:r w:rsidRPr="009B3512">
              <w:rPr>
                <w:rFonts w:ascii="Arial" w:eastAsia="Times New Roman" w:hAnsi="Arial" w:cs="Arial"/>
                <w:lang w:val="en-CO" w:eastAsia="en-GB"/>
              </w:rPr>
              <w:br/>
              <w:t>epidemiological period viii. Colombia 2021</w:t>
            </w:r>
          </w:p>
        </w:tc>
        <w:tc>
          <w:tcPr>
            <w:tcW w:w="0" w:type="auto"/>
            <w:tcMar>
              <w:top w:w="0" w:type="dxa"/>
              <w:left w:w="108" w:type="dxa"/>
              <w:bottom w:w="0" w:type="dxa"/>
              <w:right w:w="101" w:type="dxa"/>
            </w:tcMar>
            <w:vAlign w:val="center"/>
            <w:hideMark/>
          </w:tcPr>
          <w:p w14:paraId="0756C33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268BA75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614DE766" w14:textId="77777777" w:rsidTr="00E10CC6">
        <w:trPr>
          <w:trHeight w:val="780"/>
          <w:jc w:val="center"/>
        </w:trPr>
        <w:tc>
          <w:tcPr>
            <w:tcW w:w="0" w:type="auto"/>
            <w:tcMar>
              <w:top w:w="0" w:type="dxa"/>
              <w:left w:w="101" w:type="dxa"/>
              <w:bottom w:w="0" w:type="dxa"/>
              <w:right w:w="101" w:type="dxa"/>
            </w:tcMar>
            <w:vAlign w:val="center"/>
            <w:hideMark/>
          </w:tcPr>
          <w:p w14:paraId="3F4B7E1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92</w:t>
            </w:r>
          </w:p>
        </w:tc>
        <w:tc>
          <w:tcPr>
            <w:tcW w:w="0" w:type="auto"/>
            <w:tcMar>
              <w:top w:w="0" w:type="dxa"/>
              <w:left w:w="108" w:type="dxa"/>
              <w:bottom w:w="0" w:type="dxa"/>
              <w:right w:w="101" w:type="dxa"/>
            </w:tcMar>
            <w:vAlign w:val="center"/>
            <w:hideMark/>
          </w:tcPr>
          <w:p w14:paraId="4E301443"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Yellow fever </w:t>
            </w:r>
            <w:r w:rsidRPr="009B3512">
              <w:rPr>
                <w:rFonts w:ascii="Arial" w:eastAsia="Times New Roman" w:hAnsi="Arial" w:cs="Arial"/>
                <w:lang w:val="en-CO" w:eastAsia="en-GB"/>
              </w:rPr>
              <w:br/>
              <w:t>epidemiological period vi. Colombia 2021</w:t>
            </w:r>
          </w:p>
        </w:tc>
        <w:tc>
          <w:tcPr>
            <w:tcW w:w="0" w:type="auto"/>
            <w:tcMar>
              <w:top w:w="0" w:type="dxa"/>
              <w:left w:w="108" w:type="dxa"/>
              <w:bottom w:w="0" w:type="dxa"/>
              <w:right w:w="101" w:type="dxa"/>
            </w:tcMar>
            <w:vAlign w:val="center"/>
            <w:hideMark/>
          </w:tcPr>
          <w:p w14:paraId="2586302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27F0F0A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5DD54507" w14:textId="77777777" w:rsidTr="00E10CC6">
        <w:trPr>
          <w:trHeight w:val="780"/>
          <w:jc w:val="center"/>
        </w:trPr>
        <w:tc>
          <w:tcPr>
            <w:tcW w:w="0" w:type="auto"/>
            <w:tcMar>
              <w:top w:w="0" w:type="dxa"/>
              <w:left w:w="101" w:type="dxa"/>
              <w:bottom w:w="0" w:type="dxa"/>
              <w:right w:w="101" w:type="dxa"/>
            </w:tcMar>
            <w:vAlign w:val="center"/>
            <w:hideMark/>
          </w:tcPr>
          <w:p w14:paraId="04B329F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93</w:t>
            </w:r>
          </w:p>
        </w:tc>
        <w:tc>
          <w:tcPr>
            <w:tcW w:w="0" w:type="auto"/>
            <w:tcMar>
              <w:top w:w="0" w:type="dxa"/>
              <w:left w:w="108" w:type="dxa"/>
              <w:bottom w:w="0" w:type="dxa"/>
              <w:right w:w="101" w:type="dxa"/>
            </w:tcMar>
            <w:vAlign w:val="center"/>
            <w:hideMark/>
          </w:tcPr>
          <w:p w14:paraId="685ECB5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Hepatitis b, c and bd event report, Colombia, 2018. </w:t>
            </w:r>
          </w:p>
        </w:tc>
        <w:tc>
          <w:tcPr>
            <w:tcW w:w="0" w:type="auto"/>
            <w:tcMar>
              <w:top w:w="0" w:type="dxa"/>
              <w:left w:w="108" w:type="dxa"/>
              <w:bottom w:w="0" w:type="dxa"/>
              <w:right w:w="101" w:type="dxa"/>
            </w:tcMar>
            <w:vAlign w:val="center"/>
            <w:hideMark/>
          </w:tcPr>
          <w:p w14:paraId="17ACA3A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550FE51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25B9BC5" w14:textId="77777777" w:rsidTr="00E10CC6">
        <w:trPr>
          <w:trHeight w:val="780"/>
          <w:jc w:val="center"/>
        </w:trPr>
        <w:tc>
          <w:tcPr>
            <w:tcW w:w="0" w:type="auto"/>
            <w:tcMar>
              <w:top w:w="0" w:type="dxa"/>
              <w:left w:w="101" w:type="dxa"/>
              <w:bottom w:w="0" w:type="dxa"/>
              <w:right w:w="101" w:type="dxa"/>
            </w:tcMar>
            <w:vAlign w:val="center"/>
            <w:hideMark/>
          </w:tcPr>
          <w:p w14:paraId="59C5FFE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94</w:t>
            </w:r>
          </w:p>
        </w:tc>
        <w:tc>
          <w:tcPr>
            <w:tcW w:w="0" w:type="auto"/>
            <w:tcMar>
              <w:top w:w="0" w:type="dxa"/>
              <w:left w:w="108" w:type="dxa"/>
              <w:bottom w:w="0" w:type="dxa"/>
              <w:right w:w="101" w:type="dxa"/>
            </w:tcMar>
            <w:vAlign w:val="center"/>
            <w:hideMark/>
          </w:tcPr>
          <w:p w14:paraId="1BF7ED8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Mucosal leishmaniasis </w:t>
            </w:r>
            <w:r w:rsidRPr="009B3512">
              <w:rPr>
                <w:rFonts w:ascii="Arial" w:eastAsia="Times New Roman" w:hAnsi="Arial" w:cs="Arial"/>
                <w:lang w:val="en-CO" w:eastAsia="en-GB"/>
              </w:rPr>
              <w:br/>
              <w:t>Epidemiological period VIII. Colombia 2021</w:t>
            </w:r>
          </w:p>
        </w:tc>
        <w:tc>
          <w:tcPr>
            <w:tcW w:w="0" w:type="auto"/>
            <w:tcMar>
              <w:top w:w="0" w:type="dxa"/>
              <w:left w:w="108" w:type="dxa"/>
              <w:bottom w:w="0" w:type="dxa"/>
              <w:right w:w="101" w:type="dxa"/>
            </w:tcMar>
            <w:vAlign w:val="center"/>
            <w:hideMark/>
          </w:tcPr>
          <w:p w14:paraId="11604A5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361157A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03415DBA" w14:textId="77777777" w:rsidTr="00E10CC6">
        <w:trPr>
          <w:trHeight w:val="780"/>
          <w:jc w:val="center"/>
        </w:trPr>
        <w:tc>
          <w:tcPr>
            <w:tcW w:w="0" w:type="auto"/>
            <w:tcMar>
              <w:top w:w="0" w:type="dxa"/>
              <w:left w:w="101" w:type="dxa"/>
              <w:bottom w:w="0" w:type="dxa"/>
              <w:right w:w="101" w:type="dxa"/>
            </w:tcMar>
            <w:vAlign w:val="center"/>
            <w:hideMark/>
          </w:tcPr>
          <w:p w14:paraId="1F73BE1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95</w:t>
            </w:r>
          </w:p>
        </w:tc>
        <w:tc>
          <w:tcPr>
            <w:tcW w:w="0" w:type="auto"/>
            <w:tcMar>
              <w:top w:w="0" w:type="dxa"/>
              <w:left w:w="108" w:type="dxa"/>
              <w:bottom w:w="0" w:type="dxa"/>
              <w:right w:w="101" w:type="dxa"/>
            </w:tcMar>
            <w:vAlign w:val="center"/>
            <w:hideMark/>
          </w:tcPr>
          <w:p w14:paraId="364F626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Chagas (Acute) Epidemiological period VI. Colombia 2021</w:t>
            </w:r>
          </w:p>
        </w:tc>
        <w:tc>
          <w:tcPr>
            <w:tcW w:w="0" w:type="auto"/>
            <w:tcMar>
              <w:top w:w="0" w:type="dxa"/>
              <w:left w:w="108" w:type="dxa"/>
              <w:bottom w:w="0" w:type="dxa"/>
              <w:right w:w="101" w:type="dxa"/>
            </w:tcMar>
            <w:vAlign w:val="center"/>
            <w:hideMark/>
          </w:tcPr>
          <w:p w14:paraId="1E7FB7A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24B65E0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20C99325" w14:textId="77777777" w:rsidTr="00E10CC6">
        <w:trPr>
          <w:trHeight w:val="780"/>
          <w:jc w:val="center"/>
        </w:trPr>
        <w:tc>
          <w:tcPr>
            <w:tcW w:w="0" w:type="auto"/>
            <w:tcMar>
              <w:top w:w="0" w:type="dxa"/>
              <w:left w:w="101" w:type="dxa"/>
              <w:bottom w:w="0" w:type="dxa"/>
              <w:right w:w="101" w:type="dxa"/>
            </w:tcMar>
            <w:vAlign w:val="center"/>
            <w:hideMark/>
          </w:tcPr>
          <w:p w14:paraId="7DB56AB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96</w:t>
            </w:r>
          </w:p>
        </w:tc>
        <w:tc>
          <w:tcPr>
            <w:tcW w:w="0" w:type="auto"/>
            <w:tcMar>
              <w:top w:w="0" w:type="dxa"/>
              <w:left w:w="108" w:type="dxa"/>
              <w:bottom w:w="0" w:type="dxa"/>
              <w:right w:w="101" w:type="dxa"/>
            </w:tcMar>
            <w:vAlign w:val="center"/>
            <w:hideMark/>
          </w:tcPr>
          <w:p w14:paraId="33CC70B0"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Diphtheria event report, Colombia, year 2020 </w:t>
            </w:r>
          </w:p>
        </w:tc>
        <w:tc>
          <w:tcPr>
            <w:tcW w:w="0" w:type="auto"/>
            <w:tcMar>
              <w:top w:w="0" w:type="dxa"/>
              <w:left w:w="108" w:type="dxa"/>
              <w:bottom w:w="0" w:type="dxa"/>
              <w:right w:w="101" w:type="dxa"/>
            </w:tcMar>
            <w:vAlign w:val="center"/>
            <w:hideMark/>
          </w:tcPr>
          <w:p w14:paraId="450BD7F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726827B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0E29AB2F" w14:textId="77777777" w:rsidTr="00E10CC6">
        <w:trPr>
          <w:trHeight w:val="780"/>
          <w:jc w:val="center"/>
        </w:trPr>
        <w:tc>
          <w:tcPr>
            <w:tcW w:w="0" w:type="auto"/>
            <w:tcMar>
              <w:top w:w="0" w:type="dxa"/>
              <w:left w:w="101" w:type="dxa"/>
              <w:bottom w:w="0" w:type="dxa"/>
              <w:right w:w="101" w:type="dxa"/>
            </w:tcMar>
            <w:vAlign w:val="center"/>
            <w:hideMark/>
          </w:tcPr>
          <w:p w14:paraId="701EB44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97</w:t>
            </w:r>
          </w:p>
        </w:tc>
        <w:tc>
          <w:tcPr>
            <w:tcW w:w="0" w:type="auto"/>
            <w:tcMar>
              <w:top w:w="0" w:type="dxa"/>
              <w:left w:w="108" w:type="dxa"/>
              <w:bottom w:w="0" w:type="dxa"/>
              <w:right w:w="101" w:type="dxa"/>
            </w:tcMar>
            <w:vAlign w:val="center"/>
            <w:hideMark/>
          </w:tcPr>
          <w:p w14:paraId="64F7E136"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Dengue event report, Colombia, 2019 </w:t>
            </w:r>
          </w:p>
        </w:tc>
        <w:tc>
          <w:tcPr>
            <w:tcW w:w="0" w:type="auto"/>
            <w:tcMar>
              <w:top w:w="0" w:type="dxa"/>
              <w:left w:w="108" w:type="dxa"/>
              <w:bottom w:w="0" w:type="dxa"/>
              <w:right w:w="101" w:type="dxa"/>
            </w:tcMar>
            <w:vAlign w:val="center"/>
            <w:hideMark/>
          </w:tcPr>
          <w:p w14:paraId="1487BC8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3658F7D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6D30FF96" w14:textId="77777777" w:rsidTr="00E10CC6">
        <w:trPr>
          <w:trHeight w:val="780"/>
          <w:jc w:val="center"/>
        </w:trPr>
        <w:tc>
          <w:tcPr>
            <w:tcW w:w="0" w:type="auto"/>
            <w:tcMar>
              <w:top w:w="0" w:type="dxa"/>
              <w:left w:w="101" w:type="dxa"/>
              <w:bottom w:w="0" w:type="dxa"/>
              <w:right w:w="101" w:type="dxa"/>
            </w:tcMar>
            <w:vAlign w:val="center"/>
            <w:hideMark/>
          </w:tcPr>
          <w:p w14:paraId="6F98F20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98</w:t>
            </w:r>
          </w:p>
        </w:tc>
        <w:tc>
          <w:tcPr>
            <w:tcW w:w="0" w:type="auto"/>
            <w:tcMar>
              <w:top w:w="0" w:type="dxa"/>
              <w:left w:w="108" w:type="dxa"/>
              <w:bottom w:w="0" w:type="dxa"/>
              <w:right w:w="101" w:type="dxa"/>
            </w:tcMar>
            <w:vAlign w:val="center"/>
            <w:hideMark/>
          </w:tcPr>
          <w:p w14:paraId="5988F896"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ZIKA virus disease Epidemiological period VI. Colombia, 2021</w:t>
            </w:r>
          </w:p>
        </w:tc>
        <w:tc>
          <w:tcPr>
            <w:tcW w:w="0" w:type="auto"/>
            <w:tcMar>
              <w:top w:w="0" w:type="dxa"/>
              <w:left w:w="108" w:type="dxa"/>
              <w:bottom w:w="0" w:type="dxa"/>
              <w:right w:w="101" w:type="dxa"/>
            </w:tcMar>
            <w:vAlign w:val="center"/>
            <w:hideMark/>
          </w:tcPr>
          <w:p w14:paraId="76B585C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2CDB1E9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22F71B74" w14:textId="77777777" w:rsidTr="00E10CC6">
        <w:trPr>
          <w:trHeight w:val="780"/>
          <w:jc w:val="center"/>
        </w:trPr>
        <w:tc>
          <w:tcPr>
            <w:tcW w:w="0" w:type="auto"/>
            <w:tcMar>
              <w:top w:w="0" w:type="dxa"/>
              <w:left w:w="101" w:type="dxa"/>
              <w:bottom w:w="0" w:type="dxa"/>
              <w:right w:w="101" w:type="dxa"/>
            </w:tcMar>
            <w:vAlign w:val="center"/>
            <w:hideMark/>
          </w:tcPr>
          <w:p w14:paraId="0BCA05F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99</w:t>
            </w:r>
          </w:p>
        </w:tc>
        <w:tc>
          <w:tcPr>
            <w:tcW w:w="0" w:type="auto"/>
            <w:tcMar>
              <w:top w:w="0" w:type="dxa"/>
              <w:left w:w="108" w:type="dxa"/>
              <w:bottom w:w="0" w:type="dxa"/>
              <w:right w:w="101" w:type="dxa"/>
            </w:tcMar>
            <w:vAlign w:val="center"/>
            <w:hideMark/>
          </w:tcPr>
          <w:p w14:paraId="6052D07B"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Executive Report </w:t>
            </w:r>
            <w:r w:rsidRPr="009B3512">
              <w:rPr>
                <w:rFonts w:ascii="Arial" w:eastAsia="Times New Roman" w:hAnsi="Arial" w:cs="Arial"/>
                <w:lang w:val="en-CO" w:eastAsia="en-GB"/>
              </w:rPr>
              <w:br/>
              <w:t>Donation and Transplant Network</w:t>
            </w:r>
          </w:p>
        </w:tc>
        <w:tc>
          <w:tcPr>
            <w:tcW w:w="0" w:type="auto"/>
            <w:tcMar>
              <w:top w:w="0" w:type="dxa"/>
              <w:left w:w="108" w:type="dxa"/>
              <w:bottom w:w="0" w:type="dxa"/>
              <w:right w:w="101" w:type="dxa"/>
            </w:tcMar>
            <w:vAlign w:val="center"/>
            <w:hideMark/>
          </w:tcPr>
          <w:p w14:paraId="6414E80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1116639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45B3D122" w14:textId="77777777" w:rsidTr="00E10CC6">
        <w:trPr>
          <w:trHeight w:val="780"/>
          <w:jc w:val="center"/>
        </w:trPr>
        <w:tc>
          <w:tcPr>
            <w:tcW w:w="0" w:type="auto"/>
            <w:tcMar>
              <w:top w:w="0" w:type="dxa"/>
              <w:left w:w="101" w:type="dxa"/>
              <w:bottom w:w="0" w:type="dxa"/>
              <w:right w:w="101" w:type="dxa"/>
            </w:tcMar>
            <w:vAlign w:val="center"/>
            <w:hideMark/>
          </w:tcPr>
          <w:p w14:paraId="7CE5003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100</w:t>
            </w:r>
          </w:p>
        </w:tc>
        <w:tc>
          <w:tcPr>
            <w:tcW w:w="0" w:type="auto"/>
            <w:tcMar>
              <w:top w:w="0" w:type="dxa"/>
              <w:left w:w="108" w:type="dxa"/>
              <w:bottom w:w="0" w:type="dxa"/>
              <w:right w:w="101" w:type="dxa"/>
            </w:tcMar>
            <w:vAlign w:val="center"/>
            <w:hideMark/>
          </w:tcPr>
          <w:p w14:paraId="7845237A"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Congenital defects Epidemiological period VI. Colombia 2021</w:t>
            </w:r>
          </w:p>
        </w:tc>
        <w:tc>
          <w:tcPr>
            <w:tcW w:w="0" w:type="auto"/>
            <w:tcMar>
              <w:top w:w="0" w:type="dxa"/>
              <w:left w:w="108" w:type="dxa"/>
              <w:bottom w:w="0" w:type="dxa"/>
              <w:right w:w="101" w:type="dxa"/>
            </w:tcMar>
            <w:vAlign w:val="center"/>
            <w:hideMark/>
          </w:tcPr>
          <w:p w14:paraId="0F6EEAD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2D342D1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2613CEC7" w14:textId="77777777" w:rsidTr="00E10CC6">
        <w:trPr>
          <w:trHeight w:val="780"/>
          <w:jc w:val="center"/>
        </w:trPr>
        <w:tc>
          <w:tcPr>
            <w:tcW w:w="0" w:type="auto"/>
            <w:tcMar>
              <w:top w:w="0" w:type="dxa"/>
              <w:left w:w="101" w:type="dxa"/>
              <w:bottom w:w="0" w:type="dxa"/>
              <w:right w:w="101" w:type="dxa"/>
            </w:tcMar>
            <w:vAlign w:val="center"/>
            <w:hideMark/>
          </w:tcPr>
          <w:p w14:paraId="1E6ADB2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101</w:t>
            </w:r>
          </w:p>
        </w:tc>
        <w:tc>
          <w:tcPr>
            <w:tcW w:w="0" w:type="auto"/>
            <w:tcMar>
              <w:top w:w="0" w:type="dxa"/>
              <w:left w:w="108" w:type="dxa"/>
              <w:bottom w:w="0" w:type="dxa"/>
              <w:right w:w="101" w:type="dxa"/>
            </w:tcMar>
            <w:vAlign w:val="center"/>
            <w:hideMark/>
          </w:tcPr>
          <w:p w14:paraId="0465F376"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Orphan-rare diseases Colombia, epidemiological period VI, 2021</w:t>
            </w:r>
          </w:p>
        </w:tc>
        <w:tc>
          <w:tcPr>
            <w:tcW w:w="0" w:type="auto"/>
            <w:tcMar>
              <w:top w:w="0" w:type="dxa"/>
              <w:left w:w="108" w:type="dxa"/>
              <w:bottom w:w="0" w:type="dxa"/>
              <w:right w:w="101" w:type="dxa"/>
            </w:tcMar>
            <w:vAlign w:val="center"/>
            <w:hideMark/>
          </w:tcPr>
          <w:p w14:paraId="5639A14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7BEBF49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57F11D4C" w14:textId="77777777" w:rsidTr="00E10CC6">
        <w:trPr>
          <w:trHeight w:val="780"/>
          <w:jc w:val="center"/>
        </w:trPr>
        <w:tc>
          <w:tcPr>
            <w:tcW w:w="0" w:type="auto"/>
            <w:tcMar>
              <w:top w:w="0" w:type="dxa"/>
              <w:left w:w="101" w:type="dxa"/>
              <w:bottom w:w="0" w:type="dxa"/>
              <w:right w:w="101" w:type="dxa"/>
            </w:tcMar>
            <w:vAlign w:val="center"/>
            <w:hideMark/>
          </w:tcPr>
          <w:p w14:paraId="60F0747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102</w:t>
            </w:r>
          </w:p>
        </w:tc>
        <w:tc>
          <w:tcPr>
            <w:tcW w:w="0" w:type="auto"/>
            <w:tcMar>
              <w:top w:w="0" w:type="dxa"/>
              <w:left w:w="108" w:type="dxa"/>
              <w:bottom w:w="0" w:type="dxa"/>
              <w:right w:w="101" w:type="dxa"/>
            </w:tcMar>
            <w:vAlign w:val="center"/>
            <w:hideMark/>
          </w:tcPr>
          <w:p w14:paraId="03B1FB91"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Dengue </w:t>
            </w:r>
            <w:r w:rsidRPr="009B3512">
              <w:rPr>
                <w:rFonts w:ascii="Arial" w:eastAsia="Times New Roman" w:hAnsi="Arial" w:cs="Arial"/>
                <w:lang w:val="en-CO" w:eastAsia="en-GB"/>
              </w:rPr>
              <w:br/>
              <w:t>Epidemiological period VIII. Colombia 2021</w:t>
            </w:r>
          </w:p>
        </w:tc>
        <w:tc>
          <w:tcPr>
            <w:tcW w:w="0" w:type="auto"/>
            <w:tcMar>
              <w:top w:w="0" w:type="dxa"/>
              <w:left w:w="108" w:type="dxa"/>
              <w:bottom w:w="0" w:type="dxa"/>
              <w:right w:w="101" w:type="dxa"/>
            </w:tcMar>
            <w:vAlign w:val="center"/>
            <w:hideMark/>
          </w:tcPr>
          <w:p w14:paraId="5E0C8B7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224F515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Infographic </w:t>
            </w:r>
          </w:p>
        </w:tc>
      </w:tr>
      <w:tr w:rsidR="00E10CC6" w:rsidRPr="009B3512" w14:paraId="1584B0C1" w14:textId="77777777" w:rsidTr="00E10CC6">
        <w:trPr>
          <w:trHeight w:val="780"/>
          <w:jc w:val="center"/>
        </w:trPr>
        <w:tc>
          <w:tcPr>
            <w:tcW w:w="0" w:type="auto"/>
            <w:tcMar>
              <w:top w:w="0" w:type="dxa"/>
              <w:left w:w="101" w:type="dxa"/>
              <w:bottom w:w="0" w:type="dxa"/>
              <w:right w:w="101" w:type="dxa"/>
            </w:tcMar>
            <w:vAlign w:val="center"/>
            <w:hideMark/>
          </w:tcPr>
          <w:p w14:paraId="57FDD58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103</w:t>
            </w:r>
          </w:p>
        </w:tc>
        <w:tc>
          <w:tcPr>
            <w:tcW w:w="0" w:type="auto"/>
            <w:tcMar>
              <w:top w:w="0" w:type="dxa"/>
              <w:left w:w="108" w:type="dxa"/>
              <w:bottom w:w="0" w:type="dxa"/>
              <w:right w:w="101" w:type="dxa"/>
            </w:tcMar>
            <w:vAlign w:val="center"/>
            <w:hideMark/>
          </w:tcPr>
          <w:p w14:paraId="3FF4C174"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 Zika and chikungunya virus disease event report, colombia, 2019</w:t>
            </w:r>
          </w:p>
        </w:tc>
        <w:tc>
          <w:tcPr>
            <w:tcW w:w="0" w:type="auto"/>
            <w:tcMar>
              <w:top w:w="0" w:type="dxa"/>
              <w:left w:w="108" w:type="dxa"/>
              <w:bottom w:w="0" w:type="dxa"/>
              <w:right w:w="101" w:type="dxa"/>
            </w:tcMar>
            <w:vAlign w:val="center"/>
            <w:hideMark/>
          </w:tcPr>
          <w:p w14:paraId="2BAE683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5CDFEC9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72A10E62" w14:textId="77777777" w:rsidTr="00E10CC6">
        <w:trPr>
          <w:trHeight w:val="780"/>
          <w:jc w:val="center"/>
        </w:trPr>
        <w:tc>
          <w:tcPr>
            <w:tcW w:w="0" w:type="auto"/>
            <w:tcMar>
              <w:top w:w="0" w:type="dxa"/>
              <w:left w:w="101" w:type="dxa"/>
              <w:bottom w:w="0" w:type="dxa"/>
              <w:right w:w="101" w:type="dxa"/>
            </w:tcMar>
            <w:vAlign w:val="center"/>
            <w:hideMark/>
          </w:tcPr>
          <w:p w14:paraId="1E7DA9A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lastRenderedPageBreak/>
              <w:t>104</w:t>
            </w:r>
          </w:p>
        </w:tc>
        <w:tc>
          <w:tcPr>
            <w:tcW w:w="0" w:type="auto"/>
            <w:tcMar>
              <w:top w:w="0" w:type="dxa"/>
              <w:left w:w="108" w:type="dxa"/>
              <w:bottom w:w="0" w:type="dxa"/>
              <w:right w:w="101" w:type="dxa"/>
            </w:tcMar>
            <w:vAlign w:val="center"/>
            <w:hideMark/>
          </w:tcPr>
          <w:p w14:paraId="55E2B885"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Report on cancer in children under 18 years of age Colombia, 2019 </w:t>
            </w:r>
          </w:p>
        </w:tc>
        <w:tc>
          <w:tcPr>
            <w:tcW w:w="0" w:type="auto"/>
            <w:tcMar>
              <w:top w:w="0" w:type="dxa"/>
              <w:left w:w="108" w:type="dxa"/>
              <w:bottom w:w="0" w:type="dxa"/>
              <w:right w:w="101" w:type="dxa"/>
            </w:tcMar>
            <w:vAlign w:val="center"/>
            <w:hideMark/>
          </w:tcPr>
          <w:p w14:paraId="75CDB76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7001081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6323366B" w14:textId="77777777" w:rsidTr="00E10CC6">
        <w:trPr>
          <w:trHeight w:val="780"/>
          <w:jc w:val="center"/>
        </w:trPr>
        <w:tc>
          <w:tcPr>
            <w:tcW w:w="0" w:type="auto"/>
            <w:tcMar>
              <w:top w:w="0" w:type="dxa"/>
              <w:left w:w="101" w:type="dxa"/>
              <w:bottom w:w="0" w:type="dxa"/>
              <w:right w:w="101" w:type="dxa"/>
            </w:tcMar>
            <w:vAlign w:val="center"/>
            <w:hideMark/>
          </w:tcPr>
          <w:p w14:paraId="27B1BB5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105</w:t>
            </w:r>
          </w:p>
        </w:tc>
        <w:tc>
          <w:tcPr>
            <w:tcW w:w="0" w:type="auto"/>
            <w:tcMar>
              <w:top w:w="0" w:type="dxa"/>
              <w:left w:w="108" w:type="dxa"/>
              <w:bottom w:w="0" w:type="dxa"/>
              <w:right w:w="101" w:type="dxa"/>
            </w:tcMar>
            <w:vAlign w:val="center"/>
            <w:hideMark/>
          </w:tcPr>
          <w:p w14:paraId="686BD3B0"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Executive Report Donation and Transplant Network </w:t>
            </w:r>
          </w:p>
        </w:tc>
        <w:tc>
          <w:tcPr>
            <w:tcW w:w="0" w:type="auto"/>
            <w:tcMar>
              <w:top w:w="0" w:type="dxa"/>
              <w:left w:w="108" w:type="dxa"/>
              <w:bottom w:w="0" w:type="dxa"/>
              <w:right w:w="101" w:type="dxa"/>
            </w:tcMar>
            <w:vAlign w:val="center"/>
            <w:hideMark/>
          </w:tcPr>
          <w:p w14:paraId="0BA4E8C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5083962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1E14D80" w14:textId="77777777" w:rsidTr="00E10CC6">
        <w:trPr>
          <w:trHeight w:val="780"/>
          <w:jc w:val="center"/>
        </w:trPr>
        <w:tc>
          <w:tcPr>
            <w:tcW w:w="0" w:type="auto"/>
            <w:tcMar>
              <w:top w:w="0" w:type="dxa"/>
              <w:left w:w="101" w:type="dxa"/>
              <w:bottom w:w="0" w:type="dxa"/>
              <w:right w:w="101" w:type="dxa"/>
            </w:tcMar>
            <w:vAlign w:val="center"/>
            <w:hideMark/>
          </w:tcPr>
          <w:p w14:paraId="58EB9D2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106</w:t>
            </w:r>
          </w:p>
        </w:tc>
        <w:tc>
          <w:tcPr>
            <w:tcW w:w="0" w:type="auto"/>
            <w:tcMar>
              <w:top w:w="0" w:type="dxa"/>
              <w:left w:w="108" w:type="dxa"/>
              <w:bottom w:w="0" w:type="dxa"/>
              <w:right w:w="101" w:type="dxa"/>
            </w:tcMar>
            <w:vAlign w:val="center"/>
            <w:hideMark/>
          </w:tcPr>
          <w:p w14:paraId="61F9E6A5"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Visceral leishmaniasis Epidemiological period VIII. Colombia 2021</w:t>
            </w:r>
          </w:p>
        </w:tc>
        <w:tc>
          <w:tcPr>
            <w:tcW w:w="0" w:type="auto"/>
            <w:tcMar>
              <w:top w:w="0" w:type="dxa"/>
              <w:left w:w="108" w:type="dxa"/>
              <w:bottom w:w="0" w:type="dxa"/>
              <w:right w:w="101" w:type="dxa"/>
            </w:tcMar>
            <w:vAlign w:val="center"/>
            <w:hideMark/>
          </w:tcPr>
          <w:p w14:paraId="4B12283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129DFC3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E1DC233" w14:textId="77777777" w:rsidTr="00E10CC6">
        <w:trPr>
          <w:trHeight w:val="780"/>
          <w:jc w:val="center"/>
        </w:trPr>
        <w:tc>
          <w:tcPr>
            <w:tcW w:w="0" w:type="auto"/>
            <w:tcMar>
              <w:top w:w="0" w:type="dxa"/>
              <w:left w:w="101" w:type="dxa"/>
              <w:bottom w:w="0" w:type="dxa"/>
              <w:right w:w="101" w:type="dxa"/>
            </w:tcMar>
            <w:vAlign w:val="center"/>
            <w:hideMark/>
          </w:tcPr>
          <w:p w14:paraId="4B6715F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107</w:t>
            </w:r>
          </w:p>
        </w:tc>
        <w:tc>
          <w:tcPr>
            <w:tcW w:w="0" w:type="auto"/>
            <w:tcMar>
              <w:top w:w="0" w:type="dxa"/>
              <w:left w:w="108" w:type="dxa"/>
              <w:bottom w:w="0" w:type="dxa"/>
              <w:right w:w="101" w:type="dxa"/>
            </w:tcMar>
            <w:vAlign w:val="center"/>
            <w:hideMark/>
          </w:tcPr>
          <w:p w14:paraId="4CC1B4B6"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Report of infections associated with medical-surgical procedures in Colombia, 2018</w:t>
            </w:r>
          </w:p>
        </w:tc>
        <w:tc>
          <w:tcPr>
            <w:tcW w:w="0" w:type="auto"/>
            <w:tcMar>
              <w:top w:w="0" w:type="dxa"/>
              <w:left w:w="108" w:type="dxa"/>
              <w:bottom w:w="0" w:type="dxa"/>
              <w:right w:w="101" w:type="dxa"/>
            </w:tcMar>
            <w:vAlign w:val="center"/>
            <w:hideMark/>
          </w:tcPr>
          <w:p w14:paraId="3E3E951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01EB621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10D938E3" w14:textId="77777777" w:rsidTr="00E10CC6">
        <w:trPr>
          <w:trHeight w:val="780"/>
          <w:jc w:val="center"/>
        </w:trPr>
        <w:tc>
          <w:tcPr>
            <w:tcW w:w="0" w:type="auto"/>
            <w:tcMar>
              <w:top w:w="0" w:type="dxa"/>
              <w:left w:w="101" w:type="dxa"/>
              <w:bottom w:w="0" w:type="dxa"/>
              <w:right w:w="101" w:type="dxa"/>
            </w:tcMar>
            <w:vAlign w:val="center"/>
            <w:hideMark/>
          </w:tcPr>
          <w:p w14:paraId="16AFF5D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108</w:t>
            </w:r>
          </w:p>
        </w:tc>
        <w:tc>
          <w:tcPr>
            <w:tcW w:w="0" w:type="auto"/>
            <w:tcMar>
              <w:top w:w="0" w:type="dxa"/>
              <w:left w:w="108" w:type="dxa"/>
              <w:bottom w:w="0" w:type="dxa"/>
              <w:right w:w="101" w:type="dxa"/>
            </w:tcMar>
            <w:vAlign w:val="center"/>
            <w:hideMark/>
          </w:tcPr>
          <w:p w14:paraId="77765B3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Report of infections associated with medical-surgical procedures in Colombia, 2018</w:t>
            </w:r>
          </w:p>
        </w:tc>
        <w:tc>
          <w:tcPr>
            <w:tcW w:w="0" w:type="auto"/>
            <w:tcMar>
              <w:top w:w="0" w:type="dxa"/>
              <w:left w:w="108" w:type="dxa"/>
              <w:bottom w:w="0" w:type="dxa"/>
              <w:right w:w="101" w:type="dxa"/>
            </w:tcMar>
            <w:vAlign w:val="center"/>
            <w:hideMark/>
          </w:tcPr>
          <w:p w14:paraId="12965CB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2D6EDB2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086C56CE" w14:textId="77777777" w:rsidTr="00E10CC6">
        <w:trPr>
          <w:trHeight w:val="780"/>
          <w:jc w:val="center"/>
        </w:trPr>
        <w:tc>
          <w:tcPr>
            <w:tcW w:w="0" w:type="auto"/>
            <w:tcMar>
              <w:top w:w="0" w:type="dxa"/>
              <w:left w:w="101" w:type="dxa"/>
              <w:bottom w:w="0" w:type="dxa"/>
              <w:right w:w="101" w:type="dxa"/>
            </w:tcMar>
            <w:vAlign w:val="center"/>
            <w:hideMark/>
          </w:tcPr>
          <w:p w14:paraId="7868234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109</w:t>
            </w:r>
          </w:p>
        </w:tc>
        <w:tc>
          <w:tcPr>
            <w:tcW w:w="0" w:type="auto"/>
            <w:tcMar>
              <w:top w:w="0" w:type="dxa"/>
              <w:left w:w="108" w:type="dxa"/>
              <w:bottom w:w="0" w:type="dxa"/>
              <w:right w:w="101" w:type="dxa"/>
            </w:tcMar>
            <w:vAlign w:val="center"/>
            <w:hideMark/>
          </w:tcPr>
          <w:p w14:paraId="4E1E00DB"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Zika virus disease event report, Colombia, 2018 </w:t>
            </w:r>
          </w:p>
        </w:tc>
        <w:tc>
          <w:tcPr>
            <w:tcW w:w="0" w:type="auto"/>
            <w:tcMar>
              <w:top w:w="0" w:type="dxa"/>
              <w:left w:w="108" w:type="dxa"/>
              <w:bottom w:w="0" w:type="dxa"/>
              <w:right w:w="101" w:type="dxa"/>
            </w:tcMar>
            <w:vAlign w:val="center"/>
            <w:hideMark/>
          </w:tcPr>
          <w:p w14:paraId="7013B5E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3F35A79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43D0CDD2" w14:textId="77777777" w:rsidTr="00E10CC6">
        <w:trPr>
          <w:trHeight w:val="780"/>
          <w:jc w:val="center"/>
        </w:trPr>
        <w:tc>
          <w:tcPr>
            <w:tcW w:w="0" w:type="auto"/>
            <w:tcMar>
              <w:top w:w="0" w:type="dxa"/>
              <w:left w:w="101" w:type="dxa"/>
              <w:bottom w:w="0" w:type="dxa"/>
              <w:right w:w="101" w:type="dxa"/>
            </w:tcMar>
            <w:vAlign w:val="center"/>
            <w:hideMark/>
          </w:tcPr>
          <w:p w14:paraId="3F4AE0B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110</w:t>
            </w:r>
          </w:p>
        </w:tc>
        <w:tc>
          <w:tcPr>
            <w:tcW w:w="0" w:type="auto"/>
            <w:tcMar>
              <w:top w:w="0" w:type="dxa"/>
              <w:left w:w="108" w:type="dxa"/>
              <w:bottom w:w="0" w:type="dxa"/>
              <w:right w:w="101" w:type="dxa"/>
            </w:tcMar>
            <w:vAlign w:val="center"/>
            <w:hideMark/>
          </w:tcPr>
          <w:p w14:paraId="369BE26A"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Congenital syphilis. Epidemiological period VIII. Colombia 2021</w:t>
            </w:r>
          </w:p>
        </w:tc>
        <w:tc>
          <w:tcPr>
            <w:tcW w:w="0" w:type="auto"/>
            <w:tcMar>
              <w:top w:w="0" w:type="dxa"/>
              <w:left w:w="108" w:type="dxa"/>
              <w:bottom w:w="0" w:type="dxa"/>
              <w:right w:w="101" w:type="dxa"/>
            </w:tcMar>
            <w:vAlign w:val="center"/>
            <w:hideMark/>
          </w:tcPr>
          <w:p w14:paraId="1549C1B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499A699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2DCD77DB" w14:textId="77777777" w:rsidTr="00E10CC6">
        <w:trPr>
          <w:trHeight w:val="780"/>
          <w:jc w:val="center"/>
        </w:trPr>
        <w:tc>
          <w:tcPr>
            <w:tcW w:w="0" w:type="auto"/>
            <w:tcMar>
              <w:top w:w="0" w:type="dxa"/>
              <w:left w:w="101" w:type="dxa"/>
              <w:bottom w:w="0" w:type="dxa"/>
              <w:right w:w="101" w:type="dxa"/>
            </w:tcMar>
            <w:vAlign w:val="center"/>
            <w:hideMark/>
          </w:tcPr>
          <w:p w14:paraId="3C74CB9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111</w:t>
            </w:r>
          </w:p>
        </w:tc>
        <w:tc>
          <w:tcPr>
            <w:tcW w:w="0" w:type="auto"/>
            <w:tcMar>
              <w:top w:w="0" w:type="dxa"/>
              <w:left w:w="108" w:type="dxa"/>
              <w:bottom w:w="0" w:type="dxa"/>
              <w:right w:w="101" w:type="dxa"/>
            </w:tcMar>
            <w:vAlign w:val="center"/>
            <w:hideMark/>
          </w:tcPr>
          <w:p w14:paraId="67B2C1E2"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Event report infections associated with medical - surgical procedures, Colombia, 2019 </w:t>
            </w:r>
          </w:p>
        </w:tc>
        <w:tc>
          <w:tcPr>
            <w:tcW w:w="0" w:type="auto"/>
            <w:tcMar>
              <w:top w:w="0" w:type="dxa"/>
              <w:left w:w="108" w:type="dxa"/>
              <w:bottom w:w="0" w:type="dxa"/>
              <w:right w:w="101" w:type="dxa"/>
            </w:tcMar>
            <w:vAlign w:val="center"/>
            <w:hideMark/>
          </w:tcPr>
          <w:p w14:paraId="4FC4E22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4F23DC7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4F12E6B7" w14:textId="77777777" w:rsidTr="00E10CC6">
        <w:trPr>
          <w:trHeight w:val="780"/>
          <w:jc w:val="center"/>
        </w:trPr>
        <w:tc>
          <w:tcPr>
            <w:tcW w:w="0" w:type="auto"/>
            <w:tcMar>
              <w:top w:w="0" w:type="dxa"/>
              <w:left w:w="101" w:type="dxa"/>
              <w:bottom w:w="0" w:type="dxa"/>
              <w:right w:w="101" w:type="dxa"/>
            </w:tcMar>
            <w:vAlign w:val="center"/>
            <w:hideMark/>
          </w:tcPr>
          <w:p w14:paraId="3E7BCFF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112</w:t>
            </w:r>
          </w:p>
        </w:tc>
        <w:tc>
          <w:tcPr>
            <w:tcW w:w="0" w:type="auto"/>
            <w:tcMar>
              <w:top w:w="0" w:type="dxa"/>
              <w:left w:w="108" w:type="dxa"/>
              <w:bottom w:w="0" w:type="dxa"/>
              <w:right w:w="101" w:type="dxa"/>
            </w:tcMar>
            <w:vAlign w:val="center"/>
            <w:hideMark/>
          </w:tcPr>
          <w:p w14:paraId="2EE72F65"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Acute respiratory infection event report, Colombia, 2020 </w:t>
            </w:r>
          </w:p>
        </w:tc>
        <w:tc>
          <w:tcPr>
            <w:tcW w:w="0" w:type="auto"/>
            <w:tcMar>
              <w:top w:w="0" w:type="dxa"/>
              <w:left w:w="108" w:type="dxa"/>
              <w:bottom w:w="0" w:type="dxa"/>
              <w:right w:w="101" w:type="dxa"/>
            </w:tcMar>
            <w:vAlign w:val="center"/>
            <w:hideMark/>
          </w:tcPr>
          <w:p w14:paraId="761213A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2E88BEF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10FAD53E" w14:textId="77777777" w:rsidTr="00E10CC6">
        <w:trPr>
          <w:trHeight w:val="780"/>
          <w:jc w:val="center"/>
        </w:trPr>
        <w:tc>
          <w:tcPr>
            <w:tcW w:w="0" w:type="auto"/>
            <w:tcMar>
              <w:top w:w="0" w:type="dxa"/>
              <w:left w:w="101" w:type="dxa"/>
              <w:bottom w:w="0" w:type="dxa"/>
              <w:right w:w="101" w:type="dxa"/>
            </w:tcMar>
            <w:vAlign w:val="center"/>
            <w:hideMark/>
          </w:tcPr>
          <w:p w14:paraId="2329E44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113</w:t>
            </w:r>
          </w:p>
        </w:tc>
        <w:tc>
          <w:tcPr>
            <w:tcW w:w="0" w:type="auto"/>
            <w:tcMar>
              <w:top w:w="0" w:type="dxa"/>
              <w:left w:w="108" w:type="dxa"/>
              <w:bottom w:w="0" w:type="dxa"/>
              <w:right w:w="101" w:type="dxa"/>
            </w:tcMar>
            <w:vAlign w:val="center"/>
            <w:hideMark/>
          </w:tcPr>
          <w:p w14:paraId="192763EB"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Diphtheria event report, Colombia 2019 </w:t>
            </w:r>
          </w:p>
        </w:tc>
        <w:tc>
          <w:tcPr>
            <w:tcW w:w="0" w:type="auto"/>
            <w:tcMar>
              <w:top w:w="0" w:type="dxa"/>
              <w:left w:w="108" w:type="dxa"/>
              <w:bottom w:w="0" w:type="dxa"/>
              <w:right w:w="101" w:type="dxa"/>
            </w:tcMar>
            <w:vAlign w:val="center"/>
            <w:hideMark/>
          </w:tcPr>
          <w:p w14:paraId="1730E5F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49F32C6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27F54A47" w14:textId="77777777" w:rsidTr="00E10CC6">
        <w:trPr>
          <w:trHeight w:val="780"/>
          <w:jc w:val="center"/>
        </w:trPr>
        <w:tc>
          <w:tcPr>
            <w:tcW w:w="0" w:type="auto"/>
            <w:tcMar>
              <w:top w:w="0" w:type="dxa"/>
              <w:left w:w="101" w:type="dxa"/>
              <w:bottom w:w="0" w:type="dxa"/>
              <w:right w:w="101" w:type="dxa"/>
            </w:tcMar>
            <w:vAlign w:val="center"/>
            <w:hideMark/>
          </w:tcPr>
          <w:p w14:paraId="01D367F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114</w:t>
            </w:r>
          </w:p>
        </w:tc>
        <w:tc>
          <w:tcPr>
            <w:tcW w:w="0" w:type="auto"/>
            <w:tcMar>
              <w:top w:w="0" w:type="dxa"/>
              <w:left w:w="108" w:type="dxa"/>
              <w:bottom w:w="0" w:type="dxa"/>
              <w:right w:w="101" w:type="dxa"/>
            </w:tcMar>
            <w:vAlign w:val="center"/>
            <w:hideMark/>
          </w:tcPr>
          <w:p w14:paraId="2649452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Report of moderate and severe acute malnutrition event in children under five years of age, Colombia, 2019 </w:t>
            </w:r>
          </w:p>
        </w:tc>
        <w:tc>
          <w:tcPr>
            <w:tcW w:w="0" w:type="auto"/>
            <w:tcMar>
              <w:top w:w="0" w:type="dxa"/>
              <w:left w:w="108" w:type="dxa"/>
              <w:bottom w:w="0" w:type="dxa"/>
              <w:right w:w="101" w:type="dxa"/>
            </w:tcMar>
            <w:vAlign w:val="center"/>
            <w:hideMark/>
          </w:tcPr>
          <w:p w14:paraId="63EEC6C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5A4BC5E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0A60025" w14:textId="77777777" w:rsidTr="00E10CC6">
        <w:trPr>
          <w:trHeight w:val="780"/>
          <w:jc w:val="center"/>
        </w:trPr>
        <w:tc>
          <w:tcPr>
            <w:tcW w:w="0" w:type="auto"/>
            <w:tcMar>
              <w:top w:w="0" w:type="dxa"/>
              <w:left w:w="101" w:type="dxa"/>
              <w:bottom w:w="0" w:type="dxa"/>
              <w:right w:w="101" w:type="dxa"/>
            </w:tcMar>
            <w:vAlign w:val="center"/>
            <w:hideMark/>
          </w:tcPr>
          <w:p w14:paraId="082F413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115</w:t>
            </w:r>
          </w:p>
        </w:tc>
        <w:tc>
          <w:tcPr>
            <w:tcW w:w="0" w:type="auto"/>
            <w:tcMar>
              <w:top w:w="0" w:type="dxa"/>
              <w:left w:w="108" w:type="dxa"/>
              <w:bottom w:w="0" w:type="dxa"/>
              <w:right w:w="101" w:type="dxa"/>
            </w:tcMar>
            <w:vAlign w:val="center"/>
            <w:hideMark/>
          </w:tcPr>
          <w:p w14:paraId="17E5900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Congenital defects event report, Colombia year 2018 </w:t>
            </w:r>
          </w:p>
        </w:tc>
        <w:tc>
          <w:tcPr>
            <w:tcW w:w="0" w:type="auto"/>
            <w:tcMar>
              <w:top w:w="0" w:type="dxa"/>
              <w:left w:w="108" w:type="dxa"/>
              <w:bottom w:w="0" w:type="dxa"/>
              <w:right w:w="101" w:type="dxa"/>
            </w:tcMar>
            <w:vAlign w:val="center"/>
            <w:hideMark/>
          </w:tcPr>
          <w:p w14:paraId="5CD34D7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314F777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6E7EDC2" w14:textId="77777777" w:rsidTr="00E10CC6">
        <w:trPr>
          <w:trHeight w:val="780"/>
          <w:jc w:val="center"/>
        </w:trPr>
        <w:tc>
          <w:tcPr>
            <w:tcW w:w="0" w:type="auto"/>
            <w:tcMar>
              <w:top w:w="0" w:type="dxa"/>
              <w:left w:w="101" w:type="dxa"/>
              <w:bottom w:w="0" w:type="dxa"/>
              <w:right w:w="101" w:type="dxa"/>
            </w:tcMar>
            <w:vAlign w:val="center"/>
            <w:hideMark/>
          </w:tcPr>
          <w:p w14:paraId="0B6059F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116</w:t>
            </w:r>
          </w:p>
        </w:tc>
        <w:tc>
          <w:tcPr>
            <w:tcW w:w="0" w:type="auto"/>
            <w:tcMar>
              <w:top w:w="0" w:type="dxa"/>
              <w:left w:w="108" w:type="dxa"/>
              <w:bottom w:w="0" w:type="dxa"/>
              <w:right w:w="101" w:type="dxa"/>
            </w:tcMar>
            <w:vAlign w:val="center"/>
            <w:hideMark/>
          </w:tcPr>
          <w:p w14:paraId="0A68405C"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Equine encephalitis event report Colombia 2020 </w:t>
            </w:r>
          </w:p>
        </w:tc>
        <w:tc>
          <w:tcPr>
            <w:tcW w:w="0" w:type="auto"/>
            <w:tcMar>
              <w:top w:w="0" w:type="dxa"/>
              <w:left w:w="108" w:type="dxa"/>
              <w:bottom w:w="0" w:type="dxa"/>
              <w:right w:w="101" w:type="dxa"/>
            </w:tcMar>
            <w:vAlign w:val="center"/>
            <w:hideMark/>
          </w:tcPr>
          <w:p w14:paraId="5C79C4E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4684276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29C7CCFE" w14:textId="77777777" w:rsidTr="00E10CC6">
        <w:trPr>
          <w:trHeight w:val="780"/>
          <w:jc w:val="center"/>
        </w:trPr>
        <w:tc>
          <w:tcPr>
            <w:tcW w:w="0" w:type="auto"/>
            <w:tcMar>
              <w:top w:w="0" w:type="dxa"/>
              <w:left w:w="101" w:type="dxa"/>
              <w:bottom w:w="0" w:type="dxa"/>
              <w:right w:w="101" w:type="dxa"/>
            </w:tcMar>
            <w:vAlign w:val="center"/>
            <w:hideMark/>
          </w:tcPr>
          <w:p w14:paraId="1A9921C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117</w:t>
            </w:r>
          </w:p>
        </w:tc>
        <w:tc>
          <w:tcPr>
            <w:tcW w:w="0" w:type="auto"/>
            <w:tcMar>
              <w:top w:w="0" w:type="dxa"/>
              <w:left w:w="108" w:type="dxa"/>
              <w:bottom w:w="0" w:type="dxa"/>
              <w:right w:w="101" w:type="dxa"/>
            </w:tcMar>
            <w:vAlign w:val="center"/>
            <w:hideMark/>
          </w:tcPr>
          <w:p w14:paraId="7FB214F3"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Puerperal endometritis. Epidemiological period XIII. Colombia 2020</w:t>
            </w:r>
          </w:p>
        </w:tc>
        <w:tc>
          <w:tcPr>
            <w:tcW w:w="0" w:type="auto"/>
            <w:tcMar>
              <w:top w:w="0" w:type="dxa"/>
              <w:left w:w="108" w:type="dxa"/>
              <w:bottom w:w="0" w:type="dxa"/>
              <w:right w:w="101" w:type="dxa"/>
            </w:tcMar>
            <w:vAlign w:val="center"/>
            <w:hideMark/>
          </w:tcPr>
          <w:p w14:paraId="6DDAB4E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7A5BAB4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4A986450" w14:textId="77777777" w:rsidTr="00E10CC6">
        <w:trPr>
          <w:trHeight w:val="780"/>
          <w:jc w:val="center"/>
        </w:trPr>
        <w:tc>
          <w:tcPr>
            <w:tcW w:w="0" w:type="auto"/>
            <w:tcMar>
              <w:top w:w="0" w:type="dxa"/>
              <w:left w:w="101" w:type="dxa"/>
              <w:bottom w:w="0" w:type="dxa"/>
              <w:right w:w="101" w:type="dxa"/>
            </w:tcMar>
            <w:vAlign w:val="center"/>
            <w:hideMark/>
          </w:tcPr>
          <w:p w14:paraId="710FF74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118</w:t>
            </w:r>
          </w:p>
        </w:tc>
        <w:tc>
          <w:tcPr>
            <w:tcW w:w="0" w:type="auto"/>
            <w:tcMar>
              <w:top w:w="0" w:type="dxa"/>
              <w:left w:w="108" w:type="dxa"/>
              <w:bottom w:w="0" w:type="dxa"/>
              <w:right w:w="101" w:type="dxa"/>
            </w:tcMar>
            <w:vAlign w:val="center"/>
            <w:hideMark/>
          </w:tcPr>
          <w:p w14:paraId="0C8E31D1"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Puerperal endometritis Epidemiological period XIII. Colombia 2020</w:t>
            </w:r>
          </w:p>
        </w:tc>
        <w:tc>
          <w:tcPr>
            <w:tcW w:w="0" w:type="auto"/>
            <w:tcMar>
              <w:top w:w="0" w:type="dxa"/>
              <w:left w:w="108" w:type="dxa"/>
              <w:bottom w:w="0" w:type="dxa"/>
              <w:right w:w="101" w:type="dxa"/>
            </w:tcMar>
            <w:vAlign w:val="center"/>
            <w:hideMark/>
          </w:tcPr>
          <w:p w14:paraId="4619DC4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6924FA0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789162B4" w14:textId="77777777" w:rsidTr="00E10CC6">
        <w:trPr>
          <w:trHeight w:val="780"/>
          <w:jc w:val="center"/>
        </w:trPr>
        <w:tc>
          <w:tcPr>
            <w:tcW w:w="0" w:type="auto"/>
            <w:tcMar>
              <w:top w:w="0" w:type="dxa"/>
              <w:left w:w="101" w:type="dxa"/>
              <w:bottom w:w="0" w:type="dxa"/>
              <w:right w:w="101" w:type="dxa"/>
            </w:tcMar>
            <w:vAlign w:val="center"/>
            <w:hideMark/>
          </w:tcPr>
          <w:p w14:paraId="534D2A6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119</w:t>
            </w:r>
          </w:p>
        </w:tc>
        <w:tc>
          <w:tcPr>
            <w:tcW w:w="0" w:type="auto"/>
            <w:tcMar>
              <w:top w:w="0" w:type="dxa"/>
              <w:left w:w="108" w:type="dxa"/>
              <w:bottom w:w="0" w:type="dxa"/>
              <w:right w:w="101" w:type="dxa"/>
            </w:tcMar>
            <w:vAlign w:val="center"/>
            <w:hideMark/>
          </w:tcPr>
          <w:p w14:paraId="525F927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Information on kidney transplant recipients with cadaveric donor (DC), Colombia 2016</w:t>
            </w:r>
          </w:p>
        </w:tc>
        <w:tc>
          <w:tcPr>
            <w:tcW w:w="0" w:type="auto"/>
            <w:tcMar>
              <w:top w:w="0" w:type="dxa"/>
              <w:left w:w="108" w:type="dxa"/>
              <w:bottom w:w="0" w:type="dxa"/>
              <w:right w:w="101" w:type="dxa"/>
            </w:tcMar>
            <w:vAlign w:val="center"/>
            <w:hideMark/>
          </w:tcPr>
          <w:p w14:paraId="3783E20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2016</w:t>
            </w:r>
          </w:p>
        </w:tc>
        <w:tc>
          <w:tcPr>
            <w:tcW w:w="0" w:type="auto"/>
            <w:tcMar>
              <w:top w:w="0" w:type="dxa"/>
              <w:left w:w="108" w:type="dxa"/>
              <w:bottom w:w="0" w:type="dxa"/>
              <w:right w:w="101" w:type="dxa"/>
            </w:tcMar>
            <w:vAlign w:val="center"/>
            <w:hideMark/>
          </w:tcPr>
          <w:p w14:paraId="598258B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Power Point presentation </w:t>
            </w:r>
          </w:p>
        </w:tc>
      </w:tr>
      <w:tr w:rsidR="00E10CC6" w:rsidRPr="009B3512" w14:paraId="17029DB4" w14:textId="77777777" w:rsidTr="00E10CC6">
        <w:trPr>
          <w:trHeight w:val="780"/>
          <w:jc w:val="center"/>
        </w:trPr>
        <w:tc>
          <w:tcPr>
            <w:tcW w:w="0" w:type="auto"/>
            <w:tcMar>
              <w:top w:w="0" w:type="dxa"/>
              <w:left w:w="101" w:type="dxa"/>
              <w:bottom w:w="0" w:type="dxa"/>
              <w:right w:w="101" w:type="dxa"/>
            </w:tcMar>
            <w:vAlign w:val="center"/>
            <w:hideMark/>
          </w:tcPr>
          <w:p w14:paraId="7C847C8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120</w:t>
            </w:r>
          </w:p>
        </w:tc>
        <w:tc>
          <w:tcPr>
            <w:tcW w:w="0" w:type="auto"/>
            <w:tcMar>
              <w:top w:w="0" w:type="dxa"/>
              <w:left w:w="108" w:type="dxa"/>
              <w:bottom w:w="0" w:type="dxa"/>
              <w:right w:w="101" w:type="dxa"/>
            </w:tcMar>
            <w:vAlign w:val="center"/>
            <w:hideMark/>
          </w:tcPr>
          <w:p w14:paraId="01A9A7C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Chikungunya outbreak in the municipality of Mahates, Bolivar, 2014. </w:t>
            </w:r>
          </w:p>
        </w:tc>
        <w:tc>
          <w:tcPr>
            <w:tcW w:w="0" w:type="auto"/>
            <w:tcMar>
              <w:top w:w="0" w:type="dxa"/>
              <w:left w:w="108" w:type="dxa"/>
              <w:bottom w:w="0" w:type="dxa"/>
              <w:right w:w="101" w:type="dxa"/>
            </w:tcMar>
            <w:vAlign w:val="center"/>
            <w:hideMark/>
          </w:tcPr>
          <w:p w14:paraId="649720D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2014</w:t>
            </w:r>
          </w:p>
        </w:tc>
        <w:tc>
          <w:tcPr>
            <w:tcW w:w="0" w:type="auto"/>
            <w:tcMar>
              <w:top w:w="0" w:type="dxa"/>
              <w:left w:w="108" w:type="dxa"/>
              <w:bottom w:w="0" w:type="dxa"/>
              <w:right w:w="101" w:type="dxa"/>
            </w:tcMar>
            <w:vAlign w:val="center"/>
            <w:hideMark/>
          </w:tcPr>
          <w:p w14:paraId="14D3A8E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Report an outbreak </w:t>
            </w:r>
          </w:p>
        </w:tc>
      </w:tr>
      <w:tr w:rsidR="00E10CC6" w:rsidRPr="009B3512" w14:paraId="182012BF" w14:textId="77777777" w:rsidTr="00E10CC6">
        <w:trPr>
          <w:trHeight w:val="780"/>
          <w:jc w:val="center"/>
        </w:trPr>
        <w:tc>
          <w:tcPr>
            <w:tcW w:w="0" w:type="auto"/>
            <w:tcMar>
              <w:top w:w="0" w:type="dxa"/>
              <w:left w:w="101" w:type="dxa"/>
              <w:bottom w:w="0" w:type="dxa"/>
              <w:right w:w="101" w:type="dxa"/>
            </w:tcMar>
            <w:vAlign w:val="center"/>
            <w:hideMark/>
          </w:tcPr>
          <w:p w14:paraId="5A68AD5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lastRenderedPageBreak/>
              <w:t>121</w:t>
            </w:r>
          </w:p>
        </w:tc>
        <w:tc>
          <w:tcPr>
            <w:tcW w:w="0" w:type="auto"/>
            <w:tcMar>
              <w:top w:w="0" w:type="dxa"/>
              <w:left w:w="108" w:type="dxa"/>
              <w:bottom w:w="0" w:type="dxa"/>
              <w:right w:w="101" w:type="dxa"/>
            </w:tcMar>
            <w:vAlign w:val="center"/>
            <w:hideMark/>
          </w:tcPr>
          <w:p w14:paraId="7CCE260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Zika virus disease outbreak in the municipality of Turbaco, Bolívar, Colombia, 2015 </w:t>
            </w:r>
          </w:p>
        </w:tc>
        <w:tc>
          <w:tcPr>
            <w:tcW w:w="0" w:type="auto"/>
            <w:tcMar>
              <w:top w:w="0" w:type="dxa"/>
              <w:left w:w="108" w:type="dxa"/>
              <w:bottom w:w="0" w:type="dxa"/>
              <w:right w:w="101" w:type="dxa"/>
            </w:tcMar>
            <w:vAlign w:val="center"/>
            <w:hideMark/>
          </w:tcPr>
          <w:p w14:paraId="0B9716A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2015</w:t>
            </w:r>
          </w:p>
        </w:tc>
        <w:tc>
          <w:tcPr>
            <w:tcW w:w="0" w:type="auto"/>
            <w:tcMar>
              <w:top w:w="0" w:type="dxa"/>
              <w:left w:w="108" w:type="dxa"/>
              <w:bottom w:w="0" w:type="dxa"/>
              <w:right w:w="101" w:type="dxa"/>
            </w:tcMar>
            <w:vAlign w:val="center"/>
            <w:hideMark/>
          </w:tcPr>
          <w:p w14:paraId="3E4C81E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Report an outbreak </w:t>
            </w:r>
          </w:p>
        </w:tc>
      </w:tr>
      <w:tr w:rsidR="00E10CC6" w:rsidRPr="009B3512" w14:paraId="2778A409" w14:textId="77777777" w:rsidTr="00E10CC6">
        <w:trPr>
          <w:trHeight w:val="780"/>
          <w:jc w:val="center"/>
        </w:trPr>
        <w:tc>
          <w:tcPr>
            <w:tcW w:w="0" w:type="auto"/>
            <w:tcMar>
              <w:top w:w="0" w:type="dxa"/>
              <w:left w:w="101" w:type="dxa"/>
              <w:bottom w:w="0" w:type="dxa"/>
              <w:right w:w="101" w:type="dxa"/>
            </w:tcMar>
            <w:vAlign w:val="center"/>
            <w:hideMark/>
          </w:tcPr>
          <w:p w14:paraId="217BFA1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122</w:t>
            </w:r>
          </w:p>
        </w:tc>
        <w:tc>
          <w:tcPr>
            <w:tcW w:w="0" w:type="auto"/>
            <w:tcMar>
              <w:top w:w="0" w:type="dxa"/>
              <w:left w:w="108" w:type="dxa"/>
              <w:bottom w:w="0" w:type="dxa"/>
              <w:right w:w="101" w:type="dxa"/>
            </w:tcMar>
            <w:vAlign w:val="center"/>
            <w:hideMark/>
          </w:tcPr>
          <w:p w14:paraId="2C35E985"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Acute respiratory infection Colombia 2019</w:t>
            </w:r>
          </w:p>
        </w:tc>
        <w:tc>
          <w:tcPr>
            <w:tcW w:w="0" w:type="auto"/>
            <w:tcMar>
              <w:top w:w="0" w:type="dxa"/>
              <w:left w:w="108" w:type="dxa"/>
              <w:bottom w:w="0" w:type="dxa"/>
              <w:right w:w="101" w:type="dxa"/>
            </w:tcMar>
            <w:vAlign w:val="center"/>
            <w:hideMark/>
          </w:tcPr>
          <w:p w14:paraId="2B4C70C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2E8E62F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0BDAA5D1" w14:textId="77777777" w:rsidTr="00E10CC6">
        <w:trPr>
          <w:trHeight w:val="780"/>
          <w:jc w:val="center"/>
        </w:trPr>
        <w:tc>
          <w:tcPr>
            <w:tcW w:w="0" w:type="auto"/>
            <w:tcMar>
              <w:top w:w="0" w:type="dxa"/>
              <w:left w:w="101" w:type="dxa"/>
              <w:bottom w:w="0" w:type="dxa"/>
              <w:right w:w="101" w:type="dxa"/>
            </w:tcMar>
            <w:vAlign w:val="center"/>
            <w:hideMark/>
          </w:tcPr>
          <w:p w14:paraId="5A39A71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123</w:t>
            </w:r>
          </w:p>
        </w:tc>
        <w:tc>
          <w:tcPr>
            <w:tcW w:w="0" w:type="auto"/>
            <w:tcMar>
              <w:top w:w="0" w:type="dxa"/>
              <w:left w:w="108" w:type="dxa"/>
              <w:bottom w:w="0" w:type="dxa"/>
              <w:right w:w="101" w:type="dxa"/>
            </w:tcMar>
            <w:vAlign w:val="center"/>
            <w:hideMark/>
          </w:tcPr>
          <w:p w14:paraId="70CCE610"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Moderate and severe acute malnutrition in children under five years Colombia 2018</w:t>
            </w:r>
          </w:p>
        </w:tc>
        <w:tc>
          <w:tcPr>
            <w:tcW w:w="0" w:type="auto"/>
            <w:tcMar>
              <w:top w:w="0" w:type="dxa"/>
              <w:left w:w="108" w:type="dxa"/>
              <w:bottom w:w="0" w:type="dxa"/>
              <w:right w:w="101" w:type="dxa"/>
            </w:tcMar>
            <w:vAlign w:val="center"/>
            <w:hideMark/>
          </w:tcPr>
          <w:p w14:paraId="7FA2EE8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28A638B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18B2E1A4" w14:textId="77777777" w:rsidTr="00E10CC6">
        <w:trPr>
          <w:trHeight w:val="780"/>
          <w:jc w:val="center"/>
        </w:trPr>
        <w:tc>
          <w:tcPr>
            <w:tcW w:w="0" w:type="auto"/>
            <w:tcMar>
              <w:top w:w="0" w:type="dxa"/>
              <w:left w:w="101" w:type="dxa"/>
              <w:bottom w:w="0" w:type="dxa"/>
              <w:right w:w="101" w:type="dxa"/>
            </w:tcMar>
            <w:vAlign w:val="center"/>
            <w:hideMark/>
          </w:tcPr>
          <w:p w14:paraId="5E17F48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124</w:t>
            </w:r>
          </w:p>
        </w:tc>
        <w:tc>
          <w:tcPr>
            <w:tcW w:w="0" w:type="auto"/>
            <w:tcMar>
              <w:top w:w="0" w:type="dxa"/>
              <w:left w:w="108" w:type="dxa"/>
              <w:bottom w:w="0" w:type="dxa"/>
              <w:right w:w="101" w:type="dxa"/>
            </w:tcMar>
            <w:vAlign w:val="center"/>
            <w:hideMark/>
          </w:tcPr>
          <w:p w14:paraId="580CC252"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Colombia Chagas Disease Event Report, 2018 </w:t>
            </w:r>
          </w:p>
        </w:tc>
        <w:tc>
          <w:tcPr>
            <w:tcW w:w="0" w:type="auto"/>
            <w:tcMar>
              <w:top w:w="0" w:type="dxa"/>
              <w:left w:w="108" w:type="dxa"/>
              <w:bottom w:w="0" w:type="dxa"/>
              <w:right w:w="101" w:type="dxa"/>
            </w:tcMar>
            <w:vAlign w:val="center"/>
            <w:hideMark/>
          </w:tcPr>
          <w:p w14:paraId="7C87B77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7D96AE8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7B5BEF5B" w14:textId="77777777" w:rsidTr="00E10CC6">
        <w:trPr>
          <w:trHeight w:val="780"/>
          <w:jc w:val="center"/>
        </w:trPr>
        <w:tc>
          <w:tcPr>
            <w:tcW w:w="0" w:type="auto"/>
            <w:tcMar>
              <w:top w:w="0" w:type="dxa"/>
              <w:left w:w="101" w:type="dxa"/>
              <w:bottom w:w="0" w:type="dxa"/>
              <w:right w:w="101" w:type="dxa"/>
            </w:tcMar>
            <w:vAlign w:val="center"/>
            <w:hideMark/>
          </w:tcPr>
          <w:p w14:paraId="21870DA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125</w:t>
            </w:r>
          </w:p>
        </w:tc>
        <w:tc>
          <w:tcPr>
            <w:tcW w:w="0" w:type="auto"/>
            <w:tcMar>
              <w:top w:w="0" w:type="dxa"/>
              <w:left w:w="108" w:type="dxa"/>
              <w:bottom w:w="0" w:type="dxa"/>
              <w:right w:w="101" w:type="dxa"/>
            </w:tcMar>
            <w:vAlign w:val="center"/>
            <w:hideMark/>
          </w:tcPr>
          <w:p w14:paraId="55234E34"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Colombia Chagas Disease Event Report, 2018 </w:t>
            </w:r>
          </w:p>
        </w:tc>
        <w:tc>
          <w:tcPr>
            <w:tcW w:w="0" w:type="auto"/>
            <w:tcMar>
              <w:top w:w="0" w:type="dxa"/>
              <w:left w:w="108" w:type="dxa"/>
              <w:bottom w:w="0" w:type="dxa"/>
              <w:right w:w="101" w:type="dxa"/>
            </w:tcMar>
            <w:vAlign w:val="center"/>
            <w:hideMark/>
          </w:tcPr>
          <w:p w14:paraId="467C03D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1EAD59D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01123C84" w14:textId="77777777" w:rsidTr="00E10CC6">
        <w:trPr>
          <w:trHeight w:val="780"/>
          <w:jc w:val="center"/>
        </w:trPr>
        <w:tc>
          <w:tcPr>
            <w:tcW w:w="0" w:type="auto"/>
            <w:tcMar>
              <w:top w:w="0" w:type="dxa"/>
              <w:left w:w="101" w:type="dxa"/>
              <w:bottom w:w="0" w:type="dxa"/>
              <w:right w:w="101" w:type="dxa"/>
            </w:tcMar>
            <w:vAlign w:val="center"/>
            <w:hideMark/>
          </w:tcPr>
          <w:p w14:paraId="10FA71F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126</w:t>
            </w:r>
          </w:p>
        </w:tc>
        <w:tc>
          <w:tcPr>
            <w:tcW w:w="0" w:type="auto"/>
            <w:tcMar>
              <w:top w:w="0" w:type="dxa"/>
              <w:left w:w="108" w:type="dxa"/>
              <w:bottom w:w="0" w:type="dxa"/>
              <w:right w:w="101" w:type="dxa"/>
            </w:tcMar>
            <w:vAlign w:val="center"/>
            <w:hideMark/>
          </w:tcPr>
          <w:p w14:paraId="72F3E18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External cause injury event report, Colombia 2020</w:t>
            </w:r>
          </w:p>
        </w:tc>
        <w:tc>
          <w:tcPr>
            <w:tcW w:w="0" w:type="auto"/>
            <w:tcMar>
              <w:top w:w="0" w:type="dxa"/>
              <w:left w:w="108" w:type="dxa"/>
              <w:bottom w:w="0" w:type="dxa"/>
              <w:right w:w="101" w:type="dxa"/>
            </w:tcMar>
            <w:vAlign w:val="center"/>
            <w:hideMark/>
          </w:tcPr>
          <w:p w14:paraId="11200A7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153DDB4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2AEF8E5A" w14:textId="77777777" w:rsidTr="00E10CC6">
        <w:trPr>
          <w:trHeight w:val="780"/>
          <w:jc w:val="center"/>
        </w:trPr>
        <w:tc>
          <w:tcPr>
            <w:tcW w:w="0" w:type="auto"/>
            <w:tcMar>
              <w:top w:w="0" w:type="dxa"/>
              <w:left w:w="101" w:type="dxa"/>
              <w:bottom w:w="0" w:type="dxa"/>
              <w:right w:w="101" w:type="dxa"/>
            </w:tcMar>
            <w:vAlign w:val="center"/>
            <w:hideMark/>
          </w:tcPr>
          <w:p w14:paraId="33A841E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127</w:t>
            </w:r>
          </w:p>
        </w:tc>
        <w:tc>
          <w:tcPr>
            <w:tcW w:w="0" w:type="auto"/>
            <w:tcMar>
              <w:top w:w="0" w:type="dxa"/>
              <w:left w:w="108" w:type="dxa"/>
              <w:bottom w:w="0" w:type="dxa"/>
              <w:right w:w="101" w:type="dxa"/>
            </w:tcMar>
            <w:vAlign w:val="center"/>
            <w:hideMark/>
          </w:tcPr>
          <w:p w14:paraId="58F46234"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Malaria outbreak in the municipality of Quibdó Department of Chocó, November 2015</w:t>
            </w:r>
          </w:p>
        </w:tc>
        <w:tc>
          <w:tcPr>
            <w:tcW w:w="0" w:type="auto"/>
            <w:tcMar>
              <w:top w:w="0" w:type="dxa"/>
              <w:left w:w="108" w:type="dxa"/>
              <w:bottom w:w="0" w:type="dxa"/>
              <w:right w:w="101" w:type="dxa"/>
            </w:tcMar>
            <w:vAlign w:val="center"/>
            <w:hideMark/>
          </w:tcPr>
          <w:p w14:paraId="326847D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2015</w:t>
            </w:r>
          </w:p>
        </w:tc>
        <w:tc>
          <w:tcPr>
            <w:tcW w:w="0" w:type="auto"/>
            <w:tcMar>
              <w:top w:w="0" w:type="dxa"/>
              <w:left w:w="108" w:type="dxa"/>
              <w:bottom w:w="0" w:type="dxa"/>
              <w:right w:w="101" w:type="dxa"/>
            </w:tcMar>
            <w:vAlign w:val="center"/>
            <w:hideMark/>
          </w:tcPr>
          <w:p w14:paraId="65989DE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Report an outbreak </w:t>
            </w:r>
          </w:p>
        </w:tc>
      </w:tr>
      <w:tr w:rsidR="00E10CC6" w:rsidRPr="009B3512" w14:paraId="15D3F9FC" w14:textId="77777777" w:rsidTr="00E10CC6">
        <w:trPr>
          <w:trHeight w:val="780"/>
          <w:jc w:val="center"/>
        </w:trPr>
        <w:tc>
          <w:tcPr>
            <w:tcW w:w="0" w:type="auto"/>
            <w:tcMar>
              <w:top w:w="0" w:type="dxa"/>
              <w:left w:w="101" w:type="dxa"/>
              <w:bottom w:w="0" w:type="dxa"/>
              <w:right w:w="101" w:type="dxa"/>
            </w:tcMar>
            <w:vAlign w:val="center"/>
            <w:hideMark/>
          </w:tcPr>
          <w:p w14:paraId="4334D2D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128</w:t>
            </w:r>
          </w:p>
        </w:tc>
        <w:tc>
          <w:tcPr>
            <w:tcW w:w="0" w:type="auto"/>
            <w:tcMar>
              <w:top w:w="0" w:type="dxa"/>
              <w:left w:w="108" w:type="dxa"/>
              <w:bottom w:w="0" w:type="dxa"/>
              <w:right w:w="101" w:type="dxa"/>
            </w:tcMar>
            <w:vAlign w:val="center"/>
            <w:hideMark/>
          </w:tcPr>
          <w:p w14:paraId="5C8921CC"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Malaria outbreak in the municipalities of Guapi and Timbiquí, Cauca, Colombia, 2014</w:t>
            </w:r>
          </w:p>
        </w:tc>
        <w:tc>
          <w:tcPr>
            <w:tcW w:w="0" w:type="auto"/>
            <w:tcMar>
              <w:top w:w="0" w:type="dxa"/>
              <w:left w:w="108" w:type="dxa"/>
              <w:bottom w:w="0" w:type="dxa"/>
              <w:right w:w="101" w:type="dxa"/>
            </w:tcMar>
            <w:vAlign w:val="center"/>
            <w:hideMark/>
          </w:tcPr>
          <w:p w14:paraId="13E288F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2014</w:t>
            </w:r>
          </w:p>
        </w:tc>
        <w:tc>
          <w:tcPr>
            <w:tcW w:w="0" w:type="auto"/>
            <w:tcMar>
              <w:top w:w="0" w:type="dxa"/>
              <w:left w:w="108" w:type="dxa"/>
              <w:bottom w:w="0" w:type="dxa"/>
              <w:right w:w="101" w:type="dxa"/>
            </w:tcMar>
            <w:vAlign w:val="center"/>
            <w:hideMark/>
          </w:tcPr>
          <w:p w14:paraId="74AC6CB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Report an outbreak </w:t>
            </w:r>
          </w:p>
        </w:tc>
      </w:tr>
      <w:tr w:rsidR="00E10CC6" w:rsidRPr="009B3512" w14:paraId="73B31BAC" w14:textId="77777777" w:rsidTr="00E10CC6">
        <w:trPr>
          <w:trHeight w:val="780"/>
          <w:jc w:val="center"/>
        </w:trPr>
        <w:tc>
          <w:tcPr>
            <w:tcW w:w="0" w:type="auto"/>
            <w:tcMar>
              <w:top w:w="0" w:type="dxa"/>
              <w:left w:w="101" w:type="dxa"/>
              <w:bottom w:w="0" w:type="dxa"/>
              <w:right w:w="101" w:type="dxa"/>
            </w:tcMar>
            <w:vAlign w:val="center"/>
            <w:hideMark/>
          </w:tcPr>
          <w:p w14:paraId="0029E6E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129</w:t>
            </w:r>
          </w:p>
        </w:tc>
        <w:tc>
          <w:tcPr>
            <w:tcW w:w="0" w:type="auto"/>
            <w:tcMar>
              <w:top w:w="0" w:type="dxa"/>
              <w:left w:w="108" w:type="dxa"/>
              <w:bottom w:w="0" w:type="dxa"/>
              <w:right w:w="101" w:type="dxa"/>
            </w:tcMar>
            <w:vAlign w:val="center"/>
            <w:hideMark/>
          </w:tcPr>
          <w:p w14:paraId="628CFCA5"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Injuries of external cause. Consumer accidents</w:t>
            </w:r>
          </w:p>
        </w:tc>
        <w:tc>
          <w:tcPr>
            <w:tcW w:w="0" w:type="auto"/>
            <w:tcMar>
              <w:top w:w="0" w:type="dxa"/>
              <w:left w:w="108" w:type="dxa"/>
              <w:bottom w:w="0" w:type="dxa"/>
              <w:right w:w="101" w:type="dxa"/>
            </w:tcMar>
            <w:vAlign w:val="center"/>
            <w:hideMark/>
          </w:tcPr>
          <w:p w14:paraId="55C52B0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0810485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75485114" w14:textId="77777777" w:rsidTr="00E10CC6">
        <w:trPr>
          <w:trHeight w:val="780"/>
          <w:jc w:val="center"/>
        </w:trPr>
        <w:tc>
          <w:tcPr>
            <w:tcW w:w="0" w:type="auto"/>
            <w:tcMar>
              <w:top w:w="0" w:type="dxa"/>
              <w:left w:w="101" w:type="dxa"/>
              <w:bottom w:w="0" w:type="dxa"/>
              <w:right w:w="101" w:type="dxa"/>
            </w:tcMar>
            <w:vAlign w:val="center"/>
            <w:hideMark/>
          </w:tcPr>
          <w:p w14:paraId="393983E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130</w:t>
            </w:r>
          </w:p>
        </w:tc>
        <w:tc>
          <w:tcPr>
            <w:tcW w:w="0" w:type="auto"/>
            <w:tcMar>
              <w:top w:w="0" w:type="dxa"/>
              <w:left w:w="108" w:type="dxa"/>
              <w:bottom w:w="0" w:type="dxa"/>
              <w:right w:w="101" w:type="dxa"/>
            </w:tcMar>
            <w:vAlign w:val="center"/>
            <w:hideMark/>
          </w:tcPr>
          <w:p w14:paraId="6E87116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Injuries of external cause. Consumer accidents</w:t>
            </w:r>
          </w:p>
        </w:tc>
        <w:tc>
          <w:tcPr>
            <w:tcW w:w="0" w:type="auto"/>
            <w:tcMar>
              <w:top w:w="0" w:type="dxa"/>
              <w:left w:w="108" w:type="dxa"/>
              <w:bottom w:w="0" w:type="dxa"/>
              <w:right w:w="101" w:type="dxa"/>
            </w:tcMar>
            <w:vAlign w:val="center"/>
            <w:hideMark/>
          </w:tcPr>
          <w:p w14:paraId="4EB3BBB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60353BE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18A6A4F1" w14:textId="77777777" w:rsidTr="00E10CC6">
        <w:trPr>
          <w:trHeight w:val="780"/>
          <w:jc w:val="center"/>
        </w:trPr>
        <w:tc>
          <w:tcPr>
            <w:tcW w:w="0" w:type="auto"/>
            <w:tcMar>
              <w:top w:w="0" w:type="dxa"/>
              <w:left w:w="101" w:type="dxa"/>
              <w:bottom w:w="0" w:type="dxa"/>
              <w:right w:w="101" w:type="dxa"/>
            </w:tcMar>
            <w:vAlign w:val="center"/>
            <w:hideMark/>
          </w:tcPr>
          <w:p w14:paraId="725B5AA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131</w:t>
            </w:r>
          </w:p>
        </w:tc>
        <w:tc>
          <w:tcPr>
            <w:tcW w:w="0" w:type="auto"/>
            <w:tcMar>
              <w:top w:w="0" w:type="dxa"/>
              <w:left w:w="108" w:type="dxa"/>
              <w:bottom w:w="0" w:type="dxa"/>
              <w:right w:w="101" w:type="dxa"/>
            </w:tcMar>
            <w:vAlign w:val="center"/>
            <w:hideMark/>
          </w:tcPr>
          <w:p w14:paraId="35B0E81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Chemical poisonings </w:t>
            </w:r>
            <w:r w:rsidRPr="009B3512">
              <w:rPr>
                <w:rFonts w:ascii="Arial" w:eastAsia="Times New Roman" w:hAnsi="Arial" w:cs="Arial"/>
                <w:lang w:val="en-CO" w:eastAsia="en-GB"/>
              </w:rPr>
              <w:br/>
              <w:t>Colombia 2019</w:t>
            </w:r>
          </w:p>
        </w:tc>
        <w:tc>
          <w:tcPr>
            <w:tcW w:w="0" w:type="auto"/>
            <w:tcMar>
              <w:top w:w="0" w:type="dxa"/>
              <w:left w:w="108" w:type="dxa"/>
              <w:bottom w:w="0" w:type="dxa"/>
              <w:right w:w="101" w:type="dxa"/>
            </w:tcMar>
            <w:vAlign w:val="center"/>
            <w:hideMark/>
          </w:tcPr>
          <w:p w14:paraId="5EC5BD0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62F2D37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156604D9" w14:textId="77777777" w:rsidTr="00E10CC6">
        <w:trPr>
          <w:trHeight w:val="780"/>
          <w:jc w:val="center"/>
        </w:trPr>
        <w:tc>
          <w:tcPr>
            <w:tcW w:w="0" w:type="auto"/>
            <w:tcMar>
              <w:top w:w="0" w:type="dxa"/>
              <w:left w:w="101" w:type="dxa"/>
              <w:bottom w:w="0" w:type="dxa"/>
              <w:right w:w="101" w:type="dxa"/>
            </w:tcMar>
            <w:vAlign w:val="center"/>
            <w:hideMark/>
          </w:tcPr>
          <w:p w14:paraId="4C1273F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132</w:t>
            </w:r>
          </w:p>
        </w:tc>
        <w:tc>
          <w:tcPr>
            <w:tcW w:w="0" w:type="auto"/>
            <w:tcMar>
              <w:top w:w="0" w:type="dxa"/>
              <w:left w:w="108" w:type="dxa"/>
              <w:bottom w:w="0" w:type="dxa"/>
              <w:right w:w="101" w:type="dxa"/>
            </w:tcMar>
            <w:vAlign w:val="center"/>
            <w:hideMark/>
          </w:tcPr>
          <w:p w14:paraId="7AF6957A"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Poisonings Colombia 2018</w:t>
            </w:r>
          </w:p>
        </w:tc>
        <w:tc>
          <w:tcPr>
            <w:tcW w:w="0" w:type="auto"/>
            <w:tcMar>
              <w:top w:w="0" w:type="dxa"/>
              <w:left w:w="108" w:type="dxa"/>
              <w:bottom w:w="0" w:type="dxa"/>
              <w:right w:w="101" w:type="dxa"/>
            </w:tcMar>
            <w:vAlign w:val="center"/>
            <w:hideMark/>
          </w:tcPr>
          <w:p w14:paraId="60D15A9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5A8E051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4A7EC3B3" w14:textId="77777777" w:rsidTr="00E10CC6">
        <w:trPr>
          <w:trHeight w:val="780"/>
          <w:jc w:val="center"/>
        </w:trPr>
        <w:tc>
          <w:tcPr>
            <w:tcW w:w="0" w:type="auto"/>
            <w:tcMar>
              <w:top w:w="0" w:type="dxa"/>
              <w:left w:w="101" w:type="dxa"/>
              <w:bottom w:w="0" w:type="dxa"/>
              <w:right w:w="101" w:type="dxa"/>
            </w:tcMar>
            <w:vAlign w:val="center"/>
            <w:hideMark/>
          </w:tcPr>
          <w:p w14:paraId="05D4A2D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133</w:t>
            </w:r>
          </w:p>
        </w:tc>
        <w:tc>
          <w:tcPr>
            <w:tcW w:w="0" w:type="auto"/>
            <w:tcMar>
              <w:top w:w="0" w:type="dxa"/>
              <w:left w:w="108" w:type="dxa"/>
              <w:bottom w:w="0" w:type="dxa"/>
              <w:right w:w="101" w:type="dxa"/>
            </w:tcMar>
            <w:vAlign w:val="center"/>
            <w:hideMark/>
          </w:tcPr>
          <w:p w14:paraId="4978F4AA"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Injuries of external cause. Colombia 2018</w:t>
            </w:r>
          </w:p>
        </w:tc>
        <w:tc>
          <w:tcPr>
            <w:tcW w:w="0" w:type="auto"/>
            <w:tcMar>
              <w:top w:w="0" w:type="dxa"/>
              <w:left w:w="108" w:type="dxa"/>
              <w:bottom w:w="0" w:type="dxa"/>
              <w:right w:w="101" w:type="dxa"/>
            </w:tcMar>
            <w:vAlign w:val="center"/>
            <w:hideMark/>
          </w:tcPr>
          <w:p w14:paraId="404F0BA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337FD79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4F05051C" w14:textId="77777777" w:rsidTr="00E10CC6">
        <w:trPr>
          <w:trHeight w:val="780"/>
          <w:jc w:val="center"/>
        </w:trPr>
        <w:tc>
          <w:tcPr>
            <w:tcW w:w="0" w:type="auto"/>
            <w:tcMar>
              <w:top w:w="0" w:type="dxa"/>
              <w:left w:w="101" w:type="dxa"/>
              <w:bottom w:w="0" w:type="dxa"/>
              <w:right w:w="101" w:type="dxa"/>
            </w:tcMar>
            <w:vAlign w:val="center"/>
            <w:hideMark/>
          </w:tcPr>
          <w:p w14:paraId="7C268FE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134</w:t>
            </w:r>
          </w:p>
        </w:tc>
        <w:tc>
          <w:tcPr>
            <w:tcW w:w="0" w:type="auto"/>
            <w:tcMar>
              <w:top w:w="0" w:type="dxa"/>
              <w:left w:w="108" w:type="dxa"/>
              <w:bottom w:w="0" w:type="dxa"/>
              <w:right w:w="101" w:type="dxa"/>
            </w:tcMar>
            <w:vAlign w:val="center"/>
            <w:hideMark/>
          </w:tcPr>
          <w:p w14:paraId="6E6C787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Injuries of external cause. Colombia 2018</w:t>
            </w:r>
          </w:p>
        </w:tc>
        <w:tc>
          <w:tcPr>
            <w:tcW w:w="0" w:type="auto"/>
            <w:tcMar>
              <w:top w:w="0" w:type="dxa"/>
              <w:left w:w="108" w:type="dxa"/>
              <w:bottom w:w="0" w:type="dxa"/>
              <w:right w:w="101" w:type="dxa"/>
            </w:tcMar>
            <w:vAlign w:val="center"/>
            <w:hideMark/>
          </w:tcPr>
          <w:p w14:paraId="525794A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04EE8F8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7DA56DA3" w14:textId="77777777" w:rsidTr="00E10CC6">
        <w:trPr>
          <w:trHeight w:val="780"/>
          <w:jc w:val="center"/>
        </w:trPr>
        <w:tc>
          <w:tcPr>
            <w:tcW w:w="0" w:type="auto"/>
            <w:tcMar>
              <w:top w:w="0" w:type="dxa"/>
              <w:left w:w="101" w:type="dxa"/>
              <w:bottom w:w="0" w:type="dxa"/>
              <w:right w:w="101" w:type="dxa"/>
            </w:tcMar>
            <w:vAlign w:val="center"/>
            <w:hideMark/>
          </w:tcPr>
          <w:p w14:paraId="0EA1DF9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135</w:t>
            </w:r>
          </w:p>
        </w:tc>
        <w:tc>
          <w:tcPr>
            <w:tcW w:w="0" w:type="auto"/>
            <w:tcMar>
              <w:top w:w="0" w:type="dxa"/>
              <w:left w:w="108" w:type="dxa"/>
              <w:bottom w:w="0" w:type="dxa"/>
              <w:right w:w="101" w:type="dxa"/>
            </w:tcMar>
            <w:vAlign w:val="center"/>
            <w:hideMark/>
          </w:tcPr>
          <w:p w14:paraId="730A495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Executive Report Donation and Transplant Network</w:t>
            </w:r>
          </w:p>
        </w:tc>
        <w:tc>
          <w:tcPr>
            <w:tcW w:w="0" w:type="auto"/>
            <w:tcMar>
              <w:top w:w="0" w:type="dxa"/>
              <w:left w:w="108" w:type="dxa"/>
              <w:bottom w:w="0" w:type="dxa"/>
              <w:right w:w="101" w:type="dxa"/>
            </w:tcMar>
            <w:vAlign w:val="center"/>
            <w:hideMark/>
          </w:tcPr>
          <w:p w14:paraId="6CAD5B8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519C8BA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6806D2D8" w14:textId="77777777" w:rsidTr="00E10CC6">
        <w:trPr>
          <w:trHeight w:val="780"/>
          <w:jc w:val="center"/>
        </w:trPr>
        <w:tc>
          <w:tcPr>
            <w:tcW w:w="0" w:type="auto"/>
            <w:tcMar>
              <w:top w:w="0" w:type="dxa"/>
              <w:left w:w="101" w:type="dxa"/>
              <w:bottom w:w="0" w:type="dxa"/>
              <w:right w:w="101" w:type="dxa"/>
            </w:tcMar>
            <w:vAlign w:val="center"/>
            <w:hideMark/>
          </w:tcPr>
          <w:p w14:paraId="4E6BF15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136</w:t>
            </w:r>
          </w:p>
        </w:tc>
        <w:tc>
          <w:tcPr>
            <w:tcW w:w="0" w:type="auto"/>
            <w:tcMar>
              <w:top w:w="0" w:type="dxa"/>
              <w:left w:w="108" w:type="dxa"/>
              <w:bottom w:w="0" w:type="dxa"/>
              <w:right w:w="101" w:type="dxa"/>
            </w:tcMar>
            <w:vAlign w:val="center"/>
            <w:hideMark/>
          </w:tcPr>
          <w:p w14:paraId="1E174D09"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Annual report on the donation and transplantation network Colombia, year 2019.</w:t>
            </w:r>
          </w:p>
        </w:tc>
        <w:tc>
          <w:tcPr>
            <w:tcW w:w="0" w:type="auto"/>
            <w:tcMar>
              <w:top w:w="0" w:type="dxa"/>
              <w:left w:w="108" w:type="dxa"/>
              <w:bottom w:w="0" w:type="dxa"/>
              <w:right w:w="101" w:type="dxa"/>
            </w:tcMar>
            <w:vAlign w:val="center"/>
            <w:hideMark/>
          </w:tcPr>
          <w:p w14:paraId="7EF31A5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2019</w:t>
            </w:r>
          </w:p>
        </w:tc>
        <w:tc>
          <w:tcPr>
            <w:tcW w:w="0" w:type="auto"/>
            <w:tcMar>
              <w:top w:w="0" w:type="dxa"/>
              <w:left w:w="108" w:type="dxa"/>
              <w:bottom w:w="0" w:type="dxa"/>
              <w:right w:w="101" w:type="dxa"/>
            </w:tcMar>
            <w:vAlign w:val="center"/>
            <w:hideMark/>
          </w:tcPr>
          <w:p w14:paraId="4F46BE7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23629BD6" w14:textId="77777777" w:rsidTr="00E10CC6">
        <w:trPr>
          <w:trHeight w:val="780"/>
          <w:jc w:val="center"/>
        </w:trPr>
        <w:tc>
          <w:tcPr>
            <w:tcW w:w="0" w:type="auto"/>
            <w:tcMar>
              <w:top w:w="0" w:type="dxa"/>
              <w:left w:w="101" w:type="dxa"/>
              <w:bottom w:w="0" w:type="dxa"/>
              <w:right w:w="101" w:type="dxa"/>
            </w:tcMar>
            <w:vAlign w:val="center"/>
            <w:hideMark/>
          </w:tcPr>
          <w:p w14:paraId="68D397F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137</w:t>
            </w:r>
          </w:p>
        </w:tc>
        <w:tc>
          <w:tcPr>
            <w:tcW w:w="0" w:type="auto"/>
            <w:tcMar>
              <w:top w:w="0" w:type="dxa"/>
              <w:left w:w="108" w:type="dxa"/>
              <w:bottom w:w="0" w:type="dxa"/>
              <w:right w:w="101" w:type="dxa"/>
            </w:tcMar>
            <w:vAlign w:val="center"/>
            <w:hideMark/>
          </w:tcPr>
          <w:p w14:paraId="18799D00"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Event allegedly attributed to vaccination or immunization - ESAVI (severe)</w:t>
            </w:r>
          </w:p>
        </w:tc>
        <w:tc>
          <w:tcPr>
            <w:tcW w:w="0" w:type="auto"/>
            <w:tcMar>
              <w:top w:w="0" w:type="dxa"/>
              <w:left w:w="108" w:type="dxa"/>
              <w:bottom w:w="0" w:type="dxa"/>
              <w:right w:w="101" w:type="dxa"/>
            </w:tcMar>
            <w:vAlign w:val="center"/>
            <w:hideMark/>
          </w:tcPr>
          <w:p w14:paraId="0C88BA4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746009B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98AB2A4" w14:textId="77777777" w:rsidTr="00E10CC6">
        <w:trPr>
          <w:trHeight w:val="780"/>
          <w:jc w:val="center"/>
        </w:trPr>
        <w:tc>
          <w:tcPr>
            <w:tcW w:w="0" w:type="auto"/>
            <w:tcMar>
              <w:top w:w="0" w:type="dxa"/>
              <w:left w:w="101" w:type="dxa"/>
              <w:bottom w:w="0" w:type="dxa"/>
              <w:right w:w="101" w:type="dxa"/>
            </w:tcMar>
            <w:vAlign w:val="center"/>
            <w:hideMark/>
          </w:tcPr>
          <w:p w14:paraId="1901241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lastRenderedPageBreak/>
              <w:t>138</w:t>
            </w:r>
          </w:p>
        </w:tc>
        <w:tc>
          <w:tcPr>
            <w:tcW w:w="0" w:type="auto"/>
            <w:tcMar>
              <w:top w:w="0" w:type="dxa"/>
              <w:left w:w="108" w:type="dxa"/>
              <w:bottom w:w="0" w:type="dxa"/>
              <w:right w:w="101" w:type="dxa"/>
            </w:tcMar>
            <w:vAlign w:val="center"/>
            <w:hideMark/>
          </w:tcPr>
          <w:p w14:paraId="5BD2DE99"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Confirmed case of acute chagas disease, Rio Iro, Chocó </w:t>
            </w:r>
          </w:p>
        </w:tc>
        <w:tc>
          <w:tcPr>
            <w:tcW w:w="0" w:type="auto"/>
            <w:tcMar>
              <w:top w:w="0" w:type="dxa"/>
              <w:left w:w="108" w:type="dxa"/>
              <w:bottom w:w="0" w:type="dxa"/>
              <w:right w:w="101" w:type="dxa"/>
            </w:tcMar>
            <w:vAlign w:val="center"/>
            <w:hideMark/>
          </w:tcPr>
          <w:p w14:paraId="43B275A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3058CBA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A13C8E2" w14:textId="77777777" w:rsidTr="00E10CC6">
        <w:trPr>
          <w:trHeight w:val="780"/>
          <w:jc w:val="center"/>
        </w:trPr>
        <w:tc>
          <w:tcPr>
            <w:tcW w:w="0" w:type="auto"/>
            <w:tcMar>
              <w:top w:w="0" w:type="dxa"/>
              <w:left w:w="101" w:type="dxa"/>
              <w:bottom w:w="0" w:type="dxa"/>
              <w:right w:w="101" w:type="dxa"/>
            </w:tcMar>
            <w:vAlign w:val="center"/>
            <w:hideMark/>
          </w:tcPr>
          <w:p w14:paraId="38F4350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139</w:t>
            </w:r>
          </w:p>
        </w:tc>
        <w:tc>
          <w:tcPr>
            <w:tcW w:w="0" w:type="auto"/>
            <w:tcMar>
              <w:top w:w="0" w:type="dxa"/>
              <w:left w:w="108" w:type="dxa"/>
              <w:bottom w:w="0" w:type="dxa"/>
              <w:right w:w="101" w:type="dxa"/>
            </w:tcMar>
            <w:vAlign w:val="center"/>
            <w:hideMark/>
          </w:tcPr>
          <w:p w14:paraId="0BA2A276"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Zika virus infection </w:t>
            </w:r>
            <w:r w:rsidRPr="009B3512">
              <w:rPr>
                <w:rFonts w:ascii="Arial" w:eastAsia="Times New Roman" w:hAnsi="Arial" w:cs="Arial"/>
                <w:lang w:val="en-CO" w:eastAsia="en-GB"/>
              </w:rPr>
              <w:br/>
              <w:t>Colombia, 2020</w:t>
            </w:r>
          </w:p>
        </w:tc>
        <w:tc>
          <w:tcPr>
            <w:tcW w:w="0" w:type="auto"/>
            <w:tcMar>
              <w:top w:w="0" w:type="dxa"/>
              <w:left w:w="108" w:type="dxa"/>
              <w:bottom w:w="0" w:type="dxa"/>
              <w:right w:w="101" w:type="dxa"/>
            </w:tcMar>
            <w:vAlign w:val="center"/>
            <w:hideMark/>
          </w:tcPr>
          <w:p w14:paraId="793F51B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0D2E08C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6C990E9D" w14:textId="77777777" w:rsidTr="00E10CC6">
        <w:trPr>
          <w:trHeight w:val="780"/>
          <w:jc w:val="center"/>
        </w:trPr>
        <w:tc>
          <w:tcPr>
            <w:tcW w:w="0" w:type="auto"/>
            <w:tcMar>
              <w:top w:w="0" w:type="dxa"/>
              <w:left w:w="101" w:type="dxa"/>
              <w:bottom w:w="0" w:type="dxa"/>
              <w:right w:w="101" w:type="dxa"/>
            </w:tcMar>
            <w:vAlign w:val="center"/>
            <w:hideMark/>
          </w:tcPr>
          <w:p w14:paraId="240E52F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140</w:t>
            </w:r>
          </w:p>
        </w:tc>
        <w:tc>
          <w:tcPr>
            <w:tcW w:w="0" w:type="auto"/>
            <w:tcMar>
              <w:top w:w="0" w:type="dxa"/>
              <w:left w:w="108" w:type="dxa"/>
              <w:bottom w:w="0" w:type="dxa"/>
              <w:right w:w="101" w:type="dxa"/>
            </w:tcMar>
            <w:vAlign w:val="center"/>
            <w:hideMark/>
          </w:tcPr>
          <w:p w14:paraId="5492289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Events allegedly attributed to vaccination or immunization Colombia, 2020</w:t>
            </w:r>
          </w:p>
        </w:tc>
        <w:tc>
          <w:tcPr>
            <w:tcW w:w="0" w:type="auto"/>
            <w:tcMar>
              <w:top w:w="0" w:type="dxa"/>
              <w:left w:w="108" w:type="dxa"/>
              <w:bottom w:w="0" w:type="dxa"/>
              <w:right w:w="101" w:type="dxa"/>
            </w:tcMar>
            <w:vAlign w:val="center"/>
            <w:hideMark/>
          </w:tcPr>
          <w:p w14:paraId="062C3F0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6A7A303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6F8674F" w14:textId="77777777" w:rsidTr="00E10CC6">
        <w:trPr>
          <w:trHeight w:val="780"/>
          <w:jc w:val="center"/>
        </w:trPr>
        <w:tc>
          <w:tcPr>
            <w:tcW w:w="0" w:type="auto"/>
            <w:tcMar>
              <w:top w:w="0" w:type="dxa"/>
              <w:left w:w="101" w:type="dxa"/>
              <w:bottom w:w="0" w:type="dxa"/>
              <w:right w:w="101" w:type="dxa"/>
            </w:tcMar>
            <w:vAlign w:val="center"/>
            <w:hideMark/>
          </w:tcPr>
          <w:p w14:paraId="46D28C4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141</w:t>
            </w:r>
          </w:p>
        </w:tc>
        <w:tc>
          <w:tcPr>
            <w:tcW w:w="0" w:type="auto"/>
            <w:tcMar>
              <w:top w:w="0" w:type="dxa"/>
              <w:left w:w="108" w:type="dxa"/>
              <w:bottom w:w="0" w:type="dxa"/>
              <w:right w:w="101" w:type="dxa"/>
            </w:tcMar>
            <w:vAlign w:val="center"/>
            <w:hideMark/>
          </w:tcPr>
          <w:p w14:paraId="165D5C23"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Post-vaccination adverse event (severe)</w:t>
            </w:r>
          </w:p>
        </w:tc>
        <w:tc>
          <w:tcPr>
            <w:tcW w:w="0" w:type="auto"/>
            <w:tcMar>
              <w:top w:w="0" w:type="dxa"/>
              <w:left w:w="108" w:type="dxa"/>
              <w:bottom w:w="0" w:type="dxa"/>
              <w:right w:w="101" w:type="dxa"/>
            </w:tcMar>
            <w:vAlign w:val="center"/>
            <w:hideMark/>
          </w:tcPr>
          <w:p w14:paraId="16A46F5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3D5091D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0502B5D2" w14:textId="77777777" w:rsidTr="00E10CC6">
        <w:trPr>
          <w:trHeight w:val="780"/>
          <w:jc w:val="center"/>
        </w:trPr>
        <w:tc>
          <w:tcPr>
            <w:tcW w:w="0" w:type="auto"/>
            <w:tcMar>
              <w:top w:w="0" w:type="dxa"/>
              <w:left w:w="101" w:type="dxa"/>
              <w:bottom w:w="0" w:type="dxa"/>
              <w:right w:w="101" w:type="dxa"/>
            </w:tcMar>
            <w:vAlign w:val="center"/>
            <w:hideMark/>
          </w:tcPr>
          <w:p w14:paraId="12A018F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142</w:t>
            </w:r>
          </w:p>
        </w:tc>
        <w:tc>
          <w:tcPr>
            <w:tcW w:w="0" w:type="auto"/>
            <w:tcMar>
              <w:top w:w="0" w:type="dxa"/>
              <w:left w:w="108" w:type="dxa"/>
              <w:bottom w:w="0" w:type="dxa"/>
              <w:right w:w="101" w:type="dxa"/>
            </w:tcMar>
            <w:vAlign w:val="center"/>
            <w:hideMark/>
          </w:tcPr>
          <w:p w14:paraId="22EB9334"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Chikungunya </w:t>
            </w:r>
          </w:p>
        </w:tc>
        <w:tc>
          <w:tcPr>
            <w:tcW w:w="0" w:type="auto"/>
            <w:tcMar>
              <w:top w:w="0" w:type="dxa"/>
              <w:left w:w="108" w:type="dxa"/>
              <w:bottom w:w="0" w:type="dxa"/>
              <w:right w:w="101" w:type="dxa"/>
            </w:tcMar>
            <w:vAlign w:val="center"/>
            <w:hideMark/>
          </w:tcPr>
          <w:p w14:paraId="427AFDF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2021</w:t>
            </w:r>
          </w:p>
        </w:tc>
        <w:tc>
          <w:tcPr>
            <w:tcW w:w="0" w:type="auto"/>
            <w:tcMar>
              <w:top w:w="0" w:type="dxa"/>
              <w:left w:w="108" w:type="dxa"/>
              <w:bottom w:w="0" w:type="dxa"/>
              <w:right w:w="101" w:type="dxa"/>
            </w:tcMar>
            <w:vAlign w:val="center"/>
            <w:hideMark/>
          </w:tcPr>
          <w:p w14:paraId="036CEE6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23E2A5E6" w14:textId="77777777" w:rsidTr="00E10CC6">
        <w:trPr>
          <w:trHeight w:val="780"/>
          <w:jc w:val="center"/>
        </w:trPr>
        <w:tc>
          <w:tcPr>
            <w:tcW w:w="0" w:type="auto"/>
            <w:tcMar>
              <w:top w:w="0" w:type="dxa"/>
              <w:left w:w="101" w:type="dxa"/>
              <w:bottom w:w="0" w:type="dxa"/>
              <w:right w:w="101" w:type="dxa"/>
            </w:tcMar>
            <w:vAlign w:val="center"/>
            <w:hideMark/>
          </w:tcPr>
          <w:p w14:paraId="5405E8F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143</w:t>
            </w:r>
          </w:p>
        </w:tc>
        <w:tc>
          <w:tcPr>
            <w:tcW w:w="0" w:type="auto"/>
            <w:tcMar>
              <w:top w:w="0" w:type="dxa"/>
              <w:left w:w="108" w:type="dxa"/>
              <w:bottom w:w="0" w:type="dxa"/>
              <w:right w:w="101" w:type="dxa"/>
            </w:tcMar>
            <w:vAlign w:val="center"/>
            <w:hideMark/>
          </w:tcPr>
          <w:p w14:paraId="01C6537A"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Puerperal endometritis epidemiological period vi. Colombia 2020</w:t>
            </w:r>
          </w:p>
        </w:tc>
        <w:tc>
          <w:tcPr>
            <w:tcW w:w="0" w:type="auto"/>
            <w:tcMar>
              <w:top w:w="0" w:type="dxa"/>
              <w:left w:w="108" w:type="dxa"/>
              <w:bottom w:w="0" w:type="dxa"/>
              <w:right w:w="101" w:type="dxa"/>
            </w:tcMar>
            <w:vAlign w:val="center"/>
            <w:hideMark/>
          </w:tcPr>
          <w:p w14:paraId="307D0E5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489C011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4ADBD069" w14:textId="77777777" w:rsidTr="00E10CC6">
        <w:trPr>
          <w:trHeight w:val="780"/>
          <w:jc w:val="center"/>
        </w:trPr>
        <w:tc>
          <w:tcPr>
            <w:tcW w:w="0" w:type="auto"/>
            <w:tcMar>
              <w:top w:w="0" w:type="dxa"/>
              <w:left w:w="101" w:type="dxa"/>
              <w:bottom w:w="0" w:type="dxa"/>
              <w:right w:w="101" w:type="dxa"/>
            </w:tcMar>
            <w:vAlign w:val="center"/>
            <w:hideMark/>
          </w:tcPr>
          <w:p w14:paraId="49033A8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144</w:t>
            </w:r>
          </w:p>
        </w:tc>
        <w:tc>
          <w:tcPr>
            <w:tcW w:w="0" w:type="auto"/>
            <w:tcMar>
              <w:top w:w="0" w:type="dxa"/>
              <w:left w:w="108" w:type="dxa"/>
              <w:bottom w:w="0" w:type="dxa"/>
              <w:right w:w="101" w:type="dxa"/>
            </w:tcMar>
            <w:vAlign w:val="center"/>
            <w:hideMark/>
          </w:tcPr>
          <w:p w14:paraId="1BE91BF2"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Puerperal endometritis Epidemiological period VI. Colombia 2020</w:t>
            </w:r>
          </w:p>
        </w:tc>
        <w:tc>
          <w:tcPr>
            <w:tcW w:w="0" w:type="auto"/>
            <w:tcMar>
              <w:top w:w="0" w:type="dxa"/>
              <w:left w:w="108" w:type="dxa"/>
              <w:bottom w:w="0" w:type="dxa"/>
              <w:right w:w="101" w:type="dxa"/>
            </w:tcMar>
            <w:vAlign w:val="center"/>
            <w:hideMark/>
          </w:tcPr>
          <w:p w14:paraId="58E1D0A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6A0E8A4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214BA05" w14:textId="77777777" w:rsidTr="00E10CC6">
        <w:trPr>
          <w:trHeight w:val="780"/>
          <w:jc w:val="center"/>
        </w:trPr>
        <w:tc>
          <w:tcPr>
            <w:tcW w:w="0" w:type="auto"/>
            <w:tcMar>
              <w:top w:w="0" w:type="dxa"/>
              <w:left w:w="101" w:type="dxa"/>
              <w:bottom w:w="0" w:type="dxa"/>
              <w:right w:w="101" w:type="dxa"/>
            </w:tcMar>
            <w:vAlign w:val="center"/>
            <w:hideMark/>
          </w:tcPr>
          <w:p w14:paraId="6DD7275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145</w:t>
            </w:r>
          </w:p>
        </w:tc>
        <w:tc>
          <w:tcPr>
            <w:tcW w:w="0" w:type="auto"/>
            <w:tcMar>
              <w:top w:w="0" w:type="dxa"/>
              <w:left w:w="108" w:type="dxa"/>
              <w:bottom w:w="0" w:type="dxa"/>
              <w:right w:w="101" w:type="dxa"/>
            </w:tcMar>
            <w:vAlign w:val="center"/>
            <w:hideMark/>
          </w:tcPr>
          <w:p w14:paraId="720CC3E3"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Outbreak of an event of unknown etiology in the municipality of El Carmen de Bolívar, Bolívar, 2014</w:t>
            </w:r>
          </w:p>
        </w:tc>
        <w:tc>
          <w:tcPr>
            <w:tcW w:w="0" w:type="auto"/>
            <w:tcMar>
              <w:top w:w="0" w:type="dxa"/>
              <w:left w:w="108" w:type="dxa"/>
              <w:bottom w:w="0" w:type="dxa"/>
              <w:right w:w="101" w:type="dxa"/>
            </w:tcMar>
            <w:vAlign w:val="center"/>
            <w:hideMark/>
          </w:tcPr>
          <w:p w14:paraId="6EC3DDC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2014</w:t>
            </w:r>
          </w:p>
        </w:tc>
        <w:tc>
          <w:tcPr>
            <w:tcW w:w="0" w:type="auto"/>
            <w:tcMar>
              <w:top w:w="0" w:type="dxa"/>
              <w:left w:w="108" w:type="dxa"/>
              <w:bottom w:w="0" w:type="dxa"/>
              <w:right w:w="101" w:type="dxa"/>
            </w:tcMar>
            <w:vAlign w:val="center"/>
            <w:hideMark/>
          </w:tcPr>
          <w:p w14:paraId="6B1F7D3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191DBBB6" w14:textId="77777777" w:rsidTr="00E10CC6">
        <w:trPr>
          <w:trHeight w:val="780"/>
          <w:jc w:val="center"/>
        </w:trPr>
        <w:tc>
          <w:tcPr>
            <w:tcW w:w="0" w:type="auto"/>
            <w:tcMar>
              <w:top w:w="0" w:type="dxa"/>
              <w:left w:w="101" w:type="dxa"/>
              <w:bottom w:w="0" w:type="dxa"/>
              <w:right w:w="101" w:type="dxa"/>
            </w:tcMar>
            <w:vAlign w:val="center"/>
            <w:hideMark/>
          </w:tcPr>
          <w:p w14:paraId="60312D7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146</w:t>
            </w:r>
          </w:p>
        </w:tc>
        <w:tc>
          <w:tcPr>
            <w:tcW w:w="0" w:type="auto"/>
            <w:tcMar>
              <w:top w:w="0" w:type="dxa"/>
              <w:left w:w="108" w:type="dxa"/>
              <w:bottom w:w="0" w:type="dxa"/>
              <w:right w:w="101" w:type="dxa"/>
            </w:tcMar>
            <w:vAlign w:val="center"/>
            <w:hideMark/>
          </w:tcPr>
          <w:p w14:paraId="59A99A99"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Congenital defects Epidemiological period VI, Colombia 2020  </w:t>
            </w:r>
          </w:p>
        </w:tc>
        <w:tc>
          <w:tcPr>
            <w:tcW w:w="0" w:type="auto"/>
            <w:tcMar>
              <w:top w:w="0" w:type="dxa"/>
              <w:left w:w="108" w:type="dxa"/>
              <w:bottom w:w="0" w:type="dxa"/>
              <w:right w:w="101" w:type="dxa"/>
            </w:tcMar>
            <w:vAlign w:val="center"/>
            <w:hideMark/>
          </w:tcPr>
          <w:p w14:paraId="5A9CC92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4BDDDAB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ADF911E" w14:textId="77777777" w:rsidTr="00E10CC6">
        <w:trPr>
          <w:trHeight w:val="780"/>
          <w:jc w:val="center"/>
        </w:trPr>
        <w:tc>
          <w:tcPr>
            <w:tcW w:w="0" w:type="auto"/>
            <w:tcMar>
              <w:top w:w="0" w:type="dxa"/>
              <w:left w:w="101" w:type="dxa"/>
              <w:bottom w:w="0" w:type="dxa"/>
              <w:right w:w="101" w:type="dxa"/>
            </w:tcMar>
            <w:vAlign w:val="center"/>
            <w:hideMark/>
          </w:tcPr>
          <w:p w14:paraId="24B7054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147</w:t>
            </w:r>
          </w:p>
        </w:tc>
        <w:tc>
          <w:tcPr>
            <w:tcW w:w="0" w:type="auto"/>
            <w:tcMar>
              <w:top w:w="0" w:type="dxa"/>
              <w:left w:w="108" w:type="dxa"/>
              <w:bottom w:w="0" w:type="dxa"/>
              <w:right w:w="101" w:type="dxa"/>
            </w:tcMar>
            <w:vAlign w:val="center"/>
            <w:hideMark/>
          </w:tcPr>
          <w:p w14:paraId="1C52CF5C"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Puerperal endometritis Epidemiological period XIII. Colombia 2020</w:t>
            </w:r>
          </w:p>
        </w:tc>
        <w:tc>
          <w:tcPr>
            <w:tcW w:w="0" w:type="auto"/>
            <w:tcMar>
              <w:top w:w="0" w:type="dxa"/>
              <w:left w:w="108" w:type="dxa"/>
              <w:bottom w:w="0" w:type="dxa"/>
              <w:right w:w="101" w:type="dxa"/>
            </w:tcMar>
            <w:vAlign w:val="center"/>
            <w:hideMark/>
          </w:tcPr>
          <w:p w14:paraId="2FE9D05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37EA843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23E9F0D9" w14:textId="77777777" w:rsidTr="00E10CC6">
        <w:trPr>
          <w:trHeight w:val="780"/>
          <w:jc w:val="center"/>
        </w:trPr>
        <w:tc>
          <w:tcPr>
            <w:tcW w:w="0" w:type="auto"/>
            <w:tcMar>
              <w:top w:w="0" w:type="dxa"/>
              <w:left w:w="101" w:type="dxa"/>
              <w:bottom w:w="0" w:type="dxa"/>
              <w:right w:w="101" w:type="dxa"/>
            </w:tcMar>
            <w:vAlign w:val="center"/>
            <w:hideMark/>
          </w:tcPr>
          <w:p w14:paraId="2DCF02E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148</w:t>
            </w:r>
          </w:p>
        </w:tc>
        <w:tc>
          <w:tcPr>
            <w:tcW w:w="0" w:type="auto"/>
            <w:tcMar>
              <w:top w:w="0" w:type="dxa"/>
              <w:left w:w="108" w:type="dxa"/>
              <w:bottom w:w="0" w:type="dxa"/>
              <w:right w:w="101" w:type="dxa"/>
            </w:tcMar>
            <w:vAlign w:val="center"/>
            <w:hideMark/>
          </w:tcPr>
          <w:p w14:paraId="79AEBA3E"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Gestational syphilis Epidemiological period IX. Colombia 2020</w:t>
            </w:r>
          </w:p>
        </w:tc>
        <w:tc>
          <w:tcPr>
            <w:tcW w:w="0" w:type="auto"/>
            <w:tcMar>
              <w:top w:w="0" w:type="dxa"/>
              <w:left w:w="108" w:type="dxa"/>
              <w:bottom w:w="0" w:type="dxa"/>
              <w:right w:w="101" w:type="dxa"/>
            </w:tcMar>
            <w:vAlign w:val="center"/>
            <w:hideMark/>
          </w:tcPr>
          <w:p w14:paraId="3F2BDF6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112718A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41EFC00D" w14:textId="77777777" w:rsidTr="00E10CC6">
        <w:trPr>
          <w:trHeight w:val="780"/>
          <w:jc w:val="center"/>
        </w:trPr>
        <w:tc>
          <w:tcPr>
            <w:tcW w:w="0" w:type="auto"/>
            <w:tcMar>
              <w:top w:w="0" w:type="dxa"/>
              <w:left w:w="101" w:type="dxa"/>
              <w:bottom w:w="0" w:type="dxa"/>
              <w:right w:w="101" w:type="dxa"/>
            </w:tcMar>
            <w:vAlign w:val="center"/>
            <w:hideMark/>
          </w:tcPr>
          <w:p w14:paraId="60C98C6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149</w:t>
            </w:r>
          </w:p>
        </w:tc>
        <w:tc>
          <w:tcPr>
            <w:tcW w:w="0" w:type="auto"/>
            <w:tcMar>
              <w:top w:w="0" w:type="dxa"/>
              <w:left w:w="108" w:type="dxa"/>
              <w:bottom w:w="0" w:type="dxa"/>
              <w:right w:w="101" w:type="dxa"/>
            </w:tcMar>
            <w:vAlign w:val="center"/>
            <w:hideMark/>
          </w:tcPr>
          <w:p w14:paraId="2F1CF20A"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Unusual increase in malaria cases in Guainía, Colombia 2015 -2017</w:t>
            </w:r>
          </w:p>
        </w:tc>
        <w:tc>
          <w:tcPr>
            <w:tcW w:w="0" w:type="auto"/>
            <w:tcMar>
              <w:top w:w="0" w:type="dxa"/>
              <w:left w:w="108" w:type="dxa"/>
              <w:bottom w:w="0" w:type="dxa"/>
              <w:right w:w="101" w:type="dxa"/>
            </w:tcMar>
            <w:vAlign w:val="center"/>
            <w:hideMark/>
          </w:tcPr>
          <w:p w14:paraId="047E253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2017</w:t>
            </w:r>
          </w:p>
        </w:tc>
        <w:tc>
          <w:tcPr>
            <w:tcW w:w="0" w:type="auto"/>
            <w:tcMar>
              <w:top w:w="0" w:type="dxa"/>
              <w:left w:w="108" w:type="dxa"/>
              <w:bottom w:w="0" w:type="dxa"/>
              <w:right w:w="101" w:type="dxa"/>
            </w:tcMar>
            <w:vAlign w:val="center"/>
            <w:hideMark/>
          </w:tcPr>
          <w:p w14:paraId="7665FEE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E81FFC5" w14:textId="77777777" w:rsidTr="00E10CC6">
        <w:trPr>
          <w:trHeight w:val="780"/>
          <w:jc w:val="center"/>
        </w:trPr>
        <w:tc>
          <w:tcPr>
            <w:tcW w:w="0" w:type="auto"/>
            <w:tcMar>
              <w:top w:w="0" w:type="dxa"/>
              <w:left w:w="101" w:type="dxa"/>
              <w:bottom w:w="0" w:type="dxa"/>
              <w:right w:w="101" w:type="dxa"/>
            </w:tcMar>
            <w:vAlign w:val="center"/>
            <w:hideMark/>
          </w:tcPr>
          <w:p w14:paraId="25A7831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150</w:t>
            </w:r>
          </w:p>
        </w:tc>
        <w:tc>
          <w:tcPr>
            <w:tcW w:w="0" w:type="auto"/>
            <w:tcMar>
              <w:top w:w="0" w:type="dxa"/>
              <w:left w:w="108" w:type="dxa"/>
              <w:bottom w:w="0" w:type="dxa"/>
              <w:right w:w="101" w:type="dxa"/>
            </w:tcMar>
            <w:vAlign w:val="center"/>
            <w:hideMark/>
          </w:tcPr>
          <w:p w14:paraId="265E124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Ophidic accident Epidemiological period IX. Colombia 2020</w:t>
            </w:r>
          </w:p>
        </w:tc>
        <w:tc>
          <w:tcPr>
            <w:tcW w:w="0" w:type="auto"/>
            <w:tcMar>
              <w:top w:w="0" w:type="dxa"/>
              <w:left w:w="108" w:type="dxa"/>
              <w:bottom w:w="0" w:type="dxa"/>
              <w:right w:w="101" w:type="dxa"/>
            </w:tcMar>
            <w:vAlign w:val="center"/>
            <w:hideMark/>
          </w:tcPr>
          <w:p w14:paraId="01F01BB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736400D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F47195E" w14:textId="77777777" w:rsidTr="00E10CC6">
        <w:trPr>
          <w:trHeight w:val="780"/>
          <w:jc w:val="center"/>
        </w:trPr>
        <w:tc>
          <w:tcPr>
            <w:tcW w:w="0" w:type="auto"/>
            <w:tcMar>
              <w:top w:w="0" w:type="dxa"/>
              <w:left w:w="101" w:type="dxa"/>
              <w:bottom w:w="0" w:type="dxa"/>
              <w:right w:w="101" w:type="dxa"/>
            </w:tcMar>
            <w:vAlign w:val="center"/>
            <w:hideMark/>
          </w:tcPr>
          <w:p w14:paraId="3C3DFF1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151</w:t>
            </w:r>
          </w:p>
        </w:tc>
        <w:tc>
          <w:tcPr>
            <w:tcW w:w="0" w:type="auto"/>
            <w:tcMar>
              <w:top w:w="0" w:type="dxa"/>
              <w:left w:w="108" w:type="dxa"/>
              <w:bottom w:w="0" w:type="dxa"/>
              <w:right w:w="101" w:type="dxa"/>
            </w:tcMar>
            <w:vAlign w:val="center"/>
            <w:hideMark/>
          </w:tcPr>
          <w:p w14:paraId="3170A725"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Dengue Epidemiological period IX. Colombia 2020</w:t>
            </w:r>
          </w:p>
        </w:tc>
        <w:tc>
          <w:tcPr>
            <w:tcW w:w="0" w:type="auto"/>
            <w:tcMar>
              <w:top w:w="0" w:type="dxa"/>
              <w:left w:w="108" w:type="dxa"/>
              <w:bottom w:w="0" w:type="dxa"/>
              <w:right w:w="101" w:type="dxa"/>
            </w:tcMar>
            <w:vAlign w:val="center"/>
            <w:hideMark/>
          </w:tcPr>
          <w:p w14:paraId="49C9055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3FDEBEB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0841C8A" w14:textId="77777777" w:rsidTr="00E10CC6">
        <w:trPr>
          <w:trHeight w:val="780"/>
          <w:jc w:val="center"/>
        </w:trPr>
        <w:tc>
          <w:tcPr>
            <w:tcW w:w="0" w:type="auto"/>
            <w:tcMar>
              <w:top w:w="0" w:type="dxa"/>
              <w:left w:w="101" w:type="dxa"/>
              <w:bottom w:w="0" w:type="dxa"/>
              <w:right w:w="101" w:type="dxa"/>
            </w:tcMar>
            <w:vAlign w:val="center"/>
            <w:hideMark/>
          </w:tcPr>
          <w:p w14:paraId="45A50F6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152</w:t>
            </w:r>
          </w:p>
        </w:tc>
        <w:tc>
          <w:tcPr>
            <w:tcW w:w="0" w:type="auto"/>
            <w:tcMar>
              <w:top w:w="0" w:type="dxa"/>
              <w:left w:w="108" w:type="dxa"/>
              <w:bottom w:w="0" w:type="dxa"/>
              <w:right w:w="101" w:type="dxa"/>
            </w:tcMar>
            <w:vAlign w:val="center"/>
            <w:hideMark/>
          </w:tcPr>
          <w:p w14:paraId="684CBD9B"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Exposure to fluoride. Colombia 2018</w:t>
            </w:r>
          </w:p>
        </w:tc>
        <w:tc>
          <w:tcPr>
            <w:tcW w:w="0" w:type="auto"/>
            <w:tcMar>
              <w:top w:w="0" w:type="dxa"/>
              <w:left w:w="108" w:type="dxa"/>
              <w:bottom w:w="0" w:type="dxa"/>
              <w:right w:w="101" w:type="dxa"/>
            </w:tcMar>
            <w:vAlign w:val="center"/>
            <w:hideMark/>
          </w:tcPr>
          <w:p w14:paraId="6312BF5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614288B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6C9F024A" w14:textId="77777777" w:rsidTr="00E10CC6">
        <w:trPr>
          <w:trHeight w:val="780"/>
          <w:jc w:val="center"/>
        </w:trPr>
        <w:tc>
          <w:tcPr>
            <w:tcW w:w="0" w:type="auto"/>
            <w:tcMar>
              <w:top w:w="0" w:type="dxa"/>
              <w:left w:w="101" w:type="dxa"/>
              <w:bottom w:w="0" w:type="dxa"/>
              <w:right w:w="101" w:type="dxa"/>
            </w:tcMar>
            <w:vAlign w:val="center"/>
            <w:hideMark/>
          </w:tcPr>
          <w:p w14:paraId="7747B33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153</w:t>
            </w:r>
          </w:p>
        </w:tc>
        <w:tc>
          <w:tcPr>
            <w:tcW w:w="0" w:type="auto"/>
            <w:tcMar>
              <w:top w:w="0" w:type="dxa"/>
              <w:left w:w="108" w:type="dxa"/>
              <w:bottom w:w="0" w:type="dxa"/>
              <w:right w:w="101" w:type="dxa"/>
            </w:tcMar>
            <w:vAlign w:val="center"/>
            <w:hideMark/>
          </w:tcPr>
          <w:p w14:paraId="14B36A6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Leptospirosis Epidemiological period IX. Colombia 2020</w:t>
            </w:r>
          </w:p>
        </w:tc>
        <w:tc>
          <w:tcPr>
            <w:tcW w:w="0" w:type="auto"/>
            <w:tcMar>
              <w:top w:w="0" w:type="dxa"/>
              <w:left w:w="108" w:type="dxa"/>
              <w:bottom w:w="0" w:type="dxa"/>
              <w:right w:w="101" w:type="dxa"/>
            </w:tcMar>
            <w:vAlign w:val="center"/>
            <w:hideMark/>
          </w:tcPr>
          <w:p w14:paraId="42068D7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106E257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FDA1081" w14:textId="77777777" w:rsidTr="00E10CC6">
        <w:trPr>
          <w:trHeight w:val="780"/>
          <w:jc w:val="center"/>
        </w:trPr>
        <w:tc>
          <w:tcPr>
            <w:tcW w:w="0" w:type="auto"/>
            <w:tcMar>
              <w:top w:w="0" w:type="dxa"/>
              <w:left w:w="101" w:type="dxa"/>
              <w:bottom w:w="0" w:type="dxa"/>
              <w:right w:w="101" w:type="dxa"/>
            </w:tcMar>
            <w:vAlign w:val="center"/>
            <w:hideMark/>
          </w:tcPr>
          <w:p w14:paraId="2B27D17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154</w:t>
            </w:r>
          </w:p>
        </w:tc>
        <w:tc>
          <w:tcPr>
            <w:tcW w:w="0" w:type="auto"/>
            <w:tcMar>
              <w:top w:w="0" w:type="dxa"/>
              <w:left w:w="108" w:type="dxa"/>
              <w:bottom w:w="0" w:type="dxa"/>
              <w:right w:w="101" w:type="dxa"/>
            </w:tcMar>
            <w:vAlign w:val="center"/>
            <w:hideMark/>
          </w:tcPr>
          <w:p w14:paraId="319B6A05"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Accidental tetanus epidemiological period IX. Colombia 2020</w:t>
            </w:r>
          </w:p>
        </w:tc>
        <w:tc>
          <w:tcPr>
            <w:tcW w:w="0" w:type="auto"/>
            <w:tcMar>
              <w:top w:w="0" w:type="dxa"/>
              <w:left w:w="108" w:type="dxa"/>
              <w:bottom w:w="0" w:type="dxa"/>
              <w:right w:w="101" w:type="dxa"/>
            </w:tcMar>
            <w:vAlign w:val="center"/>
            <w:hideMark/>
          </w:tcPr>
          <w:p w14:paraId="323F069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36ED120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4A717ACB" w14:textId="77777777" w:rsidTr="00E10CC6">
        <w:trPr>
          <w:trHeight w:val="780"/>
          <w:jc w:val="center"/>
        </w:trPr>
        <w:tc>
          <w:tcPr>
            <w:tcW w:w="0" w:type="auto"/>
            <w:tcMar>
              <w:top w:w="0" w:type="dxa"/>
              <w:left w:w="101" w:type="dxa"/>
              <w:bottom w:w="0" w:type="dxa"/>
              <w:right w:w="101" w:type="dxa"/>
            </w:tcMar>
            <w:vAlign w:val="center"/>
            <w:hideMark/>
          </w:tcPr>
          <w:p w14:paraId="2BB7FCE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lastRenderedPageBreak/>
              <w:t>155</w:t>
            </w:r>
          </w:p>
        </w:tc>
        <w:tc>
          <w:tcPr>
            <w:tcW w:w="0" w:type="auto"/>
            <w:tcMar>
              <w:top w:w="0" w:type="dxa"/>
              <w:left w:w="108" w:type="dxa"/>
              <w:bottom w:w="0" w:type="dxa"/>
              <w:right w:w="101" w:type="dxa"/>
            </w:tcMar>
            <w:vAlign w:val="center"/>
            <w:hideMark/>
          </w:tcPr>
          <w:p w14:paraId="4C6E142A"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Annual report on donation and transplantation network</w:t>
            </w:r>
          </w:p>
        </w:tc>
        <w:tc>
          <w:tcPr>
            <w:tcW w:w="0" w:type="auto"/>
            <w:tcMar>
              <w:top w:w="0" w:type="dxa"/>
              <w:left w:w="108" w:type="dxa"/>
              <w:bottom w:w="0" w:type="dxa"/>
              <w:right w:w="101" w:type="dxa"/>
            </w:tcMar>
            <w:vAlign w:val="center"/>
            <w:hideMark/>
          </w:tcPr>
          <w:p w14:paraId="36087ED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2018</w:t>
            </w:r>
          </w:p>
        </w:tc>
        <w:tc>
          <w:tcPr>
            <w:tcW w:w="0" w:type="auto"/>
            <w:tcMar>
              <w:top w:w="0" w:type="dxa"/>
              <w:left w:w="108" w:type="dxa"/>
              <w:bottom w:w="0" w:type="dxa"/>
              <w:right w:w="101" w:type="dxa"/>
            </w:tcMar>
            <w:vAlign w:val="center"/>
            <w:hideMark/>
          </w:tcPr>
          <w:p w14:paraId="7EF6503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97F124E" w14:textId="77777777" w:rsidTr="00E10CC6">
        <w:trPr>
          <w:trHeight w:val="780"/>
          <w:jc w:val="center"/>
        </w:trPr>
        <w:tc>
          <w:tcPr>
            <w:tcW w:w="0" w:type="auto"/>
            <w:tcMar>
              <w:top w:w="0" w:type="dxa"/>
              <w:left w:w="101" w:type="dxa"/>
              <w:bottom w:w="0" w:type="dxa"/>
              <w:right w:w="101" w:type="dxa"/>
            </w:tcMar>
            <w:vAlign w:val="center"/>
            <w:hideMark/>
          </w:tcPr>
          <w:p w14:paraId="7E80ABF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156</w:t>
            </w:r>
          </w:p>
        </w:tc>
        <w:tc>
          <w:tcPr>
            <w:tcW w:w="0" w:type="auto"/>
            <w:tcMar>
              <w:top w:w="0" w:type="dxa"/>
              <w:left w:w="108" w:type="dxa"/>
              <w:bottom w:w="0" w:type="dxa"/>
              <w:right w:w="101" w:type="dxa"/>
            </w:tcMar>
            <w:vAlign w:val="center"/>
            <w:hideMark/>
          </w:tcPr>
          <w:p w14:paraId="295203F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Annual report. Donation and Transplant Network</w:t>
            </w:r>
          </w:p>
        </w:tc>
        <w:tc>
          <w:tcPr>
            <w:tcW w:w="0" w:type="auto"/>
            <w:tcMar>
              <w:top w:w="0" w:type="dxa"/>
              <w:left w:w="108" w:type="dxa"/>
              <w:bottom w:w="0" w:type="dxa"/>
              <w:right w:w="101" w:type="dxa"/>
            </w:tcMar>
            <w:vAlign w:val="center"/>
            <w:hideMark/>
          </w:tcPr>
          <w:p w14:paraId="4A6FD20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2017</w:t>
            </w:r>
          </w:p>
        </w:tc>
        <w:tc>
          <w:tcPr>
            <w:tcW w:w="0" w:type="auto"/>
            <w:tcMar>
              <w:top w:w="0" w:type="dxa"/>
              <w:left w:w="108" w:type="dxa"/>
              <w:bottom w:w="0" w:type="dxa"/>
              <w:right w:w="101" w:type="dxa"/>
            </w:tcMar>
            <w:vAlign w:val="center"/>
            <w:hideMark/>
          </w:tcPr>
          <w:p w14:paraId="3EDA586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04CA6DF8" w14:textId="77777777" w:rsidTr="00E10CC6">
        <w:trPr>
          <w:trHeight w:val="780"/>
          <w:jc w:val="center"/>
        </w:trPr>
        <w:tc>
          <w:tcPr>
            <w:tcW w:w="0" w:type="auto"/>
            <w:tcMar>
              <w:top w:w="0" w:type="dxa"/>
              <w:left w:w="101" w:type="dxa"/>
              <w:bottom w:w="0" w:type="dxa"/>
              <w:right w:w="101" w:type="dxa"/>
            </w:tcMar>
            <w:vAlign w:val="center"/>
            <w:hideMark/>
          </w:tcPr>
          <w:p w14:paraId="7AEE29D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157</w:t>
            </w:r>
          </w:p>
        </w:tc>
        <w:tc>
          <w:tcPr>
            <w:tcW w:w="0" w:type="auto"/>
            <w:tcMar>
              <w:top w:w="0" w:type="dxa"/>
              <w:left w:w="108" w:type="dxa"/>
              <w:bottom w:w="0" w:type="dxa"/>
              <w:right w:w="101" w:type="dxa"/>
            </w:tcMar>
            <w:vAlign w:val="center"/>
            <w:hideMark/>
          </w:tcPr>
          <w:p w14:paraId="1DC78EA6"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Congenital syphilis Epidemiological period IX. Colombia 2020</w:t>
            </w:r>
          </w:p>
        </w:tc>
        <w:tc>
          <w:tcPr>
            <w:tcW w:w="0" w:type="auto"/>
            <w:tcMar>
              <w:top w:w="0" w:type="dxa"/>
              <w:left w:w="108" w:type="dxa"/>
              <w:bottom w:w="0" w:type="dxa"/>
              <w:right w:w="101" w:type="dxa"/>
            </w:tcMar>
            <w:vAlign w:val="center"/>
            <w:hideMark/>
          </w:tcPr>
          <w:p w14:paraId="0BB827B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32D732F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5B3F28B5" w14:textId="77777777" w:rsidTr="00E10CC6">
        <w:trPr>
          <w:trHeight w:val="780"/>
          <w:jc w:val="center"/>
        </w:trPr>
        <w:tc>
          <w:tcPr>
            <w:tcW w:w="0" w:type="auto"/>
            <w:tcMar>
              <w:top w:w="0" w:type="dxa"/>
              <w:left w:w="101" w:type="dxa"/>
              <w:bottom w:w="0" w:type="dxa"/>
              <w:right w:w="101" w:type="dxa"/>
            </w:tcMar>
            <w:vAlign w:val="center"/>
            <w:hideMark/>
          </w:tcPr>
          <w:p w14:paraId="64E986D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158</w:t>
            </w:r>
          </w:p>
        </w:tc>
        <w:tc>
          <w:tcPr>
            <w:tcW w:w="0" w:type="auto"/>
            <w:tcMar>
              <w:top w:w="0" w:type="dxa"/>
              <w:left w:w="108" w:type="dxa"/>
              <w:bottom w:w="0" w:type="dxa"/>
              <w:right w:w="101" w:type="dxa"/>
            </w:tcMar>
            <w:vAlign w:val="center"/>
            <w:hideMark/>
          </w:tcPr>
          <w:p w14:paraId="6DE654A5"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Acute, moderate and severe malnutrition in children under five years of age. Epidemiological period IX. Colombia 2020</w:t>
            </w:r>
          </w:p>
        </w:tc>
        <w:tc>
          <w:tcPr>
            <w:tcW w:w="0" w:type="auto"/>
            <w:tcMar>
              <w:top w:w="0" w:type="dxa"/>
              <w:left w:w="108" w:type="dxa"/>
              <w:bottom w:w="0" w:type="dxa"/>
              <w:right w:w="101" w:type="dxa"/>
            </w:tcMar>
            <w:vAlign w:val="center"/>
            <w:hideMark/>
          </w:tcPr>
          <w:p w14:paraId="384A31C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1164989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75C3BD6F" w14:textId="77777777" w:rsidTr="00E10CC6">
        <w:trPr>
          <w:trHeight w:val="780"/>
          <w:jc w:val="center"/>
        </w:trPr>
        <w:tc>
          <w:tcPr>
            <w:tcW w:w="0" w:type="auto"/>
            <w:tcMar>
              <w:top w:w="0" w:type="dxa"/>
              <w:left w:w="101" w:type="dxa"/>
              <w:bottom w:w="0" w:type="dxa"/>
              <w:right w:w="101" w:type="dxa"/>
            </w:tcMar>
            <w:vAlign w:val="center"/>
            <w:hideMark/>
          </w:tcPr>
          <w:p w14:paraId="21097CA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159</w:t>
            </w:r>
          </w:p>
        </w:tc>
        <w:tc>
          <w:tcPr>
            <w:tcW w:w="0" w:type="auto"/>
            <w:tcMar>
              <w:top w:w="0" w:type="dxa"/>
              <w:left w:w="108" w:type="dxa"/>
              <w:bottom w:w="0" w:type="dxa"/>
              <w:right w:w="101" w:type="dxa"/>
            </w:tcMar>
            <w:vAlign w:val="center"/>
            <w:hideMark/>
          </w:tcPr>
          <w:p w14:paraId="03FFBE6E"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Low full-term birth weight. Epidemiological period IX. Colombia 2020</w:t>
            </w:r>
          </w:p>
        </w:tc>
        <w:tc>
          <w:tcPr>
            <w:tcW w:w="0" w:type="auto"/>
            <w:tcMar>
              <w:top w:w="0" w:type="dxa"/>
              <w:left w:w="108" w:type="dxa"/>
              <w:bottom w:w="0" w:type="dxa"/>
              <w:right w:w="101" w:type="dxa"/>
            </w:tcMar>
            <w:vAlign w:val="center"/>
            <w:hideMark/>
          </w:tcPr>
          <w:p w14:paraId="0539387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7F36D62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49C5B5FB" w14:textId="77777777" w:rsidTr="00E10CC6">
        <w:trPr>
          <w:trHeight w:val="780"/>
          <w:jc w:val="center"/>
        </w:trPr>
        <w:tc>
          <w:tcPr>
            <w:tcW w:w="0" w:type="auto"/>
            <w:tcMar>
              <w:top w:w="0" w:type="dxa"/>
              <w:left w:w="101" w:type="dxa"/>
              <w:bottom w:w="0" w:type="dxa"/>
              <w:right w:w="101" w:type="dxa"/>
            </w:tcMar>
            <w:vAlign w:val="center"/>
            <w:hideMark/>
          </w:tcPr>
          <w:p w14:paraId="71474EF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160</w:t>
            </w:r>
          </w:p>
        </w:tc>
        <w:tc>
          <w:tcPr>
            <w:tcW w:w="0" w:type="auto"/>
            <w:tcMar>
              <w:top w:w="0" w:type="dxa"/>
              <w:left w:w="108" w:type="dxa"/>
              <w:bottom w:w="0" w:type="dxa"/>
              <w:right w:w="101" w:type="dxa"/>
            </w:tcMar>
            <w:vAlign w:val="center"/>
            <w:hideMark/>
          </w:tcPr>
          <w:p w14:paraId="57AD85D7"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Orphan-rare diseases Epidemiological period IX. Colombia 2020</w:t>
            </w:r>
          </w:p>
        </w:tc>
        <w:tc>
          <w:tcPr>
            <w:tcW w:w="0" w:type="auto"/>
            <w:tcMar>
              <w:top w:w="0" w:type="dxa"/>
              <w:left w:w="108" w:type="dxa"/>
              <w:bottom w:w="0" w:type="dxa"/>
              <w:right w:w="101" w:type="dxa"/>
            </w:tcMar>
            <w:vAlign w:val="center"/>
            <w:hideMark/>
          </w:tcPr>
          <w:p w14:paraId="36F46BC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59D7E05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1ABEAE30" w14:textId="77777777" w:rsidTr="00E10CC6">
        <w:trPr>
          <w:trHeight w:val="780"/>
          <w:jc w:val="center"/>
        </w:trPr>
        <w:tc>
          <w:tcPr>
            <w:tcW w:w="0" w:type="auto"/>
            <w:tcMar>
              <w:top w:w="0" w:type="dxa"/>
              <w:left w:w="101" w:type="dxa"/>
              <w:bottom w:w="0" w:type="dxa"/>
              <w:right w:w="101" w:type="dxa"/>
            </w:tcMar>
            <w:vAlign w:val="center"/>
            <w:hideMark/>
          </w:tcPr>
          <w:p w14:paraId="40E3324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161</w:t>
            </w:r>
          </w:p>
        </w:tc>
        <w:tc>
          <w:tcPr>
            <w:tcW w:w="0" w:type="auto"/>
            <w:tcMar>
              <w:top w:w="0" w:type="dxa"/>
              <w:left w:w="108" w:type="dxa"/>
              <w:bottom w:w="0" w:type="dxa"/>
              <w:right w:w="101" w:type="dxa"/>
            </w:tcMar>
            <w:vAlign w:val="center"/>
            <w:hideMark/>
          </w:tcPr>
          <w:p w14:paraId="670BB9C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Maternal Mortality (Early) Epidemiological Period VII. Colombia, 2020</w:t>
            </w:r>
          </w:p>
        </w:tc>
        <w:tc>
          <w:tcPr>
            <w:tcW w:w="0" w:type="auto"/>
            <w:tcMar>
              <w:top w:w="0" w:type="dxa"/>
              <w:left w:w="108" w:type="dxa"/>
              <w:bottom w:w="0" w:type="dxa"/>
              <w:right w:w="101" w:type="dxa"/>
            </w:tcMar>
            <w:vAlign w:val="center"/>
            <w:hideMark/>
          </w:tcPr>
          <w:p w14:paraId="47E41E0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INS, 2020</w:t>
            </w:r>
          </w:p>
        </w:tc>
        <w:tc>
          <w:tcPr>
            <w:tcW w:w="0" w:type="auto"/>
            <w:tcMar>
              <w:top w:w="0" w:type="dxa"/>
              <w:left w:w="108" w:type="dxa"/>
              <w:bottom w:w="0" w:type="dxa"/>
              <w:right w:w="101" w:type="dxa"/>
            </w:tcMar>
            <w:vAlign w:val="center"/>
            <w:hideMark/>
          </w:tcPr>
          <w:p w14:paraId="155FE41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Event report </w:t>
            </w:r>
          </w:p>
        </w:tc>
      </w:tr>
      <w:tr w:rsidR="00E10CC6" w:rsidRPr="009B3512" w14:paraId="3FFC9EDF" w14:textId="77777777" w:rsidTr="00E10CC6">
        <w:trPr>
          <w:trHeight w:val="780"/>
          <w:jc w:val="center"/>
        </w:trPr>
        <w:tc>
          <w:tcPr>
            <w:tcW w:w="0" w:type="auto"/>
            <w:tcMar>
              <w:top w:w="0" w:type="dxa"/>
              <w:left w:w="101" w:type="dxa"/>
              <w:bottom w:w="0" w:type="dxa"/>
              <w:right w:w="101" w:type="dxa"/>
            </w:tcMar>
            <w:vAlign w:val="center"/>
            <w:hideMark/>
          </w:tcPr>
          <w:p w14:paraId="202D1AC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162</w:t>
            </w:r>
          </w:p>
        </w:tc>
        <w:tc>
          <w:tcPr>
            <w:tcW w:w="0" w:type="auto"/>
            <w:tcMar>
              <w:top w:w="0" w:type="dxa"/>
              <w:left w:w="108" w:type="dxa"/>
              <w:bottom w:w="0" w:type="dxa"/>
              <w:right w:w="101" w:type="dxa"/>
            </w:tcMar>
            <w:vAlign w:val="center"/>
            <w:hideMark/>
          </w:tcPr>
          <w:p w14:paraId="7D6894E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Evaluation study of EPS services by users, in the contributory and subsidized regime</w:t>
            </w:r>
          </w:p>
        </w:tc>
        <w:tc>
          <w:tcPr>
            <w:tcW w:w="0" w:type="auto"/>
            <w:tcMar>
              <w:top w:w="0" w:type="dxa"/>
              <w:left w:w="108" w:type="dxa"/>
              <w:bottom w:w="0" w:type="dxa"/>
              <w:right w:w="101" w:type="dxa"/>
            </w:tcMar>
            <w:vAlign w:val="center"/>
            <w:hideMark/>
          </w:tcPr>
          <w:p w14:paraId="30269CD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MinSalud, 2014</w:t>
            </w:r>
          </w:p>
        </w:tc>
        <w:tc>
          <w:tcPr>
            <w:tcW w:w="0" w:type="auto"/>
            <w:tcMar>
              <w:top w:w="0" w:type="dxa"/>
              <w:left w:w="108" w:type="dxa"/>
              <w:bottom w:w="0" w:type="dxa"/>
              <w:right w:w="101" w:type="dxa"/>
            </w:tcMar>
            <w:vAlign w:val="center"/>
            <w:hideMark/>
          </w:tcPr>
          <w:p w14:paraId="545AF1D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Slideshow </w:t>
            </w:r>
          </w:p>
        </w:tc>
      </w:tr>
      <w:tr w:rsidR="00E10CC6" w:rsidRPr="009B3512" w14:paraId="510D7002" w14:textId="77777777" w:rsidTr="00E10CC6">
        <w:trPr>
          <w:trHeight w:val="780"/>
          <w:jc w:val="center"/>
        </w:trPr>
        <w:tc>
          <w:tcPr>
            <w:tcW w:w="0" w:type="auto"/>
            <w:tcMar>
              <w:top w:w="0" w:type="dxa"/>
              <w:left w:w="101" w:type="dxa"/>
              <w:bottom w:w="0" w:type="dxa"/>
              <w:right w:w="101" w:type="dxa"/>
            </w:tcMar>
            <w:vAlign w:val="center"/>
            <w:hideMark/>
          </w:tcPr>
          <w:p w14:paraId="59679BB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163</w:t>
            </w:r>
          </w:p>
        </w:tc>
        <w:tc>
          <w:tcPr>
            <w:tcW w:w="0" w:type="auto"/>
            <w:tcMar>
              <w:top w:w="0" w:type="dxa"/>
              <w:left w:w="108" w:type="dxa"/>
              <w:bottom w:w="0" w:type="dxa"/>
              <w:right w:w="101" w:type="dxa"/>
            </w:tcMar>
            <w:vAlign w:val="center"/>
            <w:hideMark/>
          </w:tcPr>
          <w:p w14:paraId="76CD98F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Factors associated with maternal mortality in those affiliated to an EPS of the subsidized regime, during 20081 </w:t>
            </w:r>
          </w:p>
        </w:tc>
        <w:tc>
          <w:tcPr>
            <w:tcW w:w="0" w:type="auto"/>
            <w:tcMar>
              <w:top w:w="0" w:type="dxa"/>
              <w:left w:w="108" w:type="dxa"/>
              <w:bottom w:w="0" w:type="dxa"/>
              <w:right w:w="101" w:type="dxa"/>
            </w:tcMar>
            <w:vAlign w:val="center"/>
            <w:hideMark/>
          </w:tcPr>
          <w:p w14:paraId="4873162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Amaya, 2008</w:t>
            </w:r>
          </w:p>
        </w:tc>
        <w:tc>
          <w:tcPr>
            <w:tcW w:w="0" w:type="auto"/>
            <w:tcMar>
              <w:top w:w="0" w:type="dxa"/>
              <w:left w:w="108" w:type="dxa"/>
              <w:bottom w:w="0" w:type="dxa"/>
              <w:right w:w="101" w:type="dxa"/>
            </w:tcMar>
            <w:vAlign w:val="center"/>
            <w:hideMark/>
          </w:tcPr>
          <w:p w14:paraId="022498F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0C35DE80" w14:textId="77777777" w:rsidTr="00E10CC6">
        <w:trPr>
          <w:trHeight w:val="780"/>
          <w:jc w:val="center"/>
        </w:trPr>
        <w:tc>
          <w:tcPr>
            <w:tcW w:w="0" w:type="auto"/>
            <w:tcMar>
              <w:top w:w="0" w:type="dxa"/>
              <w:left w:w="101" w:type="dxa"/>
              <w:bottom w:w="0" w:type="dxa"/>
              <w:right w:w="101" w:type="dxa"/>
            </w:tcMar>
            <w:vAlign w:val="center"/>
            <w:hideMark/>
          </w:tcPr>
          <w:p w14:paraId="0B8ED79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164</w:t>
            </w:r>
          </w:p>
        </w:tc>
        <w:tc>
          <w:tcPr>
            <w:tcW w:w="0" w:type="auto"/>
            <w:tcMar>
              <w:top w:w="0" w:type="dxa"/>
              <w:left w:w="108" w:type="dxa"/>
              <w:bottom w:w="0" w:type="dxa"/>
              <w:right w:w="101" w:type="dxa"/>
            </w:tcMar>
            <w:vAlign w:val="center"/>
            <w:hideMark/>
          </w:tcPr>
          <w:p w14:paraId="01F29F8B"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Prevalence and factors associated with infection By </w:t>
            </w:r>
            <w:r w:rsidRPr="009B3512">
              <w:rPr>
                <w:rFonts w:ascii="Arial" w:eastAsia="Times New Roman" w:hAnsi="Arial" w:cs="Arial"/>
                <w:i/>
                <w:iCs/>
                <w:lang w:val="en-CO" w:eastAsia="en-GB"/>
              </w:rPr>
              <w:t>C. Trachomatis, N. Gonorrheae </w:t>
            </w:r>
            <w:r w:rsidRPr="009B3512">
              <w:rPr>
                <w:rFonts w:ascii="Arial" w:eastAsia="Times New Roman" w:hAnsi="Arial" w:cs="Arial"/>
                <w:lang w:val="en-CO" w:eastAsia="en-GB"/>
              </w:rPr>
              <w:t>, </w:t>
            </w:r>
            <w:r w:rsidRPr="009B3512">
              <w:rPr>
                <w:rFonts w:ascii="Arial" w:eastAsia="Times New Roman" w:hAnsi="Arial" w:cs="Arial"/>
                <w:i/>
                <w:iCs/>
                <w:lang w:val="en-CO" w:eastAsia="en-GB"/>
              </w:rPr>
              <w:t>t. Vaginalis </w:t>
            </w:r>
            <w:r w:rsidRPr="009B3512">
              <w:rPr>
                <w:rFonts w:ascii="Arial" w:eastAsia="Times New Roman" w:hAnsi="Arial" w:cs="Arial"/>
                <w:lang w:val="en-CO" w:eastAsia="en-GB"/>
              </w:rPr>
              <w:t>, </w:t>
            </w:r>
            <w:r w:rsidRPr="009B3512">
              <w:rPr>
                <w:rFonts w:ascii="Arial" w:eastAsia="Times New Roman" w:hAnsi="Arial" w:cs="Arial"/>
                <w:i/>
                <w:iCs/>
                <w:lang w:val="en-CO" w:eastAsia="en-GB"/>
              </w:rPr>
              <w:t>C. albicans </w:t>
            </w:r>
            <w:r w:rsidRPr="009B3512">
              <w:rPr>
                <w:rFonts w:ascii="Arial" w:eastAsia="Times New Roman" w:hAnsi="Arial" w:cs="Arial"/>
                <w:lang w:val="en-CO" w:eastAsia="en-GB"/>
              </w:rPr>
              <w:t>, syphilis, hiv and bacterial vaginosis in women with symptoms of vaginal infection in three care sites in bogota, colombia, 2010</w:t>
            </w:r>
          </w:p>
        </w:tc>
        <w:tc>
          <w:tcPr>
            <w:tcW w:w="0" w:type="auto"/>
            <w:tcMar>
              <w:top w:w="0" w:type="dxa"/>
              <w:left w:w="108" w:type="dxa"/>
              <w:bottom w:w="0" w:type="dxa"/>
              <w:right w:w="101" w:type="dxa"/>
            </w:tcMar>
            <w:vAlign w:val="center"/>
            <w:hideMark/>
          </w:tcPr>
          <w:p w14:paraId="53DF547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Angel, 2012</w:t>
            </w:r>
          </w:p>
        </w:tc>
        <w:tc>
          <w:tcPr>
            <w:tcW w:w="0" w:type="auto"/>
            <w:tcMar>
              <w:top w:w="0" w:type="dxa"/>
              <w:left w:w="108" w:type="dxa"/>
              <w:bottom w:w="0" w:type="dxa"/>
              <w:right w:w="101" w:type="dxa"/>
            </w:tcMar>
            <w:vAlign w:val="center"/>
            <w:hideMark/>
          </w:tcPr>
          <w:p w14:paraId="39B913B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104D3059" w14:textId="77777777" w:rsidTr="00E10CC6">
        <w:trPr>
          <w:trHeight w:val="780"/>
          <w:jc w:val="center"/>
        </w:trPr>
        <w:tc>
          <w:tcPr>
            <w:tcW w:w="0" w:type="auto"/>
            <w:tcMar>
              <w:top w:w="0" w:type="dxa"/>
              <w:left w:w="101" w:type="dxa"/>
              <w:bottom w:w="0" w:type="dxa"/>
              <w:right w:w="101" w:type="dxa"/>
            </w:tcMar>
            <w:vAlign w:val="center"/>
            <w:hideMark/>
          </w:tcPr>
          <w:p w14:paraId="09A57C8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165</w:t>
            </w:r>
          </w:p>
        </w:tc>
        <w:tc>
          <w:tcPr>
            <w:tcW w:w="0" w:type="auto"/>
            <w:tcMar>
              <w:top w:w="0" w:type="dxa"/>
              <w:left w:w="108" w:type="dxa"/>
              <w:bottom w:w="0" w:type="dxa"/>
              <w:right w:w="101" w:type="dxa"/>
            </w:tcMar>
            <w:vAlign w:val="center"/>
            <w:hideMark/>
          </w:tcPr>
          <w:p w14:paraId="2CA6874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High-grade intraepithelial lesions (leiag) in the subsidized, contributory and poor uninsured population in the municipality of Villavicencio, Colombia. 2008</w:t>
            </w:r>
          </w:p>
        </w:tc>
        <w:tc>
          <w:tcPr>
            <w:tcW w:w="0" w:type="auto"/>
            <w:tcMar>
              <w:top w:w="0" w:type="dxa"/>
              <w:left w:w="108" w:type="dxa"/>
              <w:bottom w:w="0" w:type="dxa"/>
              <w:right w:w="101" w:type="dxa"/>
            </w:tcMar>
            <w:vAlign w:val="center"/>
            <w:hideMark/>
          </w:tcPr>
          <w:p w14:paraId="0BA098E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Baquero, 2010</w:t>
            </w:r>
          </w:p>
        </w:tc>
        <w:tc>
          <w:tcPr>
            <w:tcW w:w="0" w:type="auto"/>
            <w:tcMar>
              <w:top w:w="0" w:type="dxa"/>
              <w:left w:w="108" w:type="dxa"/>
              <w:bottom w:w="0" w:type="dxa"/>
              <w:right w:w="101" w:type="dxa"/>
            </w:tcMar>
            <w:vAlign w:val="center"/>
            <w:hideMark/>
          </w:tcPr>
          <w:p w14:paraId="2B16447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3B8EF502" w14:textId="77777777" w:rsidTr="00E10CC6">
        <w:trPr>
          <w:trHeight w:val="780"/>
          <w:jc w:val="center"/>
        </w:trPr>
        <w:tc>
          <w:tcPr>
            <w:tcW w:w="0" w:type="auto"/>
            <w:tcMar>
              <w:top w:w="0" w:type="dxa"/>
              <w:left w:w="101" w:type="dxa"/>
              <w:bottom w:w="0" w:type="dxa"/>
              <w:right w:w="101" w:type="dxa"/>
            </w:tcMar>
            <w:vAlign w:val="center"/>
            <w:hideMark/>
          </w:tcPr>
          <w:p w14:paraId="7C4472C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166</w:t>
            </w:r>
          </w:p>
        </w:tc>
        <w:tc>
          <w:tcPr>
            <w:tcW w:w="0" w:type="auto"/>
            <w:tcMar>
              <w:top w:w="0" w:type="dxa"/>
              <w:left w:w="108" w:type="dxa"/>
              <w:bottom w:w="0" w:type="dxa"/>
              <w:right w:w="101" w:type="dxa"/>
            </w:tcMar>
            <w:vAlign w:val="center"/>
            <w:hideMark/>
          </w:tcPr>
          <w:p w14:paraId="68F39807"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Association between prostate cancer screening, link to the health system and associated factors in older adults: secondary analysis of the SABE survey Bogotá, Colombia</w:t>
            </w:r>
          </w:p>
        </w:tc>
        <w:tc>
          <w:tcPr>
            <w:tcW w:w="0" w:type="auto"/>
            <w:tcMar>
              <w:top w:w="0" w:type="dxa"/>
              <w:left w:w="108" w:type="dxa"/>
              <w:bottom w:w="0" w:type="dxa"/>
              <w:right w:w="101" w:type="dxa"/>
            </w:tcMar>
            <w:vAlign w:val="center"/>
            <w:hideMark/>
          </w:tcPr>
          <w:p w14:paraId="641C21A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Borda, 2018</w:t>
            </w:r>
          </w:p>
        </w:tc>
        <w:tc>
          <w:tcPr>
            <w:tcW w:w="0" w:type="auto"/>
            <w:tcMar>
              <w:top w:w="0" w:type="dxa"/>
              <w:left w:w="108" w:type="dxa"/>
              <w:bottom w:w="0" w:type="dxa"/>
              <w:right w:w="101" w:type="dxa"/>
            </w:tcMar>
            <w:vAlign w:val="center"/>
            <w:hideMark/>
          </w:tcPr>
          <w:p w14:paraId="2644E19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7599EBD2" w14:textId="77777777" w:rsidTr="00E10CC6">
        <w:trPr>
          <w:trHeight w:val="780"/>
          <w:jc w:val="center"/>
        </w:trPr>
        <w:tc>
          <w:tcPr>
            <w:tcW w:w="0" w:type="auto"/>
            <w:tcMar>
              <w:top w:w="0" w:type="dxa"/>
              <w:left w:w="101" w:type="dxa"/>
              <w:bottom w:w="0" w:type="dxa"/>
              <w:right w:w="101" w:type="dxa"/>
            </w:tcMar>
            <w:vAlign w:val="center"/>
            <w:hideMark/>
          </w:tcPr>
          <w:p w14:paraId="765A2C6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167</w:t>
            </w:r>
          </w:p>
        </w:tc>
        <w:tc>
          <w:tcPr>
            <w:tcW w:w="0" w:type="auto"/>
            <w:tcMar>
              <w:top w:w="0" w:type="dxa"/>
              <w:left w:w="108" w:type="dxa"/>
              <w:bottom w:w="0" w:type="dxa"/>
              <w:right w:w="101" w:type="dxa"/>
            </w:tcMar>
            <w:vAlign w:val="center"/>
            <w:hideMark/>
          </w:tcPr>
          <w:p w14:paraId="7C678EF0"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Mortality of older adults due to nutritional deficiencies in the Departments of Colombia</w:t>
            </w:r>
          </w:p>
        </w:tc>
        <w:tc>
          <w:tcPr>
            <w:tcW w:w="0" w:type="auto"/>
            <w:tcMar>
              <w:top w:w="0" w:type="dxa"/>
              <w:left w:w="108" w:type="dxa"/>
              <w:bottom w:w="0" w:type="dxa"/>
              <w:right w:w="101" w:type="dxa"/>
            </w:tcMar>
            <w:vAlign w:val="center"/>
            <w:hideMark/>
          </w:tcPr>
          <w:p w14:paraId="2BE38DB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Cardona, 2012</w:t>
            </w:r>
          </w:p>
        </w:tc>
        <w:tc>
          <w:tcPr>
            <w:tcW w:w="0" w:type="auto"/>
            <w:tcMar>
              <w:top w:w="0" w:type="dxa"/>
              <w:left w:w="108" w:type="dxa"/>
              <w:bottom w:w="0" w:type="dxa"/>
              <w:right w:w="101" w:type="dxa"/>
            </w:tcMar>
            <w:vAlign w:val="center"/>
            <w:hideMark/>
          </w:tcPr>
          <w:p w14:paraId="53BF868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0CDC66A9" w14:textId="77777777" w:rsidTr="00E10CC6">
        <w:trPr>
          <w:trHeight w:val="780"/>
          <w:jc w:val="center"/>
        </w:trPr>
        <w:tc>
          <w:tcPr>
            <w:tcW w:w="0" w:type="auto"/>
            <w:tcMar>
              <w:top w:w="0" w:type="dxa"/>
              <w:left w:w="101" w:type="dxa"/>
              <w:bottom w:w="0" w:type="dxa"/>
              <w:right w:w="101" w:type="dxa"/>
            </w:tcMar>
            <w:vAlign w:val="center"/>
            <w:hideMark/>
          </w:tcPr>
          <w:p w14:paraId="2CF8C94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168</w:t>
            </w:r>
          </w:p>
        </w:tc>
        <w:tc>
          <w:tcPr>
            <w:tcW w:w="0" w:type="auto"/>
            <w:tcMar>
              <w:top w:w="0" w:type="dxa"/>
              <w:left w:w="108" w:type="dxa"/>
              <w:bottom w:w="0" w:type="dxa"/>
              <w:right w:w="101" w:type="dxa"/>
            </w:tcMar>
            <w:vAlign w:val="center"/>
            <w:hideMark/>
          </w:tcPr>
          <w:p w14:paraId="5F4DA717"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Low birth weight: exploration of some risk factors at the san jose de popayan university hospital </w:t>
            </w:r>
          </w:p>
        </w:tc>
        <w:tc>
          <w:tcPr>
            <w:tcW w:w="0" w:type="auto"/>
            <w:tcMar>
              <w:top w:w="0" w:type="dxa"/>
              <w:left w:w="108" w:type="dxa"/>
              <w:bottom w:w="0" w:type="dxa"/>
              <w:right w:w="101" w:type="dxa"/>
            </w:tcMar>
            <w:vAlign w:val="center"/>
            <w:hideMark/>
          </w:tcPr>
          <w:p w14:paraId="41100D7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Daza, 2009</w:t>
            </w:r>
          </w:p>
        </w:tc>
        <w:tc>
          <w:tcPr>
            <w:tcW w:w="0" w:type="auto"/>
            <w:tcMar>
              <w:top w:w="0" w:type="dxa"/>
              <w:left w:w="108" w:type="dxa"/>
              <w:bottom w:w="0" w:type="dxa"/>
              <w:right w:w="101" w:type="dxa"/>
            </w:tcMar>
            <w:vAlign w:val="center"/>
            <w:hideMark/>
          </w:tcPr>
          <w:p w14:paraId="1FE0C46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4DB780AB" w14:textId="77777777" w:rsidTr="00E10CC6">
        <w:trPr>
          <w:trHeight w:val="780"/>
          <w:jc w:val="center"/>
        </w:trPr>
        <w:tc>
          <w:tcPr>
            <w:tcW w:w="0" w:type="auto"/>
            <w:tcMar>
              <w:top w:w="0" w:type="dxa"/>
              <w:left w:w="101" w:type="dxa"/>
              <w:bottom w:w="0" w:type="dxa"/>
              <w:right w:w="101" w:type="dxa"/>
            </w:tcMar>
            <w:vAlign w:val="center"/>
            <w:hideMark/>
          </w:tcPr>
          <w:p w14:paraId="7E5B2BC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169</w:t>
            </w:r>
          </w:p>
        </w:tc>
        <w:tc>
          <w:tcPr>
            <w:tcW w:w="0" w:type="auto"/>
            <w:tcMar>
              <w:top w:w="0" w:type="dxa"/>
              <w:left w:w="108" w:type="dxa"/>
              <w:bottom w:w="0" w:type="dxa"/>
              <w:right w:w="101" w:type="dxa"/>
            </w:tcMar>
            <w:vAlign w:val="center"/>
            <w:hideMark/>
          </w:tcPr>
          <w:p w14:paraId="0AAC191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Characterization of the population affiliated with the Subsidized Regime in Cali</w:t>
            </w:r>
          </w:p>
        </w:tc>
        <w:tc>
          <w:tcPr>
            <w:tcW w:w="0" w:type="auto"/>
            <w:tcMar>
              <w:top w:w="0" w:type="dxa"/>
              <w:left w:w="108" w:type="dxa"/>
              <w:bottom w:w="0" w:type="dxa"/>
              <w:right w:w="101" w:type="dxa"/>
            </w:tcMar>
            <w:vAlign w:val="center"/>
            <w:hideMark/>
          </w:tcPr>
          <w:p w14:paraId="074C258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Rendon, 2001</w:t>
            </w:r>
          </w:p>
        </w:tc>
        <w:tc>
          <w:tcPr>
            <w:tcW w:w="0" w:type="auto"/>
            <w:tcMar>
              <w:top w:w="0" w:type="dxa"/>
              <w:left w:w="108" w:type="dxa"/>
              <w:bottom w:w="0" w:type="dxa"/>
              <w:right w:w="101" w:type="dxa"/>
            </w:tcMar>
            <w:vAlign w:val="center"/>
            <w:hideMark/>
          </w:tcPr>
          <w:p w14:paraId="0F47BA0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058B570B" w14:textId="77777777" w:rsidTr="00E10CC6">
        <w:trPr>
          <w:trHeight w:val="780"/>
          <w:jc w:val="center"/>
        </w:trPr>
        <w:tc>
          <w:tcPr>
            <w:tcW w:w="0" w:type="auto"/>
            <w:tcMar>
              <w:top w:w="0" w:type="dxa"/>
              <w:left w:w="101" w:type="dxa"/>
              <w:bottom w:w="0" w:type="dxa"/>
              <w:right w:w="101" w:type="dxa"/>
            </w:tcMar>
            <w:vAlign w:val="center"/>
            <w:hideMark/>
          </w:tcPr>
          <w:p w14:paraId="13D004D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lastRenderedPageBreak/>
              <w:t>170</w:t>
            </w:r>
          </w:p>
        </w:tc>
        <w:tc>
          <w:tcPr>
            <w:tcW w:w="0" w:type="auto"/>
            <w:tcMar>
              <w:top w:w="0" w:type="dxa"/>
              <w:left w:w="108" w:type="dxa"/>
              <w:bottom w:w="0" w:type="dxa"/>
              <w:right w:w="101" w:type="dxa"/>
            </w:tcMar>
            <w:vAlign w:val="center"/>
            <w:hideMark/>
          </w:tcPr>
          <w:p w14:paraId="2E55F14A"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Delays in the diagnosis and treatment of women with breast cancer </w:t>
            </w:r>
            <w:r w:rsidRPr="009B3512">
              <w:rPr>
                <w:rFonts w:ascii="Arial" w:eastAsia="Times New Roman" w:hAnsi="Arial" w:cs="Arial"/>
                <w:lang w:val="en-CO" w:eastAsia="en-GB"/>
              </w:rPr>
              <w:br/>
              <w:t>in Bogotá, Colombia</w:t>
            </w:r>
          </w:p>
        </w:tc>
        <w:tc>
          <w:tcPr>
            <w:tcW w:w="0" w:type="auto"/>
            <w:tcMar>
              <w:top w:w="0" w:type="dxa"/>
              <w:left w:w="108" w:type="dxa"/>
              <w:bottom w:w="0" w:type="dxa"/>
              <w:right w:w="101" w:type="dxa"/>
            </w:tcMar>
            <w:vAlign w:val="center"/>
            <w:hideMark/>
          </w:tcPr>
          <w:p w14:paraId="3216672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Pineros, 2011</w:t>
            </w:r>
          </w:p>
        </w:tc>
        <w:tc>
          <w:tcPr>
            <w:tcW w:w="0" w:type="auto"/>
            <w:tcMar>
              <w:top w:w="0" w:type="dxa"/>
              <w:left w:w="108" w:type="dxa"/>
              <w:bottom w:w="0" w:type="dxa"/>
              <w:right w:w="101" w:type="dxa"/>
            </w:tcMar>
            <w:vAlign w:val="center"/>
            <w:hideMark/>
          </w:tcPr>
          <w:p w14:paraId="2080BAC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22A642BB" w14:textId="77777777" w:rsidTr="00E10CC6">
        <w:trPr>
          <w:trHeight w:val="780"/>
          <w:jc w:val="center"/>
        </w:trPr>
        <w:tc>
          <w:tcPr>
            <w:tcW w:w="0" w:type="auto"/>
            <w:tcMar>
              <w:top w:w="0" w:type="dxa"/>
              <w:left w:w="101" w:type="dxa"/>
              <w:bottom w:w="0" w:type="dxa"/>
              <w:right w:w="101" w:type="dxa"/>
            </w:tcMar>
            <w:vAlign w:val="center"/>
            <w:hideMark/>
          </w:tcPr>
          <w:p w14:paraId="4D96EB2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171</w:t>
            </w:r>
          </w:p>
        </w:tc>
        <w:tc>
          <w:tcPr>
            <w:tcW w:w="0" w:type="auto"/>
            <w:tcMar>
              <w:top w:w="0" w:type="dxa"/>
              <w:left w:w="108" w:type="dxa"/>
              <w:bottom w:w="0" w:type="dxa"/>
              <w:right w:w="101" w:type="dxa"/>
            </w:tcMar>
            <w:vAlign w:val="center"/>
            <w:hideMark/>
          </w:tcPr>
          <w:p w14:paraId="31C927AB"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Delays in the diagnosis and treatment of women with breast cancer </w:t>
            </w:r>
            <w:r w:rsidRPr="009B3512">
              <w:rPr>
                <w:rFonts w:ascii="Arial" w:eastAsia="Times New Roman" w:hAnsi="Arial" w:cs="Arial"/>
                <w:lang w:val="en-CO" w:eastAsia="en-GB"/>
              </w:rPr>
              <w:br/>
              <w:t>in Bogotá, Colombia</w:t>
            </w:r>
          </w:p>
        </w:tc>
        <w:tc>
          <w:tcPr>
            <w:tcW w:w="0" w:type="auto"/>
            <w:tcMar>
              <w:top w:w="0" w:type="dxa"/>
              <w:left w:w="108" w:type="dxa"/>
              <w:bottom w:w="0" w:type="dxa"/>
              <w:right w:w="101" w:type="dxa"/>
            </w:tcMar>
            <w:vAlign w:val="center"/>
            <w:hideMark/>
          </w:tcPr>
          <w:p w14:paraId="0D038A7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Pineros, 2011</w:t>
            </w:r>
          </w:p>
        </w:tc>
        <w:tc>
          <w:tcPr>
            <w:tcW w:w="0" w:type="auto"/>
            <w:tcMar>
              <w:top w:w="0" w:type="dxa"/>
              <w:left w:w="108" w:type="dxa"/>
              <w:bottom w:w="0" w:type="dxa"/>
              <w:right w:w="101" w:type="dxa"/>
            </w:tcMar>
            <w:vAlign w:val="center"/>
            <w:hideMark/>
          </w:tcPr>
          <w:p w14:paraId="5BE2B0D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207780CF" w14:textId="77777777" w:rsidTr="00E10CC6">
        <w:trPr>
          <w:trHeight w:val="780"/>
          <w:jc w:val="center"/>
        </w:trPr>
        <w:tc>
          <w:tcPr>
            <w:tcW w:w="0" w:type="auto"/>
            <w:tcMar>
              <w:top w:w="0" w:type="dxa"/>
              <w:left w:w="101" w:type="dxa"/>
              <w:bottom w:w="0" w:type="dxa"/>
              <w:right w:w="101" w:type="dxa"/>
            </w:tcMar>
            <w:vAlign w:val="center"/>
            <w:hideMark/>
          </w:tcPr>
          <w:p w14:paraId="5F5ABCA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172</w:t>
            </w:r>
          </w:p>
        </w:tc>
        <w:tc>
          <w:tcPr>
            <w:tcW w:w="0" w:type="auto"/>
            <w:tcMar>
              <w:top w:w="0" w:type="dxa"/>
              <w:left w:w="108" w:type="dxa"/>
              <w:bottom w:w="0" w:type="dxa"/>
              <w:right w:w="101" w:type="dxa"/>
            </w:tcMar>
            <w:vAlign w:val="center"/>
            <w:hideMark/>
          </w:tcPr>
          <w:p w14:paraId="370324E9"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Prevalence of positive cytology results for bacterial vaginosis, candidiasis and trichomoniasis in a Social Enterprise of the State of </w:t>
            </w:r>
            <w:r w:rsidRPr="009B3512">
              <w:rPr>
                <w:rFonts w:ascii="Arial" w:eastAsia="Times New Roman" w:hAnsi="Arial" w:cs="Arial"/>
                <w:lang w:val="en-CO" w:eastAsia="en-GB"/>
              </w:rPr>
              <w:br/>
              <w:t>Medellín-Colombia, 2010-2012.</w:t>
            </w:r>
          </w:p>
        </w:tc>
        <w:tc>
          <w:tcPr>
            <w:tcW w:w="0" w:type="auto"/>
            <w:tcMar>
              <w:top w:w="0" w:type="dxa"/>
              <w:left w:w="108" w:type="dxa"/>
              <w:bottom w:w="0" w:type="dxa"/>
              <w:right w:w="101" w:type="dxa"/>
            </w:tcMar>
            <w:vAlign w:val="center"/>
            <w:hideMark/>
          </w:tcPr>
          <w:p w14:paraId="0EABCFD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Cardona, 2014</w:t>
            </w:r>
          </w:p>
        </w:tc>
        <w:tc>
          <w:tcPr>
            <w:tcW w:w="0" w:type="auto"/>
            <w:tcMar>
              <w:top w:w="0" w:type="dxa"/>
              <w:left w:w="108" w:type="dxa"/>
              <w:bottom w:w="0" w:type="dxa"/>
              <w:right w:w="101" w:type="dxa"/>
            </w:tcMar>
            <w:vAlign w:val="center"/>
            <w:hideMark/>
          </w:tcPr>
          <w:p w14:paraId="70524D9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050E342A" w14:textId="77777777" w:rsidTr="00E10CC6">
        <w:trPr>
          <w:trHeight w:val="780"/>
          <w:jc w:val="center"/>
        </w:trPr>
        <w:tc>
          <w:tcPr>
            <w:tcW w:w="0" w:type="auto"/>
            <w:tcMar>
              <w:top w:w="0" w:type="dxa"/>
              <w:left w:w="101" w:type="dxa"/>
              <w:bottom w:w="0" w:type="dxa"/>
              <w:right w:w="101" w:type="dxa"/>
            </w:tcMar>
            <w:vAlign w:val="center"/>
            <w:hideMark/>
          </w:tcPr>
          <w:p w14:paraId="23954ED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173</w:t>
            </w:r>
          </w:p>
        </w:tc>
        <w:tc>
          <w:tcPr>
            <w:tcW w:w="0" w:type="auto"/>
            <w:tcMar>
              <w:top w:w="0" w:type="dxa"/>
              <w:left w:w="108" w:type="dxa"/>
              <w:bottom w:w="0" w:type="dxa"/>
              <w:right w:w="101" w:type="dxa"/>
            </w:tcMar>
            <w:vAlign w:val="center"/>
            <w:hideMark/>
          </w:tcPr>
          <w:p w14:paraId="31FEF03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Inequities in the diagnosis of major congenital anomalies in newborns in Cali, Colombia. </w:t>
            </w:r>
          </w:p>
        </w:tc>
        <w:tc>
          <w:tcPr>
            <w:tcW w:w="0" w:type="auto"/>
            <w:tcMar>
              <w:top w:w="0" w:type="dxa"/>
              <w:left w:w="108" w:type="dxa"/>
              <w:bottom w:w="0" w:type="dxa"/>
              <w:right w:w="101" w:type="dxa"/>
            </w:tcMar>
            <w:vAlign w:val="center"/>
            <w:hideMark/>
          </w:tcPr>
          <w:p w14:paraId="1C53355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Murica, 2014</w:t>
            </w:r>
          </w:p>
        </w:tc>
        <w:tc>
          <w:tcPr>
            <w:tcW w:w="0" w:type="auto"/>
            <w:tcMar>
              <w:top w:w="0" w:type="dxa"/>
              <w:left w:w="108" w:type="dxa"/>
              <w:bottom w:w="0" w:type="dxa"/>
              <w:right w:w="101" w:type="dxa"/>
            </w:tcMar>
            <w:vAlign w:val="center"/>
            <w:hideMark/>
          </w:tcPr>
          <w:p w14:paraId="3F323B0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13F53160" w14:textId="77777777" w:rsidTr="00E10CC6">
        <w:trPr>
          <w:trHeight w:val="780"/>
          <w:jc w:val="center"/>
        </w:trPr>
        <w:tc>
          <w:tcPr>
            <w:tcW w:w="0" w:type="auto"/>
            <w:tcMar>
              <w:top w:w="0" w:type="dxa"/>
              <w:left w:w="101" w:type="dxa"/>
              <w:bottom w:w="0" w:type="dxa"/>
              <w:right w:w="101" w:type="dxa"/>
            </w:tcMar>
            <w:vAlign w:val="center"/>
            <w:hideMark/>
          </w:tcPr>
          <w:p w14:paraId="0CF3D57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174</w:t>
            </w:r>
          </w:p>
        </w:tc>
        <w:tc>
          <w:tcPr>
            <w:tcW w:w="0" w:type="auto"/>
            <w:tcMar>
              <w:top w:w="0" w:type="dxa"/>
              <w:left w:w="108" w:type="dxa"/>
              <w:bottom w:w="0" w:type="dxa"/>
              <w:right w:w="101" w:type="dxa"/>
            </w:tcMar>
            <w:vAlign w:val="center"/>
            <w:hideMark/>
          </w:tcPr>
          <w:p w14:paraId="01514ED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Use of vaginal cytology in women affiliated </w:t>
            </w:r>
            <w:r w:rsidRPr="009B3512">
              <w:rPr>
                <w:rFonts w:ascii="Arial" w:eastAsia="Times New Roman" w:hAnsi="Arial" w:cs="Arial"/>
                <w:lang w:val="en-CO" w:eastAsia="en-GB"/>
              </w:rPr>
              <w:br/>
              <w:t>to the subsidized regime treated at the La Manga Hospital Unit in Barranquilla (Colombia), 2006</w:t>
            </w:r>
          </w:p>
        </w:tc>
        <w:tc>
          <w:tcPr>
            <w:tcW w:w="0" w:type="auto"/>
            <w:tcMar>
              <w:top w:w="0" w:type="dxa"/>
              <w:left w:w="108" w:type="dxa"/>
              <w:bottom w:w="0" w:type="dxa"/>
              <w:right w:w="101" w:type="dxa"/>
            </w:tcMar>
            <w:vAlign w:val="center"/>
            <w:hideMark/>
          </w:tcPr>
          <w:p w14:paraId="274B27D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Navarro, 2008</w:t>
            </w:r>
          </w:p>
        </w:tc>
        <w:tc>
          <w:tcPr>
            <w:tcW w:w="0" w:type="auto"/>
            <w:tcMar>
              <w:top w:w="0" w:type="dxa"/>
              <w:left w:w="108" w:type="dxa"/>
              <w:bottom w:w="0" w:type="dxa"/>
              <w:right w:w="101" w:type="dxa"/>
            </w:tcMar>
            <w:vAlign w:val="center"/>
            <w:hideMark/>
          </w:tcPr>
          <w:p w14:paraId="0944156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5E1D3397" w14:textId="77777777" w:rsidTr="00E10CC6">
        <w:trPr>
          <w:trHeight w:val="780"/>
          <w:jc w:val="center"/>
        </w:trPr>
        <w:tc>
          <w:tcPr>
            <w:tcW w:w="0" w:type="auto"/>
            <w:tcMar>
              <w:top w:w="0" w:type="dxa"/>
              <w:left w:w="101" w:type="dxa"/>
              <w:bottom w:w="0" w:type="dxa"/>
              <w:right w:w="101" w:type="dxa"/>
            </w:tcMar>
            <w:vAlign w:val="center"/>
            <w:hideMark/>
          </w:tcPr>
          <w:p w14:paraId="4073E6C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175</w:t>
            </w:r>
          </w:p>
        </w:tc>
        <w:tc>
          <w:tcPr>
            <w:tcW w:w="0" w:type="auto"/>
            <w:tcMar>
              <w:top w:w="0" w:type="dxa"/>
              <w:left w:w="108" w:type="dxa"/>
              <w:bottom w:w="0" w:type="dxa"/>
              <w:right w:w="101" w:type="dxa"/>
            </w:tcMar>
            <w:vAlign w:val="center"/>
            <w:hideMark/>
          </w:tcPr>
          <w:p w14:paraId="39688F7C"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Sexual abuse in women aged 10 to 13 years in the valle del cauca, Colombia</w:t>
            </w:r>
          </w:p>
        </w:tc>
        <w:tc>
          <w:tcPr>
            <w:tcW w:w="0" w:type="auto"/>
            <w:tcMar>
              <w:top w:w="0" w:type="dxa"/>
              <w:left w:w="108" w:type="dxa"/>
              <w:bottom w:w="0" w:type="dxa"/>
              <w:right w:w="101" w:type="dxa"/>
            </w:tcMar>
            <w:vAlign w:val="center"/>
            <w:hideMark/>
          </w:tcPr>
          <w:p w14:paraId="7B55528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Moran, 2017</w:t>
            </w:r>
          </w:p>
        </w:tc>
        <w:tc>
          <w:tcPr>
            <w:tcW w:w="0" w:type="auto"/>
            <w:tcMar>
              <w:top w:w="0" w:type="dxa"/>
              <w:left w:w="108" w:type="dxa"/>
              <w:bottom w:w="0" w:type="dxa"/>
              <w:right w:w="101" w:type="dxa"/>
            </w:tcMar>
            <w:vAlign w:val="center"/>
            <w:hideMark/>
          </w:tcPr>
          <w:p w14:paraId="134BCDA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4A7F0BC6" w14:textId="77777777" w:rsidTr="00E10CC6">
        <w:trPr>
          <w:trHeight w:val="780"/>
          <w:jc w:val="center"/>
        </w:trPr>
        <w:tc>
          <w:tcPr>
            <w:tcW w:w="0" w:type="auto"/>
            <w:tcMar>
              <w:top w:w="0" w:type="dxa"/>
              <w:left w:w="101" w:type="dxa"/>
              <w:bottom w:w="0" w:type="dxa"/>
              <w:right w:w="101" w:type="dxa"/>
            </w:tcMar>
            <w:vAlign w:val="center"/>
            <w:hideMark/>
          </w:tcPr>
          <w:p w14:paraId="2151235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176</w:t>
            </w:r>
          </w:p>
        </w:tc>
        <w:tc>
          <w:tcPr>
            <w:tcW w:w="0" w:type="auto"/>
            <w:tcMar>
              <w:top w:w="0" w:type="dxa"/>
              <w:left w:w="108" w:type="dxa"/>
              <w:bottom w:w="0" w:type="dxa"/>
              <w:right w:w="101" w:type="dxa"/>
            </w:tcMar>
            <w:vAlign w:val="center"/>
            <w:hideMark/>
          </w:tcPr>
          <w:p w14:paraId="40C58145"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Characterization of people with disabilities in the municipality of Sopó, Cundinamarca, Colombia </w:t>
            </w:r>
          </w:p>
        </w:tc>
        <w:tc>
          <w:tcPr>
            <w:tcW w:w="0" w:type="auto"/>
            <w:tcMar>
              <w:top w:w="0" w:type="dxa"/>
              <w:left w:w="108" w:type="dxa"/>
              <w:bottom w:w="0" w:type="dxa"/>
              <w:right w:w="101" w:type="dxa"/>
            </w:tcMar>
            <w:vAlign w:val="center"/>
            <w:hideMark/>
          </w:tcPr>
          <w:p w14:paraId="73FD048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Pastran, 2017</w:t>
            </w:r>
          </w:p>
        </w:tc>
        <w:tc>
          <w:tcPr>
            <w:tcW w:w="0" w:type="auto"/>
            <w:tcMar>
              <w:top w:w="0" w:type="dxa"/>
              <w:left w:w="108" w:type="dxa"/>
              <w:bottom w:w="0" w:type="dxa"/>
              <w:right w:w="101" w:type="dxa"/>
            </w:tcMar>
            <w:vAlign w:val="center"/>
            <w:hideMark/>
          </w:tcPr>
          <w:p w14:paraId="4CA3FF1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32BBBCF5" w14:textId="77777777" w:rsidTr="00E10CC6">
        <w:trPr>
          <w:trHeight w:val="780"/>
          <w:jc w:val="center"/>
        </w:trPr>
        <w:tc>
          <w:tcPr>
            <w:tcW w:w="0" w:type="auto"/>
            <w:tcMar>
              <w:top w:w="0" w:type="dxa"/>
              <w:left w:w="101" w:type="dxa"/>
              <w:bottom w:w="0" w:type="dxa"/>
              <w:right w:w="101" w:type="dxa"/>
            </w:tcMar>
            <w:vAlign w:val="center"/>
            <w:hideMark/>
          </w:tcPr>
          <w:p w14:paraId="06F377A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177</w:t>
            </w:r>
          </w:p>
        </w:tc>
        <w:tc>
          <w:tcPr>
            <w:tcW w:w="0" w:type="auto"/>
            <w:tcMar>
              <w:top w:w="0" w:type="dxa"/>
              <w:left w:w="108" w:type="dxa"/>
              <w:bottom w:w="0" w:type="dxa"/>
              <w:right w:w="101" w:type="dxa"/>
            </w:tcMar>
            <w:vAlign w:val="center"/>
            <w:hideMark/>
          </w:tcPr>
          <w:p w14:paraId="454241D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Social determinants of health and quality of life in the adult population of Manizales, Colombia</w:t>
            </w:r>
          </w:p>
        </w:tc>
        <w:tc>
          <w:tcPr>
            <w:tcW w:w="0" w:type="auto"/>
            <w:tcMar>
              <w:top w:w="0" w:type="dxa"/>
              <w:left w:w="108" w:type="dxa"/>
              <w:bottom w:w="0" w:type="dxa"/>
              <w:right w:w="101" w:type="dxa"/>
            </w:tcMar>
            <w:vAlign w:val="center"/>
            <w:hideMark/>
          </w:tcPr>
          <w:p w14:paraId="19E5D9B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Garcia, 2017</w:t>
            </w:r>
          </w:p>
        </w:tc>
        <w:tc>
          <w:tcPr>
            <w:tcW w:w="0" w:type="auto"/>
            <w:tcMar>
              <w:top w:w="0" w:type="dxa"/>
              <w:left w:w="108" w:type="dxa"/>
              <w:bottom w:w="0" w:type="dxa"/>
              <w:right w:w="101" w:type="dxa"/>
            </w:tcMar>
            <w:vAlign w:val="center"/>
            <w:hideMark/>
          </w:tcPr>
          <w:p w14:paraId="21DCE7F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4BD159AC" w14:textId="77777777" w:rsidTr="00E10CC6">
        <w:trPr>
          <w:trHeight w:val="780"/>
          <w:jc w:val="center"/>
        </w:trPr>
        <w:tc>
          <w:tcPr>
            <w:tcW w:w="0" w:type="auto"/>
            <w:tcMar>
              <w:top w:w="0" w:type="dxa"/>
              <w:left w:w="101" w:type="dxa"/>
              <w:bottom w:w="0" w:type="dxa"/>
              <w:right w:w="101" w:type="dxa"/>
            </w:tcMar>
            <w:vAlign w:val="center"/>
            <w:hideMark/>
          </w:tcPr>
          <w:p w14:paraId="674CCEC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178</w:t>
            </w:r>
          </w:p>
        </w:tc>
        <w:tc>
          <w:tcPr>
            <w:tcW w:w="0" w:type="auto"/>
            <w:tcMar>
              <w:top w:w="0" w:type="dxa"/>
              <w:left w:w="108" w:type="dxa"/>
              <w:bottom w:w="0" w:type="dxa"/>
              <w:right w:w="101" w:type="dxa"/>
            </w:tcMar>
            <w:vAlign w:val="center"/>
            <w:hideMark/>
          </w:tcPr>
          <w:p w14:paraId="08A4B475"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Characterization of patients affiliated to the health promoting company of the subsidized regime (eps-s) "emssanar" in the municipalities of pasto and ipiales, Colombia, 2010 </w:t>
            </w:r>
          </w:p>
        </w:tc>
        <w:tc>
          <w:tcPr>
            <w:tcW w:w="0" w:type="auto"/>
            <w:tcMar>
              <w:top w:w="0" w:type="dxa"/>
              <w:left w:w="108" w:type="dxa"/>
              <w:bottom w:w="0" w:type="dxa"/>
              <w:right w:w="101" w:type="dxa"/>
            </w:tcMar>
            <w:vAlign w:val="center"/>
            <w:hideMark/>
          </w:tcPr>
          <w:p w14:paraId="31ABA70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Bravo, 2015</w:t>
            </w:r>
          </w:p>
        </w:tc>
        <w:tc>
          <w:tcPr>
            <w:tcW w:w="0" w:type="auto"/>
            <w:tcMar>
              <w:top w:w="0" w:type="dxa"/>
              <w:left w:w="108" w:type="dxa"/>
              <w:bottom w:w="0" w:type="dxa"/>
              <w:right w:w="101" w:type="dxa"/>
            </w:tcMar>
            <w:vAlign w:val="center"/>
            <w:hideMark/>
          </w:tcPr>
          <w:p w14:paraId="213365B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23A440D8" w14:textId="77777777" w:rsidTr="00E10CC6">
        <w:trPr>
          <w:trHeight w:val="780"/>
          <w:jc w:val="center"/>
        </w:trPr>
        <w:tc>
          <w:tcPr>
            <w:tcW w:w="0" w:type="auto"/>
            <w:tcMar>
              <w:top w:w="0" w:type="dxa"/>
              <w:left w:w="101" w:type="dxa"/>
              <w:bottom w:w="0" w:type="dxa"/>
              <w:right w:w="101" w:type="dxa"/>
            </w:tcMar>
            <w:vAlign w:val="center"/>
            <w:hideMark/>
          </w:tcPr>
          <w:p w14:paraId="3969E69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179</w:t>
            </w:r>
          </w:p>
        </w:tc>
        <w:tc>
          <w:tcPr>
            <w:tcW w:w="0" w:type="auto"/>
            <w:tcMar>
              <w:top w:w="0" w:type="dxa"/>
              <w:left w:w="108" w:type="dxa"/>
              <w:bottom w:w="0" w:type="dxa"/>
              <w:right w:w="101" w:type="dxa"/>
            </w:tcMar>
            <w:vAlign w:val="center"/>
            <w:hideMark/>
          </w:tcPr>
          <w:p w14:paraId="2EBEFC4E"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 Prevalence of bacterial vaginosis in users of a health service provider institution in Medellín Colombia</w:t>
            </w:r>
          </w:p>
        </w:tc>
        <w:tc>
          <w:tcPr>
            <w:tcW w:w="0" w:type="auto"/>
            <w:tcMar>
              <w:top w:w="0" w:type="dxa"/>
              <w:left w:w="108" w:type="dxa"/>
              <w:bottom w:w="0" w:type="dxa"/>
              <w:right w:w="101" w:type="dxa"/>
            </w:tcMar>
            <w:vAlign w:val="center"/>
            <w:hideMark/>
          </w:tcPr>
          <w:p w14:paraId="6FE1F59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Cardona, 2014</w:t>
            </w:r>
          </w:p>
        </w:tc>
        <w:tc>
          <w:tcPr>
            <w:tcW w:w="0" w:type="auto"/>
            <w:tcMar>
              <w:top w:w="0" w:type="dxa"/>
              <w:left w:w="108" w:type="dxa"/>
              <w:bottom w:w="0" w:type="dxa"/>
              <w:right w:w="101" w:type="dxa"/>
            </w:tcMar>
            <w:vAlign w:val="center"/>
            <w:hideMark/>
          </w:tcPr>
          <w:p w14:paraId="4A97264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42DDB958" w14:textId="77777777" w:rsidTr="00E10CC6">
        <w:trPr>
          <w:trHeight w:val="780"/>
          <w:jc w:val="center"/>
        </w:trPr>
        <w:tc>
          <w:tcPr>
            <w:tcW w:w="0" w:type="auto"/>
            <w:tcMar>
              <w:top w:w="0" w:type="dxa"/>
              <w:left w:w="101" w:type="dxa"/>
              <w:bottom w:w="0" w:type="dxa"/>
              <w:right w:w="101" w:type="dxa"/>
            </w:tcMar>
            <w:vAlign w:val="center"/>
            <w:hideMark/>
          </w:tcPr>
          <w:p w14:paraId="6F586A2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180</w:t>
            </w:r>
          </w:p>
        </w:tc>
        <w:tc>
          <w:tcPr>
            <w:tcW w:w="0" w:type="auto"/>
            <w:tcMar>
              <w:top w:w="0" w:type="dxa"/>
              <w:left w:w="108" w:type="dxa"/>
              <w:bottom w:w="0" w:type="dxa"/>
              <w:right w:w="101" w:type="dxa"/>
            </w:tcMar>
            <w:vAlign w:val="center"/>
            <w:hideMark/>
          </w:tcPr>
          <w:p w14:paraId="2DECF8D1"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Factors associated with the proper use of cervical-uterine cytology by women from Cartagena </w:t>
            </w:r>
            <w:r w:rsidRPr="009B3512">
              <w:rPr>
                <w:rFonts w:ascii="Arial" w:eastAsia="Times New Roman" w:hAnsi="Arial" w:cs="Arial"/>
                <w:lang w:val="en-CO" w:eastAsia="en-GB"/>
              </w:rPr>
              <w:br/>
              <w:t>(Colombia)</w:t>
            </w:r>
          </w:p>
        </w:tc>
        <w:tc>
          <w:tcPr>
            <w:tcW w:w="0" w:type="auto"/>
            <w:tcMar>
              <w:top w:w="0" w:type="dxa"/>
              <w:left w:w="108" w:type="dxa"/>
              <w:bottom w:w="0" w:type="dxa"/>
              <w:right w:w="101" w:type="dxa"/>
            </w:tcMar>
            <w:vAlign w:val="center"/>
            <w:hideMark/>
          </w:tcPr>
          <w:p w14:paraId="771228A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Castillo, 2013</w:t>
            </w:r>
          </w:p>
        </w:tc>
        <w:tc>
          <w:tcPr>
            <w:tcW w:w="0" w:type="auto"/>
            <w:tcMar>
              <w:top w:w="0" w:type="dxa"/>
              <w:left w:w="108" w:type="dxa"/>
              <w:bottom w:w="0" w:type="dxa"/>
              <w:right w:w="101" w:type="dxa"/>
            </w:tcMar>
            <w:vAlign w:val="center"/>
            <w:hideMark/>
          </w:tcPr>
          <w:p w14:paraId="0EADF6B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632EB265" w14:textId="77777777" w:rsidTr="00E10CC6">
        <w:trPr>
          <w:trHeight w:val="780"/>
          <w:jc w:val="center"/>
        </w:trPr>
        <w:tc>
          <w:tcPr>
            <w:tcW w:w="0" w:type="auto"/>
            <w:tcMar>
              <w:top w:w="0" w:type="dxa"/>
              <w:left w:w="101" w:type="dxa"/>
              <w:bottom w:w="0" w:type="dxa"/>
              <w:right w:w="101" w:type="dxa"/>
            </w:tcMar>
            <w:vAlign w:val="center"/>
            <w:hideMark/>
          </w:tcPr>
          <w:p w14:paraId="4F1C450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181</w:t>
            </w:r>
          </w:p>
        </w:tc>
        <w:tc>
          <w:tcPr>
            <w:tcW w:w="0" w:type="auto"/>
            <w:tcMar>
              <w:top w:w="0" w:type="dxa"/>
              <w:left w:w="108" w:type="dxa"/>
              <w:bottom w:w="0" w:type="dxa"/>
              <w:right w:w="101" w:type="dxa"/>
            </w:tcMar>
            <w:vAlign w:val="center"/>
            <w:hideMark/>
          </w:tcPr>
          <w:p w14:paraId="0A90F224"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Risk factors for the development of multidrug-resistant tuberculosis in Colombia, 2008 to 2011</w:t>
            </w:r>
          </w:p>
        </w:tc>
        <w:tc>
          <w:tcPr>
            <w:tcW w:w="0" w:type="auto"/>
            <w:tcMar>
              <w:top w:w="0" w:type="dxa"/>
              <w:left w:w="108" w:type="dxa"/>
              <w:bottom w:w="0" w:type="dxa"/>
              <w:right w:w="101" w:type="dxa"/>
            </w:tcMar>
            <w:vAlign w:val="center"/>
            <w:hideMark/>
          </w:tcPr>
          <w:p w14:paraId="75A6055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Tanner, 2016</w:t>
            </w:r>
          </w:p>
        </w:tc>
        <w:tc>
          <w:tcPr>
            <w:tcW w:w="0" w:type="auto"/>
            <w:tcMar>
              <w:top w:w="0" w:type="dxa"/>
              <w:left w:w="108" w:type="dxa"/>
              <w:bottom w:w="0" w:type="dxa"/>
              <w:right w:w="101" w:type="dxa"/>
            </w:tcMar>
            <w:vAlign w:val="center"/>
            <w:hideMark/>
          </w:tcPr>
          <w:p w14:paraId="7D272E7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68A34D7B" w14:textId="77777777" w:rsidTr="00E10CC6">
        <w:trPr>
          <w:trHeight w:val="780"/>
          <w:jc w:val="center"/>
        </w:trPr>
        <w:tc>
          <w:tcPr>
            <w:tcW w:w="0" w:type="auto"/>
            <w:tcMar>
              <w:top w:w="0" w:type="dxa"/>
              <w:left w:w="101" w:type="dxa"/>
              <w:bottom w:w="0" w:type="dxa"/>
              <w:right w:w="101" w:type="dxa"/>
            </w:tcMar>
            <w:vAlign w:val="center"/>
            <w:hideMark/>
          </w:tcPr>
          <w:p w14:paraId="117EAFD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182</w:t>
            </w:r>
          </w:p>
        </w:tc>
        <w:tc>
          <w:tcPr>
            <w:tcW w:w="0" w:type="auto"/>
            <w:tcMar>
              <w:top w:w="0" w:type="dxa"/>
              <w:left w:w="108" w:type="dxa"/>
              <w:bottom w:w="0" w:type="dxa"/>
              <w:right w:w="101" w:type="dxa"/>
            </w:tcMar>
            <w:vAlign w:val="center"/>
            <w:hideMark/>
          </w:tcPr>
          <w:p w14:paraId="442BF10B"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Epidemiological surveillance of gestational and congenital syphilis </w:t>
            </w:r>
            <w:r w:rsidRPr="009B3512">
              <w:rPr>
                <w:rFonts w:ascii="Arial" w:eastAsia="Times New Roman" w:hAnsi="Arial" w:cs="Arial"/>
                <w:lang w:val="en-CO" w:eastAsia="en-GB"/>
              </w:rPr>
              <w:br/>
              <w:t>in the department of Córdoba, Colombia, 2012-2016.</w:t>
            </w:r>
          </w:p>
        </w:tc>
        <w:tc>
          <w:tcPr>
            <w:tcW w:w="0" w:type="auto"/>
            <w:tcMar>
              <w:top w:w="0" w:type="dxa"/>
              <w:left w:w="108" w:type="dxa"/>
              <w:bottom w:w="0" w:type="dxa"/>
              <w:right w:w="101" w:type="dxa"/>
            </w:tcMar>
            <w:vAlign w:val="center"/>
            <w:hideMark/>
          </w:tcPr>
          <w:p w14:paraId="64CB001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Echavez, 2018</w:t>
            </w:r>
          </w:p>
        </w:tc>
        <w:tc>
          <w:tcPr>
            <w:tcW w:w="0" w:type="auto"/>
            <w:tcMar>
              <w:top w:w="0" w:type="dxa"/>
              <w:left w:w="108" w:type="dxa"/>
              <w:bottom w:w="0" w:type="dxa"/>
              <w:right w:w="101" w:type="dxa"/>
            </w:tcMar>
            <w:vAlign w:val="center"/>
            <w:hideMark/>
          </w:tcPr>
          <w:p w14:paraId="5ACF956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20257009" w14:textId="77777777" w:rsidTr="00E10CC6">
        <w:trPr>
          <w:trHeight w:val="780"/>
          <w:jc w:val="center"/>
        </w:trPr>
        <w:tc>
          <w:tcPr>
            <w:tcW w:w="0" w:type="auto"/>
            <w:tcMar>
              <w:top w:w="0" w:type="dxa"/>
              <w:left w:w="101" w:type="dxa"/>
              <w:bottom w:w="0" w:type="dxa"/>
              <w:right w:w="101" w:type="dxa"/>
            </w:tcMar>
            <w:vAlign w:val="center"/>
            <w:hideMark/>
          </w:tcPr>
          <w:p w14:paraId="5BE0694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183</w:t>
            </w:r>
          </w:p>
        </w:tc>
        <w:tc>
          <w:tcPr>
            <w:tcW w:w="0" w:type="auto"/>
            <w:tcMar>
              <w:top w:w="0" w:type="dxa"/>
              <w:left w:w="108" w:type="dxa"/>
              <w:bottom w:w="0" w:type="dxa"/>
              <w:right w:w="101" w:type="dxa"/>
            </w:tcMar>
            <w:vAlign w:val="center"/>
            <w:hideMark/>
          </w:tcPr>
          <w:p w14:paraId="4B34DEAE"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Cancer mortality in Colombia 2001</w:t>
            </w:r>
          </w:p>
        </w:tc>
        <w:tc>
          <w:tcPr>
            <w:tcW w:w="0" w:type="auto"/>
            <w:tcMar>
              <w:top w:w="0" w:type="dxa"/>
              <w:left w:w="108" w:type="dxa"/>
              <w:bottom w:w="0" w:type="dxa"/>
              <w:right w:w="101" w:type="dxa"/>
            </w:tcMar>
            <w:vAlign w:val="center"/>
            <w:hideMark/>
          </w:tcPr>
          <w:p w14:paraId="464F910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Jamramillo, 2004</w:t>
            </w:r>
          </w:p>
        </w:tc>
        <w:tc>
          <w:tcPr>
            <w:tcW w:w="0" w:type="auto"/>
            <w:tcMar>
              <w:top w:w="0" w:type="dxa"/>
              <w:left w:w="108" w:type="dxa"/>
              <w:bottom w:w="0" w:type="dxa"/>
              <w:right w:w="101" w:type="dxa"/>
            </w:tcMar>
            <w:vAlign w:val="center"/>
            <w:hideMark/>
          </w:tcPr>
          <w:p w14:paraId="757B8EE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6AF59228" w14:textId="77777777" w:rsidTr="00E10CC6">
        <w:trPr>
          <w:trHeight w:val="780"/>
          <w:jc w:val="center"/>
        </w:trPr>
        <w:tc>
          <w:tcPr>
            <w:tcW w:w="0" w:type="auto"/>
            <w:tcMar>
              <w:top w:w="0" w:type="dxa"/>
              <w:left w:w="101" w:type="dxa"/>
              <w:bottom w:w="0" w:type="dxa"/>
              <w:right w:w="101" w:type="dxa"/>
            </w:tcMar>
            <w:vAlign w:val="center"/>
            <w:hideMark/>
          </w:tcPr>
          <w:p w14:paraId="5747CD8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lastRenderedPageBreak/>
              <w:t>184</w:t>
            </w:r>
          </w:p>
        </w:tc>
        <w:tc>
          <w:tcPr>
            <w:tcW w:w="0" w:type="auto"/>
            <w:tcMar>
              <w:top w:w="0" w:type="dxa"/>
              <w:left w:w="108" w:type="dxa"/>
              <w:bottom w:w="0" w:type="dxa"/>
              <w:right w:w="101" w:type="dxa"/>
            </w:tcMar>
            <w:vAlign w:val="center"/>
            <w:hideMark/>
          </w:tcPr>
          <w:p w14:paraId="78A4A016"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Maternal complications in adolescents and adults affiliated with the subsidized regime, 2012</w:t>
            </w:r>
          </w:p>
        </w:tc>
        <w:tc>
          <w:tcPr>
            <w:tcW w:w="0" w:type="auto"/>
            <w:tcMar>
              <w:top w:w="0" w:type="dxa"/>
              <w:left w:w="108" w:type="dxa"/>
              <w:bottom w:w="0" w:type="dxa"/>
              <w:right w:w="101" w:type="dxa"/>
            </w:tcMar>
            <w:vAlign w:val="center"/>
            <w:hideMark/>
          </w:tcPr>
          <w:p w14:paraId="5E9E695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Diaz, 2015</w:t>
            </w:r>
          </w:p>
        </w:tc>
        <w:tc>
          <w:tcPr>
            <w:tcW w:w="0" w:type="auto"/>
            <w:tcMar>
              <w:top w:w="0" w:type="dxa"/>
              <w:left w:w="108" w:type="dxa"/>
              <w:bottom w:w="0" w:type="dxa"/>
              <w:right w:w="101" w:type="dxa"/>
            </w:tcMar>
            <w:vAlign w:val="center"/>
            <w:hideMark/>
          </w:tcPr>
          <w:p w14:paraId="7E3C50D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7565A086" w14:textId="77777777" w:rsidTr="00E10CC6">
        <w:trPr>
          <w:trHeight w:val="780"/>
          <w:jc w:val="center"/>
        </w:trPr>
        <w:tc>
          <w:tcPr>
            <w:tcW w:w="0" w:type="auto"/>
            <w:tcMar>
              <w:top w:w="0" w:type="dxa"/>
              <w:left w:w="101" w:type="dxa"/>
              <w:bottom w:w="0" w:type="dxa"/>
              <w:right w:w="101" w:type="dxa"/>
            </w:tcMar>
            <w:vAlign w:val="center"/>
            <w:hideMark/>
          </w:tcPr>
          <w:p w14:paraId="69F4EAC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185</w:t>
            </w:r>
          </w:p>
        </w:tc>
        <w:tc>
          <w:tcPr>
            <w:tcW w:w="0" w:type="auto"/>
            <w:tcMar>
              <w:top w:w="0" w:type="dxa"/>
              <w:left w:w="108" w:type="dxa"/>
              <w:bottom w:w="0" w:type="dxa"/>
              <w:right w:w="101" w:type="dxa"/>
            </w:tcMar>
            <w:vAlign w:val="center"/>
            <w:hideMark/>
          </w:tcPr>
          <w:p w14:paraId="73DF19C5"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Social, demographic and morbidity characteristics of patients treated for chronic non-communicable diseases at the ESE Hospital Pedro </w:t>
            </w:r>
            <w:r w:rsidRPr="009B3512">
              <w:rPr>
                <w:rFonts w:ascii="Arial" w:eastAsia="Times New Roman" w:hAnsi="Arial" w:cs="Arial"/>
                <w:lang w:val="en-CO" w:eastAsia="en-GB"/>
              </w:rPr>
              <w:br/>
              <w:t>Claver Aguirre of the municipality of Toledo-Antioquia 2015-2019.</w:t>
            </w:r>
          </w:p>
        </w:tc>
        <w:tc>
          <w:tcPr>
            <w:tcW w:w="0" w:type="auto"/>
            <w:tcMar>
              <w:top w:w="0" w:type="dxa"/>
              <w:left w:w="108" w:type="dxa"/>
              <w:bottom w:w="0" w:type="dxa"/>
              <w:right w:w="101" w:type="dxa"/>
            </w:tcMar>
            <w:vAlign w:val="center"/>
            <w:hideMark/>
          </w:tcPr>
          <w:p w14:paraId="50ECA01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Perez, 2021</w:t>
            </w:r>
          </w:p>
        </w:tc>
        <w:tc>
          <w:tcPr>
            <w:tcW w:w="0" w:type="auto"/>
            <w:tcMar>
              <w:top w:w="0" w:type="dxa"/>
              <w:left w:w="108" w:type="dxa"/>
              <w:bottom w:w="0" w:type="dxa"/>
              <w:right w:w="101" w:type="dxa"/>
            </w:tcMar>
            <w:vAlign w:val="center"/>
            <w:hideMark/>
          </w:tcPr>
          <w:p w14:paraId="20C6603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3B6A709E" w14:textId="77777777" w:rsidTr="00E10CC6">
        <w:trPr>
          <w:trHeight w:val="780"/>
          <w:jc w:val="center"/>
        </w:trPr>
        <w:tc>
          <w:tcPr>
            <w:tcW w:w="0" w:type="auto"/>
            <w:tcMar>
              <w:top w:w="0" w:type="dxa"/>
              <w:left w:w="101" w:type="dxa"/>
              <w:bottom w:w="0" w:type="dxa"/>
              <w:right w:w="101" w:type="dxa"/>
            </w:tcMar>
            <w:vAlign w:val="center"/>
            <w:hideMark/>
          </w:tcPr>
          <w:p w14:paraId="56CC3BA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186</w:t>
            </w:r>
          </w:p>
        </w:tc>
        <w:tc>
          <w:tcPr>
            <w:tcW w:w="0" w:type="auto"/>
            <w:tcMar>
              <w:top w:w="0" w:type="dxa"/>
              <w:left w:w="108" w:type="dxa"/>
              <w:bottom w:w="0" w:type="dxa"/>
              <w:right w:w="101" w:type="dxa"/>
            </w:tcMar>
            <w:vAlign w:val="center"/>
            <w:hideMark/>
          </w:tcPr>
          <w:p w14:paraId="74184835"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Factors associated with extreme maternal morbidity at the individual level and among the communes and townships of Medellín, </w:t>
            </w:r>
            <w:r w:rsidRPr="009B3512">
              <w:rPr>
                <w:rFonts w:ascii="Arial" w:eastAsia="Times New Roman" w:hAnsi="Arial" w:cs="Arial"/>
                <w:lang w:val="en-CO" w:eastAsia="en-GB"/>
              </w:rPr>
              <w:br/>
              <w:t>2013-2015</w:t>
            </w:r>
          </w:p>
        </w:tc>
        <w:tc>
          <w:tcPr>
            <w:tcW w:w="0" w:type="auto"/>
            <w:tcMar>
              <w:top w:w="0" w:type="dxa"/>
              <w:left w:w="108" w:type="dxa"/>
              <w:bottom w:w="0" w:type="dxa"/>
              <w:right w:w="101" w:type="dxa"/>
            </w:tcMar>
            <w:vAlign w:val="center"/>
            <w:hideMark/>
          </w:tcPr>
          <w:p w14:paraId="6297065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Salazar, 2017</w:t>
            </w:r>
          </w:p>
        </w:tc>
        <w:tc>
          <w:tcPr>
            <w:tcW w:w="0" w:type="auto"/>
            <w:tcMar>
              <w:top w:w="0" w:type="dxa"/>
              <w:left w:w="108" w:type="dxa"/>
              <w:bottom w:w="0" w:type="dxa"/>
              <w:right w:w="101" w:type="dxa"/>
            </w:tcMar>
            <w:vAlign w:val="center"/>
            <w:hideMark/>
          </w:tcPr>
          <w:p w14:paraId="56DB702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44131FC3" w14:textId="77777777" w:rsidTr="00E10CC6">
        <w:trPr>
          <w:trHeight w:val="780"/>
          <w:jc w:val="center"/>
        </w:trPr>
        <w:tc>
          <w:tcPr>
            <w:tcW w:w="0" w:type="auto"/>
            <w:tcMar>
              <w:top w:w="0" w:type="dxa"/>
              <w:left w:w="101" w:type="dxa"/>
              <w:bottom w:w="0" w:type="dxa"/>
              <w:right w:w="101" w:type="dxa"/>
            </w:tcMar>
            <w:vAlign w:val="center"/>
            <w:hideMark/>
          </w:tcPr>
          <w:p w14:paraId="7D6F3F2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187</w:t>
            </w:r>
          </w:p>
        </w:tc>
        <w:tc>
          <w:tcPr>
            <w:tcW w:w="0" w:type="auto"/>
            <w:tcMar>
              <w:top w:w="0" w:type="dxa"/>
              <w:left w:w="108" w:type="dxa"/>
              <w:bottom w:w="0" w:type="dxa"/>
              <w:right w:w="101" w:type="dxa"/>
            </w:tcMar>
            <w:vAlign w:val="center"/>
            <w:hideMark/>
          </w:tcPr>
          <w:p w14:paraId="2FD7A320"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Access to curative oral health services in schoolchildren in the town of Fontibón de Bogotá DC, 2009. </w:t>
            </w:r>
          </w:p>
        </w:tc>
        <w:tc>
          <w:tcPr>
            <w:tcW w:w="0" w:type="auto"/>
            <w:tcMar>
              <w:top w:w="0" w:type="dxa"/>
              <w:left w:w="108" w:type="dxa"/>
              <w:bottom w:w="0" w:type="dxa"/>
              <w:right w:w="101" w:type="dxa"/>
            </w:tcMar>
            <w:vAlign w:val="center"/>
            <w:hideMark/>
          </w:tcPr>
          <w:p w14:paraId="7E99CD2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Echeverria, 2011</w:t>
            </w:r>
          </w:p>
        </w:tc>
        <w:tc>
          <w:tcPr>
            <w:tcW w:w="0" w:type="auto"/>
            <w:tcMar>
              <w:top w:w="0" w:type="dxa"/>
              <w:left w:w="108" w:type="dxa"/>
              <w:bottom w:w="0" w:type="dxa"/>
              <w:right w:w="101" w:type="dxa"/>
            </w:tcMar>
            <w:vAlign w:val="center"/>
            <w:hideMark/>
          </w:tcPr>
          <w:p w14:paraId="6D612D4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49078D09" w14:textId="77777777" w:rsidTr="00E10CC6">
        <w:trPr>
          <w:trHeight w:val="780"/>
          <w:jc w:val="center"/>
        </w:trPr>
        <w:tc>
          <w:tcPr>
            <w:tcW w:w="0" w:type="auto"/>
            <w:tcMar>
              <w:top w:w="0" w:type="dxa"/>
              <w:left w:w="101" w:type="dxa"/>
              <w:bottom w:w="0" w:type="dxa"/>
              <w:right w:w="101" w:type="dxa"/>
            </w:tcMar>
            <w:vAlign w:val="center"/>
            <w:hideMark/>
          </w:tcPr>
          <w:p w14:paraId="2CB6586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188</w:t>
            </w:r>
          </w:p>
        </w:tc>
        <w:tc>
          <w:tcPr>
            <w:tcW w:w="0" w:type="auto"/>
            <w:tcMar>
              <w:top w:w="0" w:type="dxa"/>
              <w:left w:w="108" w:type="dxa"/>
              <w:bottom w:w="0" w:type="dxa"/>
              <w:right w:w="101" w:type="dxa"/>
            </w:tcMar>
            <w:vAlign w:val="center"/>
            <w:hideMark/>
          </w:tcPr>
          <w:p w14:paraId="6A69413A"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Sexually transmitted infections in colombia: analysis based on the 2007 national health survey</w:t>
            </w:r>
          </w:p>
        </w:tc>
        <w:tc>
          <w:tcPr>
            <w:tcW w:w="0" w:type="auto"/>
            <w:tcMar>
              <w:top w:w="0" w:type="dxa"/>
              <w:left w:w="108" w:type="dxa"/>
              <w:bottom w:w="0" w:type="dxa"/>
              <w:right w:w="101" w:type="dxa"/>
            </w:tcMar>
            <w:vAlign w:val="center"/>
            <w:hideMark/>
          </w:tcPr>
          <w:p w14:paraId="62F82C8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Quintero, 2011</w:t>
            </w:r>
          </w:p>
        </w:tc>
        <w:tc>
          <w:tcPr>
            <w:tcW w:w="0" w:type="auto"/>
            <w:tcMar>
              <w:top w:w="0" w:type="dxa"/>
              <w:left w:w="108" w:type="dxa"/>
              <w:bottom w:w="0" w:type="dxa"/>
              <w:right w:w="101" w:type="dxa"/>
            </w:tcMar>
            <w:vAlign w:val="center"/>
            <w:hideMark/>
          </w:tcPr>
          <w:p w14:paraId="65D21F4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7FE83BBF" w14:textId="77777777" w:rsidTr="00E10CC6">
        <w:trPr>
          <w:trHeight w:val="780"/>
          <w:jc w:val="center"/>
        </w:trPr>
        <w:tc>
          <w:tcPr>
            <w:tcW w:w="0" w:type="auto"/>
            <w:tcMar>
              <w:top w:w="0" w:type="dxa"/>
              <w:left w:w="101" w:type="dxa"/>
              <w:bottom w:w="0" w:type="dxa"/>
              <w:right w:w="101" w:type="dxa"/>
            </w:tcMar>
            <w:vAlign w:val="center"/>
            <w:hideMark/>
          </w:tcPr>
          <w:p w14:paraId="41BA77B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189</w:t>
            </w:r>
          </w:p>
        </w:tc>
        <w:tc>
          <w:tcPr>
            <w:tcW w:w="0" w:type="auto"/>
            <w:tcMar>
              <w:top w:w="0" w:type="dxa"/>
              <w:left w:w="108" w:type="dxa"/>
              <w:bottom w:w="0" w:type="dxa"/>
              <w:right w:w="101" w:type="dxa"/>
            </w:tcMar>
            <w:vAlign w:val="center"/>
            <w:hideMark/>
          </w:tcPr>
          <w:p w14:paraId="298FCBC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Mortality of older adults due to nutritional deficiencies in the Departments of Colombia</w:t>
            </w:r>
          </w:p>
        </w:tc>
        <w:tc>
          <w:tcPr>
            <w:tcW w:w="0" w:type="auto"/>
            <w:tcMar>
              <w:top w:w="0" w:type="dxa"/>
              <w:left w:w="108" w:type="dxa"/>
              <w:bottom w:w="0" w:type="dxa"/>
              <w:right w:w="101" w:type="dxa"/>
            </w:tcMar>
            <w:vAlign w:val="center"/>
            <w:hideMark/>
          </w:tcPr>
          <w:p w14:paraId="0C8A37E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Arango, 2012</w:t>
            </w:r>
          </w:p>
        </w:tc>
        <w:tc>
          <w:tcPr>
            <w:tcW w:w="0" w:type="auto"/>
            <w:tcMar>
              <w:top w:w="0" w:type="dxa"/>
              <w:left w:w="108" w:type="dxa"/>
              <w:bottom w:w="0" w:type="dxa"/>
              <w:right w:w="101" w:type="dxa"/>
            </w:tcMar>
            <w:vAlign w:val="center"/>
            <w:hideMark/>
          </w:tcPr>
          <w:p w14:paraId="2D8FC79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25EADC3E" w14:textId="77777777" w:rsidTr="00E10CC6">
        <w:trPr>
          <w:trHeight w:val="780"/>
          <w:jc w:val="center"/>
        </w:trPr>
        <w:tc>
          <w:tcPr>
            <w:tcW w:w="0" w:type="auto"/>
            <w:tcMar>
              <w:top w:w="0" w:type="dxa"/>
              <w:left w:w="101" w:type="dxa"/>
              <w:bottom w:w="0" w:type="dxa"/>
              <w:right w:w="101" w:type="dxa"/>
            </w:tcMar>
            <w:vAlign w:val="center"/>
            <w:hideMark/>
          </w:tcPr>
          <w:p w14:paraId="0B491D6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190</w:t>
            </w:r>
          </w:p>
        </w:tc>
        <w:tc>
          <w:tcPr>
            <w:tcW w:w="0" w:type="auto"/>
            <w:tcMar>
              <w:top w:w="0" w:type="dxa"/>
              <w:left w:w="108" w:type="dxa"/>
              <w:bottom w:w="0" w:type="dxa"/>
              <w:right w:w="101" w:type="dxa"/>
            </w:tcMar>
            <w:vAlign w:val="center"/>
            <w:hideMark/>
          </w:tcPr>
          <w:p w14:paraId="0EFAAF00"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Impact of subsidized health insurance on access to cervical cytology in Medellín, Colombia </w:t>
            </w:r>
          </w:p>
        </w:tc>
        <w:tc>
          <w:tcPr>
            <w:tcW w:w="0" w:type="auto"/>
            <w:tcMar>
              <w:top w:w="0" w:type="dxa"/>
              <w:left w:w="108" w:type="dxa"/>
              <w:bottom w:w="0" w:type="dxa"/>
              <w:right w:w="101" w:type="dxa"/>
            </w:tcMar>
            <w:vAlign w:val="center"/>
            <w:hideMark/>
          </w:tcPr>
          <w:p w14:paraId="421842A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Atehortua, 2014</w:t>
            </w:r>
          </w:p>
        </w:tc>
        <w:tc>
          <w:tcPr>
            <w:tcW w:w="0" w:type="auto"/>
            <w:tcMar>
              <w:top w:w="0" w:type="dxa"/>
              <w:left w:w="108" w:type="dxa"/>
              <w:bottom w:w="0" w:type="dxa"/>
              <w:right w:w="101" w:type="dxa"/>
            </w:tcMar>
            <w:vAlign w:val="center"/>
            <w:hideMark/>
          </w:tcPr>
          <w:p w14:paraId="37C1EE9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168E2857" w14:textId="77777777" w:rsidTr="00E10CC6">
        <w:trPr>
          <w:trHeight w:val="780"/>
          <w:jc w:val="center"/>
        </w:trPr>
        <w:tc>
          <w:tcPr>
            <w:tcW w:w="0" w:type="auto"/>
            <w:tcMar>
              <w:top w:w="0" w:type="dxa"/>
              <w:left w:w="101" w:type="dxa"/>
              <w:bottom w:w="0" w:type="dxa"/>
              <w:right w:w="101" w:type="dxa"/>
            </w:tcMar>
            <w:vAlign w:val="center"/>
            <w:hideMark/>
          </w:tcPr>
          <w:p w14:paraId="3E0FF1A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191</w:t>
            </w:r>
          </w:p>
        </w:tc>
        <w:tc>
          <w:tcPr>
            <w:tcW w:w="0" w:type="auto"/>
            <w:tcMar>
              <w:top w:w="0" w:type="dxa"/>
              <w:left w:w="108" w:type="dxa"/>
              <w:bottom w:w="0" w:type="dxa"/>
              <w:right w:w="101" w:type="dxa"/>
            </w:tcMar>
            <w:vAlign w:val="center"/>
            <w:hideMark/>
          </w:tcPr>
          <w:p w14:paraId="04B6067C"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Characterization of the quality of the care process for colorectal cancer patients treated in 2014 and 2015 at the National Cancer Institute ESE</w:t>
            </w:r>
          </w:p>
        </w:tc>
        <w:tc>
          <w:tcPr>
            <w:tcW w:w="0" w:type="auto"/>
            <w:tcMar>
              <w:top w:w="0" w:type="dxa"/>
              <w:left w:w="108" w:type="dxa"/>
              <w:bottom w:w="0" w:type="dxa"/>
              <w:right w:w="101" w:type="dxa"/>
            </w:tcMar>
            <w:vAlign w:val="center"/>
            <w:hideMark/>
          </w:tcPr>
          <w:p w14:paraId="562377B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Torres, 2020</w:t>
            </w:r>
          </w:p>
        </w:tc>
        <w:tc>
          <w:tcPr>
            <w:tcW w:w="0" w:type="auto"/>
            <w:tcMar>
              <w:top w:w="0" w:type="dxa"/>
              <w:left w:w="108" w:type="dxa"/>
              <w:bottom w:w="0" w:type="dxa"/>
              <w:right w:w="101" w:type="dxa"/>
            </w:tcMar>
            <w:vAlign w:val="center"/>
            <w:hideMark/>
          </w:tcPr>
          <w:p w14:paraId="29B4C24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46670F2B" w14:textId="77777777" w:rsidTr="00E10CC6">
        <w:trPr>
          <w:trHeight w:val="780"/>
          <w:jc w:val="center"/>
        </w:trPr>
        <w:tc>
          <w:tcPr>
            <w:tcW w:w="0" w:type="auto"/>
            <w:tcMar>
              <w:top w:w="0" w:type="dxa"/>
              <w:left w:w="101" w:type="dxa"/>
              <w:bottom w:w="0" w:type="dxa"/>
              <w:right w:w="101" w:type="dxa"/>
            </w:tcMar>
            <w:vAlign w:val="center"/>
            <w:hideMark/>
          </w:tcPr>
          <w:p w14:paraId="66AE3F7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192</w:t>
            </w:r>
          </w:p>
        </w:tc>
        <w:tc>
          <w:tcPr>
            <w:tcW w:w="0" w:type="auto"/>
            <w:tcMar>
              <w:top w:w="0" w:type="dxa"/>
              <w:left w:w="108" w:type="dxa"/>
              <w:bottom w:w="0" w:type="dxa"/>
              <w:right w:w="101" w:type="dxa"/>
            </w:tcMar>
            <w:vAlign w:val="center"/>
            <w:hideMark/>
          </w:tcPr>
          <w:p w14:paraId="45C57200"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Characterization of mortality in people aged 30 and over due to cardiovascular diseases and its relationship with socio-economic aspects and its link to the general health social security system. Colombia (2005-2013)</w:t>
            </w:r>
          </w:p>
        </w:tc>
        <w:tc>
          <w:tcPr>
            <w:tcW w:w="0" w:type="auto"/>
            <w:tcMar>
              <w:top w:w="0" w:type="dxa"/>
              <w:left w:w="108" w:type="dxa"/>
              <w:bottom w:w="0" w:type="dxa"/>
              <w:right w:w="101" w:type="dxa"/>
            </w:tcMar>
            <w:vAlign w:val="center"/>
            <w:hideMark/>
          </w:tcPr>
          <w:p w14:paraId="42B3459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Rodriguez, 2017</w:t>
            </w:r>
          </w:p>
        </w:tc>
        <w:tc>
          <w:tcPr>
            <w:tcW w:w="0" w:type="auto"/>
            <w:tcMar>
              <w:top w:w="0" w:type="dxa"/>
              <w:left w:w="108" w:type="dxa"/>
              <w:bottom w:w="0" w:type="dxa"/>
              <w:right w:w="101" w:type="dxa"/>
            </w:tcMar>
            <w:vAlign w:val="center"/>
            <w:hideMark/>
          </w:tcPr>
          <w:p w14:paraId="72807DC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1A097435" w14:textId="77777777" w:rsidTr="00E10CC6">
        <w:trPr>
          <w:trHeight w:val="780"/>
          <w:jc w:val="center"/>
        </w:trPr>
        <w:tc>
          <w:tcPr>
            <w:tcW w:w="0" w:type="auto"/>
            <w:tcMar>
              <w:top w:w="0" w:type="dxa"/>
              <w:left w:w="101" w:type="dxa"/>
              <w:bottom w:w="0" w:type="dxa"/>
              <w:right w:w="101" w:type="dxa"/>
            </w:tcMar>
            <w:vAlign w:val="center"/>
            <w:hideMark/>
          </w:tcPr>
          <w:p w14:paraId="7ABDBB7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193</w:t>
            </w:r>
          </w:p>
        </w:tc>
        <w:tc>
          <w:tcPr>
            <w:tcW w:w="0" w:type="auto"/>
            <w:tcMar>
              <w:top w:w="0" w:type="dxa"/>
              <w:left w:w="108" w:type="dxa"/>
              <w:bottom w:w="0" w:type="dxa"/>
              <w:right w:w="101" w:type="dxa"/>
            </w:tcMar>
            <w:vAlign w:val="center"/>
            <w:hideMark/>
          </w:tcPr>
          <w:p w14:paraId="5BCD8BB6"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Aspects related to the number of dental appointments attended by pregnant women in Santander </w:t>
            </w:r>
          </w:p>
        </w:tc>
        <w:tc>
          <w:tcPr>
            <w:tcW w:w="0" w:type="auto"/>
            <w:tcMar>
              <w:top w:w="0" w:type="dxa"/>
              <w:left w:w="108" w:type="dxa"/>
              <w:bottom w:w="0" w:type="dxa"/>
              <w:right w:w="101" w:type="dxa"/>
            </w:tcMar>
            <w:vAlign w:val="center"/>
            <w:hideMark/>
          </w:tcPr>
          <w:p w14:paraId="7775AA0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Barrier, 2017</w:t>
            </w:r>
          </w:p>
        </w:tc>
        <w:tc>
          <w:tcPr>
            <w:tcW w:w="0" w:type="auto"/>
            <w:tcMar>
              <w:top w:w="0" w:type="dxa"/>
              <w:left w:w="108" w:type="dxa"/>
              <w:bottom w:w="0" w:type="dxa"/>
              <w:right w:w="101" w:type="dxa"/>
            </w:tcMar>
            <w:vAlign w:val="center"/>
            <w:hideMark/>
          </w:tcPr>
          <w:p w14:paraId="78095B8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0330DBF6" w14:textId="77777777" w:rsidTr="00E10CC6">
        <w:trPr>
          <w:trHeight w:val="780"/>
          <w:jc w:val="center"/>
        </w:trPr>
        <w:tc>
          <w:tcPr>
            <w:tcW w:w="0" w:type="auto"/>
            <w:tcMar>
              <w:top w:w="0" w:type="dxa"/>
              <w:left w:w="101" w:type="dxa"/>
              <w:bottom w:w="0" w:type="dxa"/>
              <w:right w:w="101" w:type="dxa"/>
            </w:tcMar>
            <w:vAlign w:val="center"/>
            <w:hideMark/>
          </w:tcPr>
          <w:p w14:paraId="77BBDC3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194</w:t>
            </w:r>
          </w:p>
        </w:tc>
        <w:tc>
          <w:tcPr>
            <w:tcW w:w="0" w:type="auto"/>
            <w:tcMar>
              <w:top w:w="0" w:type="dxa"/>
              <w:left w:w="108" w:type="dxa"/>
              <w:bottom w:w="0" w:type="dxa"/>
              <w:right w:w="101" w:type="dxa"/>
            </w:tcMar>
            <w:vAlign w:val="center"/>
            <w:hideMark/>
          </w:tcPr>
          <w:p w14:paraId="7CFBDDFA"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Health Insurance and Vaccination Coverage for Children with and without Experience of Forced Displacement in Colombia </w:t>
            </w:r>
          </w:p>
        </w:tc>
        <w:tc>
          <w:tcPr>
            <w:tcW w:w="0" w:type="auto"/>
            <w:tcMar>
              <w:top w:w="0" w:type="dxa"/>
              <w:left w:w="108" w:type="dxa"/>
              <w:bottom w:w="0" w:type="dxa"/>
              <w:right w:w="101" w:type="dxa"/>
            </w:tcMar>
            <w:vAlign w:val="center"/>
            <w:hideMark/>
          </w:tcPr>
          <w:p w14:paraId="657FC26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Rodriguez, 2008</w:t>
            </w:r>
          </w:p>
        </w:tc>
        <w:tc>
          <w:tcPr>
            <w:tcW w:w="0" w:type="auto"/>
            <w:tcMar>
              <w:top w:w="0" w:type="dxa"/>
              <w:left w:w="108" w:type="dxa"/>
              <w:bottom w:w="0" w:type="dxa"/>
              <w:right w:w="101" w:type="dxa"/>
            </w:tcMar>
            <w:vAlign w:val="center"/>
            <w:hideMark/>
          </w:tcPr>
          <w:p w14:paraId="715273C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2D9FEF94" w14:textId="77777777" w:rsidTr="00E10CC6">
        <w:trPr>
          <w:trHeight w:val="780"/>
          <w:jc w:val="center"/>
        </w:trPr>
        <w:tc>
          <w:tcPr>
            <w:tcW w:w="0" w:type="auto"/>
            <w:tcMar>
              <w:top w:w="0" w:type="dxa"/>
              <w:left w:w="101" w:type="dxa"/>
              <w:bottom w:w="0" w:type="dxa"/>
              <w:right w:w="101" w:type="dxa"/>
            </w:tcMar>
            <w:vAlign w:val="center"/>
            <w:hideMark/>
          </w:tcPr>
          <w:p w14:paraId="04731C4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195</w:t>
            </w:r>
          </w:p>
        </w:tc>
        <w:tc>
          <w:tcPr>
            <w:tcW w:w="0" w:type="auto"/>
            <w:tcMar>
              <w:top w:w="0" w:type="dxa"/>
              <w:left w:w="108" w:type="dxa"/>
              <w:bottom w:w="0" w:type="dxa"/>
              <w:right w:w="101" w:type="dxa"/>
            </w:tcMar>
            <w:vAlign w:val="center"/>
            <w:hideMark/>
          </w:tcPr>
          <w:p w14:paraId="4F0F795A"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Characterization of maxillofacial trauma in the la samaritana hospital in bogota between 2008 and 2013 </w:t>
            </w:r>
          </w:p>
        </w:tc>
        <w:tc>
          <w:tcPr>
            <w:tcW w:w="0" w:type="auto"/>
            <w:tcMar>
              <w:top w:w="0" w:type="dxa"/>
              <w:left w:w="108" w:type="dxa"/>
              <w:bottom w:w="0" w:type="dxa"/>
              <w:right w:w="101" w:type="dxa"/>
            </w:tcMar>
            <w:vAlign w:val="center"/>
            <w:hideMark/>
          </w:tcPr>
          <w:p w14:paraId="1FAF41B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Pineda, 2015</w:t>
            </w:r>
          </w:p>
        </w:tc>
        <w:tc>
          <w:tcPr>
            <w:tcW w:w="0" w:type="auto"/>
            <w:tcMar>
              <w:top w:w="0" w:type="dxa"/>
              <w:left w:w="108" w:type="dxa"/>
              <w:bottom w:w="0" w:type="dxa"/>
              <w:right w:w="101" w:type="dxa"/>
            </w:tcMar>
            <w:vAlign w:val="center"/>
            <w:hideMark/>
          </w:tcPr>
          <w:p w14:paraId="2178AD6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70916C0B" w14:textId="77777777" w:rsidTr="00E10CC6">
        <w:trPr>
          <w:trHeight w:val="780"/>
          <w:jc w:val="center"/>
        </w:trPr>
        <w:tc>
          <w:tcPr>
            <w:tcW w:w="0" w:type="auto"/>
            <w:tcMar>
              <w:top w:w="0" w:type="dxa"/>
              <w:left w:w="101" w:type="dxa"/>
              <w:bottom w:w="0" w:type="dxa"/>
              <w:right w:w="101" w:type="dxa"/>
            </w:tcMar>
            <w:vAlign w:val="center"/>
            <w:hideMark/>
          </w:tcPr>
          <w:p w14:paraId="6BB6C0F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196</w:t>
            </w:r>
          </w:p>
        </w:tc>
        <w:tc>
          <w:tcPr>
            <w:tcW w:w="0" w:type="auto"/>
            <w:tcMar>
              <w:top w:w="0" w:type="dxa"/>
              <w:left w:w="108" w:type="dxa"/>
              <w:bottom w:w="0" w:type="dxa"/>
              <w:right w:w="101" w:type="dxa"/>
            </w:tcMar>
            <w:vAlign w:val="center"/>
            <w:hideMark/>
          </w:tcPr>
          <w:p w14:paraId="5D162A35"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Survival of patients with oral squamous cell cancer, treated for the first time, in cancer centers in the period 2000 to 2011, Medellín-Colombia </w:t>
            </w:r>
            <w:r w:rsidRPr="009B3512">
              <w:rPr>
                <w:rFonts w:ascii="Arial" w:eastAsia="Times New Roman" w:hAnsi="Arial" w:cs="Arial"/>
                <w:b/>
                <w:bCs/>
                <w:sz w:val="14"/>
                <w:szCs w:val="14"/>
                <w:lang w:val="en-CO" w:eastAsia="en-GB"/>
              </w:rPr>
              <w:t>1</w:t>
            </w:r>
          </w:p>
        </w:tc>
        <w:tc>
          <w:tcPr>
            <w:tcW w:w="0" w:type="auto"/>
            <w:tcMar>
              <w:top w:w="0" w:type="dxa"/>
              <w:left w:w="108" w:type="dxa"/>
              <w:bottom w:w="0" w:type="dxa"/>
              <w:right w:w="101" w:type="dxa"/>
            </w:tcMar>
            <w:vAlign w:val="center"/>
            <w:hideMark/>
          </w:tcPr>
          <w:p w14:paraId="365E28F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Posada, 2016</w:t>
            </w:r>
          </w:p>
        </w:tc>
        <w:tc>
          <w:tcPr>
            <w:tcW w:w="0" w:type="auto"/>
            <w:tcMar>
              <w:top w:w="0" w:type="dxa"/>
              <w:left w:w="108" w:type="dxa"/>
              <w:bottom w:w="0" w:type="dxa"/>
              <w:right w:w="101" w:type="dxa"/>
            </w:tcMar>
            <w:vAlign w:val="center"/>
            <w:hideMark/>
          </w:tcPr>
          <w:p w14:paraId="5556734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4C7EAF96" w14:textId="77777777" w:rsidTr="00E10CC6">
        <w:trPr>
          <w:trHeight w:val="780"/>
          <w:jc w:val="center"/>
        </w:trPr>
        <w:tc>
          <w:tcPr>
            <w:tcW w:w="0" w:type="auto"/>
            <w:tcMar>
              <w:top w:w="0" w:type="dxa"/>
              <w:left w:w="101" w:type="dxa"/>
              <w:bottom w:w="0" w:type="dxa"/>
              <w:right w:w="101" w:type="dxa"/>
            </w:tcMar>
            <w:vAlign w:val="center"/>
            <w:hideMark/>
          </w:tcPr>
          <w:p w14:paraId="15EAC88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197</w:t>
            </w:r>
          </w:p>
        </w:tc>
        <w:tc>
          <w:tcPr>
            <w:tcW w:w="0" w:type="auto"/>
            <w:tcMar>
              <w:top w:w="0" w:type="dxa"/>
              <w:left w:w="108" w:type="dxa"/>
              <w:bottom w:w="0" w:type="dxa"/>
              <w:right w:w="101" w:type="dxa"/>
            </w:tcMar>
            <w:vAlign w:val="center"/>
            <w:hideMark/>
          </w:tcPr>
          <w:p w14:paraId="6B1A9C8E"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 xml:space="preserve">Factors associated with extreme maternal morbidity at the individual level and among the </w:t>
            </w:r>
            <w:r w:rsidRPr="009B3512">
              <w:rPr>
                <w:rFonts w:ascii="Arial" w:eastAsia="Times New Roman" w:hAnsi="Arial" w:cs="Arial"/>
                <w:lang w:val="en-CO" w:eastAsia="en-GB"/>
              </w:rPr>
              <w:lastRenderedPageBreak/>
              <w:t>communes and townships of Medellín, </w:t>
            </w:r>
            <w:r w:rsidRPr="009B3512">
              <w:rPr>
                <w:rFonts w:ascii="Arial" w:eastAsia="Times New Roman" w:hAnsi="Arial" w:cs="Arial"/>
                <w:lang w:val="en-CO" w:eastAsia="en-GB"/>
              </w:rPr>
              <w:br/>
              <w:t>2013-2015</w:t>
            </w:r>
          </w:p>
        </w:tc>
        <w:tc>
          <w:tcPr>
            <w:tcW w:w="0" w:type="auto"/>
            <w:tcMar>
              <w:top w:w="0" w:type="dxa"/>
              <w:left w:w="108" w:type="dxa"/>
              <w:bottom w:w="0" w:type="dxa"/>
              <w:right w:w="101" w:type="dxa"/>
            </w:tcMar>
            <w:vAlign w:val="center"/>
            <w:hideMark/>
          </w:tcPr>
          <w:p w14:paraId="76F4ED6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lastRenderedPageBreak/>
              <w:t>Salazar, 2017</w:t>
            </w:r>
          </w:p>
        </w:tc>
        <w:tc>
          <w:tcPr>
            <w:tcW w:w="0" w:type="auto"/>
            <w:tcMar>
              <w:top w:w="0" w:type="dxa"/>
              <w:left w:w="108" w:type="dxa"/>
              <w:bottom w:w="0" w:type="dxa"/>
              <w:right w:w="101" w:type="dxa"/>
            </w:tcMar>
            <w:vAlign w:val="center"/>
            <w:hideMark/>
          </w:tcPr>
          <w:p w14:paraId="2D45093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449EDBBA" w14:textId="77777777" w:rsidTr="00E10CC6">
        <w:trPr>
          <w:trHeight w:val="780"/>
          <w:jc w:val="center"/>
        </w:trPr>
        <w:tc>
          <w:tcPr>
            <w:tcW w:w="0" w:type="auto"/>
            <w:tcMar>
              <w:top w:w="0" w:type="dxa"/>
              <w:left w:w="101" w:type="dxa"/>
              <w:bottom w:w="0" w:type="dxa"/>
              <w:right w:w="101" w:type="dxa"/>
            </w:tcMar>
            <w:vAlign w:val="center"/>
            <w:hideMark/>
          </w:tcPr>
          <w:p w14:paraId="3322E0F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198</w:t>
            </w:r>
          </w:p>
        </w:tc>
        <w:tc>
          <w:tcPr>
            <w:tcW w:w="0" w:type="auto"/>
            <w:tcMar>
              <w:top w:w="0" w:type="dxa"/>
              <w:left w:w="108" w:type="dxa"/>
              <w:bottom w:w="0" w:type="dxa"/>
              <w:right w:w="101" w:type="dxa"/>
            </w:tcMar>
            <w:vAlign w:val="center"/>
            <w:hideMark/>
          </w:tcPr>
          <w:p w14:paraId="5C1D248B"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Characterization of cerebrovascular accident in Colombia </w:t>
            </w:r>
          </w:p>
        </w:tc>
        <w:tc>
          <w:tcPr>
            <w:tcW w:w="0" w:type="auto"/>
            <w:tcMar>
              <w:top w:w="0" w:type="dxa"/>
              <w:left w:w="108" w:type="dxa"/>
              <w:bottom w:w="0" w:type="dxa"/>
              <w:right w:w="101" w:type="dxa"/>
            </w:tcMar>
            <w:vAlign w:val="center"/>
            <w:hideMark/>
          </w:tcPr>
          <w:p w14:paraId="650FC6E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Duke, 2019</w:t>
            </w:r>
          </w:p>
        </w:tc>
        <w:tc>
          <w:tcPr>
            <w:tcW w:w="0" w:type="auto"/>
            <w:tcMar>
              <w:top w:w="0" w:type="dxa"/>
              <w:left w:w="108" w:type="dxa"/>
              <w:bottom w:w="0" w:type="dxa"/>
              <w:right w:w="101" w:type="dxa"/>
            </w:tcMar>
            <w:vAlign w:val="center"/>
            <w:hideMark/>
          </w:tcPr>
          <w:p w14:paraId="294E870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Report </w:t>
            </w:r>
          </w:p>
        </w:tc>
      </w:tr>
      <w:tr w:rsidR="00E10CC6" w:rsidRPr="009B3512" w14:paraId="54EFDCC5" w14:textId="77777777" w:rsidTr="00E10CC6">
        <w:trPr>
          <w:trHeight w:val="780"/>
          <w:jc w:val="center"/>
        </w:trPr>
        <w:tc>
          <w:tcPr>
            <w:tcW w:w="0" w:type="auto"/>
            <w:tcMar>
              <w:top w:w="0" w:type="dxa"/>
              <w:left w:w="101" w:type="dxa"/>
              <w:bottom w:w="0" w:type="dxa"/>
              <w:right w:w="101" w:type="dxa"/>
            </w:tcMar>
            <w:vAlign w:val="center"/>
            <w:hideMark/>
          </w:tcPr>
          <w:p w14:paraId="1D6053A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199</w:t>
            </w:r>
          </w:p>
        </w:tc>
        <w:tc>
          <w:tcPr>
            <w:tcW w:w="0" w:type="auto"/>
            <w:tcMar>
              <w:top w:w="0" w:type="dxa"/>
              <w:left w:w="108" w:type="dxa"/>
              <w:bottom w:w="0" w:type="dxa"/>
              <w:right w:w="101" w:type="dxa"/>
            </w:tcMar>
            <w:vAlign w:val="center"/>
            <w:hideMark/>
          </w:tcPr>
          <w:p w14:paraId="1375E26C"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Characterization of pregnant women with Zika virus in the municipality of Villavicencio, 2016</w:t>
            </w:r>
          </w:p>
        </w:tc>
        <w:tc>
          <w:tcPr>
            <w:tcW w:w="0" w:type="auto"/>
            <w:tcMar>
              <w:top w:w="0" w:type="dxa"/>
              <w:left w:w="108" w:type="dxa"/>
              <w:bottom w:w="0" w:type="dxa"/>
              <w:right w:w="101" w:type="dxa"/>
            </w:tcMar>
            <w:vAlign w:val="center"/>
            <w:hideMark/>
          </w:tcPr>
          <w:p w14:paraId="2C7BF7E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Ruiz, 2017</w:t>
            </w:r>
          </w:p>
        </w:tc>
        <w:tc>
          <w:tcPr>
            <w:tcW w:w="0" w:type="auto"/>
            <w:tcMar>
              <w:top w:w="0" w:type="dxa"/>
              <w:left w:w="108" w:type="dxa"/>
              <w:bottom w:w="0" w:type="dxa"/>
              <w:right w:w="101" w:type="dxa"/>
            </w:tcMar>
            <w:vAlign w:val="center"/>
            <w:hideMark/>
          </w:tcPr>
          <w:p w14:paraId="2AE2AC1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002CD756" w14:textId="77777777" w:rsidTr="00E10CC6">
        <w:trPr>
          <w:trHeight w:val="780"/>
          <w:jc w:val="center"/>
        </w:trPr>
        <w:tc>
          <w:tcPr>
            <w:tcW w:w="0" w:type="auto"/>
            <w:tcMar>
              <w:top w:w="0" w:type="dxa"/>
              <w:left w:w="101" w:type="dxa"/>
              <w:bottom w:w="0" w:type="dxa"/>
              <w:right w:w="101" w:type="dxa"/>
            </w:tcMar>
            <w:vAlign w:val="center"/>
            <w:hideMark/>
          </w:tcPr>
          <w:p w14:paraId="10F54E2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200</w:t>
            </w:r>
          </w:p>
        </w:tc>
        <w:tc>
          <w:tcPr>
            <w:tcW w:w="0" w:type="auto"/>
            <w:tcMar>
              <w:top w:w="0" w:type="dxa"/>
              <w:left w:w="108" w:type="dxa"/>
              <w:bottom w:w="0" w:type="dxa"/>
              <w:right w:w="101" w:type="dxa"/>
            </w:tcMar>
            <w:vAlign w:val="center"/>
            <w:hideMark/>
          </w:tcPr>
          <w:p w14:paraId="2DC501AB"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Social determinants of infant morbidity and mortality due to Acute Respiratory Infection in Bogotá 2015 - 2016 </w:t>
            </w:r>
          </w:p>
        </w:tc>
        <w:tc>
          <w:tcPr>
            <w:tcW w:w="0" w:type="auto"/>
            <w:tcMar>
              <w:top w:w="0" w:type="dxa"/>
              <w:left w:w="108" w:type="dxa"/>
              <w:bottom w:w="0" w:type="dxa"/>
              <w:right w:w="101" w:type="dxa"/>
            </w:tcMar>
            <w:vAlign w:val="center"/>
            <w:hideMark/>
          </w:tcPr>
          <w:p w14:paraId="79DDD77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Urrego, 2019</w:t>
            </w:r>
          </w:p>
        </w:tc>
        <w:tc>
          <w:tcPr>
            <w:tcW w:w="0" w:type="auto"/>
            <w:tcMar>
              <w:top w:w="0" w:type="dxa"/>
              <w:left w:w="108" w:type="dxa"/>
              <w:bottom w:w="0" w:type="dxa"/>
              <w:right w:w="101" w:type="dxa"/>
            </w:tcMar>
            <w:vAlign w:val="center"/>
            <w:hideMark/>
          </w:tcPr>
          <w:p w14:paraId="4EA08C2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3A1C21F6" w14:textId="77777777" w:rsidTr="00E10CC6">
        <w:trPr>
          <w:trHeight w:val="780"/>
          <w:jc w:val="center"/>
        </w:trPr>
        <w:tc>
          <w:tcPr>
            <w:tcW w:w="0" w:type="auto"/>
            <w:tcMar>
              <w:top w:w="0" w:type="dxa"/>
              <w:left w:w="101" w:type="dxa"/>
              <w:bottom w:w="0" w:type="dxa"/>
              <w:right w:w="101" w:type="dxa"/>
            </w:tcMar>
            <w:vAlign w:val="center"/>
            <w:hideMark/>
          </w:tcPr>
          <w:p w14:paraId="534DAFB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201</w:t>
            </w:r>
          </w:p>
        </w:tc>
        <w:tc>
          <w:tcPr>
            <w:tcW w:w="0" w:type="auto"/>
            <w:tcMar>
              <w:top w:w="0" w:type="dxa"/>
              <w:left w:w="108" w:type="dxa"/>
              <w:bottom w:w="0" w:type="dxa"/>
              <w:right w:w="101" w:type="dxa"/>
            </w:tcMar>
            <w:vAlign w:val="center"/>
            <w:hideMark/>
          </w:tcPr>
          <w:p w14:paraId="665A1502"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Economic and health impact of prenatal control in pregnant women affiliated with the subsidized regime in Colombia during 2014</w:t>
            </w:r>
          </w:p>
        </w:tc>
        <w:tc>
          <w:tcPr>
            <w:tcW w:w="0" w:type="auto"/>
            <w:tcMar>
              <w:top w:w="0" w:type="dxa"/>
              <w:left w:w="108" w:type="dxa"/>
              <w:bottom w:w="0" w:type="dxa"/>
              <w:right w:w="101" w:type="dxa"/>
            </w:tcMar>
            <w:vAlign w:val="center"/>
            <w:hideMark/>
          </w:tcPr>
          <w:p w14:paraId="28E4D1A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De la rosa, 2017</w:t>
            </w:r>
          </w:p>
        </w:tc>
        <w:tc>
          <w:tcPr>
            <w:tcW w:w="0" w:type="auto"/>
            <w:tcMar>
              <w:top w:w="0" w:type="dxa"/>
              <w:left w:w="108" w:type="dxa"/>
              <w:bottom w:w="0" w:type="dxa"/>
              <w:right w:w="101" w:type="dxa"/>
            </w:tcMar>
            <w:vAlign w:val="center"/>
            <w:hideMark/>
          </w:tcPr>
          <w:p w14:paraId="6D4CE5E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650E7BEB" w14:textId="77777777" w:rsidTr="00E10CC6">
        <w:trPr>
          <w:trHeight w:val="780"/>
          <w:jc w:val="center"/>
        </w:trPr>
        <w:tc>
          <w:tcPr>
            <w:tcW w:w="0" w:type="auto"/>
            <w:tcMar>
              <w:top w:w="0" w:type="dxa"/>
              <w:left w:w="101" w:type="dxa"/>
              <w:bottom w:w="0" w:type="dxa"/>
              <w:right w:w="101" w:type="dxa"/>
            </w:tcMar>
            <w:vAlign w:val="center"/>
            <w:hideMark/>
          </w:tcPr>
          <w:p w14:paraId="644FB4C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202</w:t>
            </w:r>
          </w:p>
        </w:tc>
        <w:tc>
          <w:tcPr>
            <w:tcW w:w="0" w:type="auto"/>
            <w:tcMar>
              <w:top w:w="0" w:type="dxa"/>
              <w:left w:w="108" w:type="dxa"/>
              <w:bottom w:w="0" w:type="dxa"/>
              <w:right w:w="101" w:type="dxa"/>
            </w:tcMar>
            <w:vAlign w:val="center"/>
            <w:hideMark/>
          </w:tcPr>
          <w:p w14:paraId="60D825E4"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Access to preventive services in the contributory and subsidized health regimes in a stratum two neighborhood of the city of Cali </w:t>
            </w:r>
          </w:p>
        </w:tc>
        <w:tc>
          <w:tcPr>
            <w:tcW w:w="0" w:type="auto"/>
            <w:tcMar>
              <w:top w:w="0" w:type="dxa"/>
              <w:left w:w="108" w:type="dxa"/>
              <w:bottom w:w="0" w:type="dxa"/>
              <w:right w:w="101" w:type="dxa"/>
            </w:tcMar>
            <w:vAlign w:val="center"/>
            <w:hideMark/>
          </w:tcPr>
          <w:p w14:paraId="5F327A9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Grajales, 2011</w:t>
            </w:r>
          </w:p>
        </w:tc>
        <w:tc>
          <w:tcPr>
            <w:tcW w:w="0" w:type="auto"/>
            <w:tcMar>
              <w:top w:w="0" w:type="dxa"/>
              <w:left w:w="108" w:type="dxa"/>
              <w:bottom w:w="0" w:type="dxa"/>
              <w:right w:w="101" w:type="dxa"/>
            </w:tcMar>
            <w:vAlign w:val="center"/>
            <w:hideMark/>
          </w:tcPr>
          <w:p w14:paraId="2E96AA4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3C37781F" w14:textId="77777777" w:rsidTr="00E10CC6">
        <w:trPr>
          <w:trHeight w:val="780"/>
          <w:jc w:val="center"/>
        </w:trPr>
        <w:tc>
          <w:tcPr>
            <w:tcW w:w="0" w:type="auto"/>
            <w:tcMar>
              <w:top w:w="0" w:type="dxa"/>
              <w:left w:w="101" w:type="dxa"/>
              <w:bottom w:w="0" w:type="dxa"/>
              <w:right w:w="101" w:type="dxa"/>
            </w:tcMar>
            <w:vAlign w:val="center"/>
            <w:hideMark/>
          </w:tcPr>
          <w:p w14:paraId="77B4CD5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203</w:t>
            </w:r>
          </w:p>
        </w:tc>
        <w:tc>
          <w:tcPr>
            <w:tcW w:w="0" w:type="auto"/>
            <w:tcMar>
              <w:top w:w="0" w:type="dxa"/>
              <w:left w:w="108" w:type="dxa"/>
              <w:bottom w:w="0" w:type="dxa"/>
              <w:right w:w="101" w:type="dxa"/>
            </w:tcMar>
            <w:vAlign w:val="center"/>
            <w:hideMark/>
          </w:tcPr>
          <w:p w14:paraId="6E35B2A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Differences in survival due to health insurance in patients with breast cancer treated at a referral cancer center in Medellín, Colombia</w:t>
            </w:r>
          </w:p>
        </w:tc>
        <w:tc>
          <w:tcPr>
            <w:tcW w:w="0" w:type="auto"/>
            <w:tcMar>
              <w:top w:w="0" w:type="dxa"/>
              <w:left w:w="108" w:type="dxa"/>
              <w:bottom w:w="0" w:type="dxa"/>
              <w:right w:w="101" w:type="dxa"/>
            </w:tcMar>
            <w:vAlign w:val="center"/>
            <w:hideMark/>
          </w:tcPr>
          <w:p w14:paraId="1D13B83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Egurrola-Pedraza, 2019</w:t>
            </w:r>
          </w:p>
        </w:tc>
        <w:tc>
          <w:tcPr>
            <w:tcW w:w="0" w:type="auto"/>
            <w:tcMar>
              <w:top w:w="0" w:type="dxa"/>
              <w:left w:w="108" w:type="dxa"/>
              <w:bottom w:w="0" w:type="dxa"/>
              <w:right w:w="101" w:type="dxa"/>
            </w:tcMar>
            <w:vAlign w:val="center"/>
            <w:hideMark/>
          </w:tcPr>
          <w:p w14:paraId="188EE01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2DB77352" w14:textId="77777777" w:rsidTr="00E10CC6">
        <w:trPr>
          <w:trHeight w:val="780"/>
          <w:jc w:val="center"/>
        </w:trPr>
        <w:tc>
          <w:tcPr>
            <w:tcW w:w="0" w:type="auto"/>
            <w:tcMar>
              <w:top w:w="0" w:type="dxa"/>
              <w:left w:w="101" w:type="dxa"/>
              <w:bottom w:w="0" w:type="dxa"/>
              <w:right w:w="101" w:type="dxa"/>
            </w:tcMar>
            <w:vAlign w:val="center"/>
            <w:hideMark/>
          </w:tcPr>
          <w:p w14:paraId="370805B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204</w:t>
            </w:r>
          </w:p>
        </w:tc>
        <w:tc>
          <w:tcPr>
            <w:tcW w:w="0" w:type="auto"/>
            <w:tcMar>
              <w:top w:w="0" w:type="dxa"/>
              <w:left w:w="108" w:type="dxa"/>
              <w:bottom w:w="0" w:type="dxa"/>
              <w:right w:w="101" w:type="dxa"/>
            </w:tcMar>
            <w:vAlign w:val="center"/>
            <w:hideMark/>
          </w:tcPr>
          <w:p w14:paraId="49D0301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Inequalities in prescription of hydrochlorothiazide for diabetic hypertensive patients in Colombia </w:t>
            </w:r>
          </w:p>
        </w:tc>
        <w:tc>
          <w:tcPr>
            <w:tcW w:w="0" w:type="auto"/>
            <w:tcMar>
              <w:top w:w="0" w:type="dxa"/>
              <w:left w:w="108" w:type="dxa"/>
              <w:bottom w:w="0" w:type="dxa"/>
              <w:right w:w="101" w:type="dxa"/>
            </w:tcMar>
            <w:vAlign w:val="center"/>
            <w:hideMark/>
          </w:tcPr>
          <w:p w14:paraId="52D2EBA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Pinilla, 2011</w:t>
            </w:r>
          </w:p>
        </w:tc>
        <w:tc>
          <w:tcPr>
            <w:tcW w:w="0" w:type="auto"/>
            <w:tcMar>
              <w:top w:w="0" w:type="dxa"/>
              <w:left w:w="108" w:type="dxa"/>
              <w:bottom w:w="0" w:type="dxa"/>
              <w:right w:w="101" w:type="dxa"/>
            </w:tcMar>
            <w:vAlign w:val="center"/>
            <w:hideMark/>
          </w:tcPr>
          <w:p w14:paraId="00A7501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56E17409" w14:textId="77777777" w:rsidTr="00E10CC6">
        <w:trPr>
          <w:trHeight w:val="780"/>
          <w:jc w:val="center"/>
        </w:trPr>
        <w:tc>
          <w:tcPr>
            <w:tcW w:w="0" w:type="auto"/>
            <w:tcMar>
              <w:top w:w="0" w:type="dxa"/>
              <w:left w:w="101" w:type="dxa"/>
              <w:bottom w:w="0" w:type="dxa"/>
              <w:right w:w="101" w:type="dxa"/>
            </w:tcMar>
            <w:vAlign w:val="center"/>
            <w:hideMark/>
          </w:tcPr>
          <w:p w14:paraId="71CFCDC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205</w:t>
            </w:r>
          </w:p>
        </w:tc>
        <w:tc>
          <w:tcPr>
            <w:tcW w:w="0" w:type="auto"/>
            <w:tcMar>
              <w:top w:w="0" w:type="dxa"/>
              <w:left w:w="108" w:type="dxa"/>
              <w:bottom w:w="0" w:type="dxa"/>
              <w:right w:w="101" w:type="dxa"/>
            </w:tcMar>
            <w:vAlign w:val="center"/>
            <w:hideMark/>
          </w:tcPr>
          <w:p w14:paraId="4C165174"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Self-report of vaccination in older adults: SABE study Bogotá, Colombia </w:t>
            </w:r>
          </w:p>
        </w:tc>
        <w:tc>
          <w:tcPr>
            <w:tcW w:w="0" w:type="auto"/>
            <w:tcMar>
              <w:top w:w="0" w:type="dxa"/>
              <w:left w:w="108" w:type="dxa"/>
              <w:bottom w:w="0" w:type="dxa"/>
              <w:right w:w="101" w:type="dxa"/>
            </w:tcMar>
            <w:vAlign w:val="center"/>
            <w:hideMark/>
          </w:tcPr>
          <w:p w14:paraId="0F3F9EA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Cano, 2016</w:t>
            </w:r>
          </w:p>
        </w:tc>
        <w:tc>
          <w:tcPr>
            <w:tcW w:w="0" w:type="auto"/>
            <w:tcMar>
              <w:top w:w="0" w:type="dxa"/>
              <w:left w:w="108" w:type="dxa"/>
              <w:bottom w:w="0" w:type="dxa"/>
              <w:right w:w="101" w:type="dxa"/>
            </w:tcMar>
            <w:vAlign w:val="center"/>
            <w:hideMark/>
          </w:tcPr>
          <w:p w14:paraId="16B5C8B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795B479B" w14:textId="77777777" w:rsidTr="00E10CC6">
        <w:trPr>
          <w:trHeight w:val="780"/>
          <w:jc w:val="center"/>
        </w:trPr>
        <w:tc>
          <w:tcPr>
            <w:tcW w:w="0" w:type="auto"/>
            <w:tcMar>
              <w:top w:w="0" w:type="dxa"/>
              <w:left w:w="101" w:type="dxa"/>
              <w:bottom w:w="0" w:type="dxa"/>
              <w:right w:w="101" w:type="dxa"/>
            </w:tcMar>
            <w:vAlign w:val="center"/>
            <w:hideMark/>
          </w:tcPr>
          <w:p w14:paraId="222D648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206</w:t>
            </w:r>
          </w:p>
        </w:tc>
        <w:tc>
          <w:tcPr>
            <w:tcW w:w="0" w:type="auto"/>
            <w:tcMar>
              <w:top w:w="0" w:type="dxa"/>
              <w:left w:w="108" w:type="dxa"/>
              <w:bottom w:w="0" w:type="dxa"/>
              <w:right w:w="101" w:type="dxa"/>
            </w:tcMar>
            <w:vAlign w:val="center"/>
            <w:hideMark/>
          </w:tcPr>
          <w:p w14:paraId="427627B2"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Health inequalities according to the affiliation regime and events notified to the Surveillance System (Sivigila) in Colombia, 2015</w:t>
            </w:r>
          </w:p>
        </w:tc>
        <w:tc>
          <w:tcPr>
            <w:tcW w:w="0" w:type="auto"/>
            <w:tcMar>
              <w:top w:w="0" w:type="dxa"/>
              <w:left w:w="108" w:type="dxa"/>
              <w:bottom w:w="0" w:type="dxa"/>
              <w:right w:w="101" w:type="dxa"/>
            </w:tcMar>
            <w:vAlign w:val="center"/>
            <w:hideMark/>
          </w:tcPr>
          <w:p w14:paraId="49DDA84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Hilarion, 2019</w:t>
            </w:r>
          </w:p>
        </w:tc>
        <w:tc>
          <w:tcPr>
            <w:tcW w:w="0" w:type="auto"/>
            <w:tcMar>
              <w:top w:w="0" w:type="dxa"/>
              <w:left w:w="108" w:type="dxa"/>
              <w:bottom w:w="0" w:type="dxa"/>
              <w:right w:w="101" w:type="dxa"/>
            </w:tcMar>
            <w:vAlign w:val="center"/>
            <w:hideMark/>
          </w:tcPr>
          <w:p w14:paraId="578DE37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2F2AC6A6" w14:textId="77777777" w:rsidTr="00E10CC6">
        <w:trPr>
          <w:trHeight w:val="780"/>
          <w:jc w:val="center"/>
        </w:trPr>
        <w:tc>
          <w:tcPr>
            <w:tcW w:w="0" w:type="auto"/>
            <w:tcMar>
              <w:top w:w="0" w:type="dxa"/>
              <w:left w:w="101" w:type="dxa"/>
              <w:bottom w:w="0" w:type="dxa"/>
              <w:right w:w="101" w:type="dxa"/>
            </w:tcMar>
            <w:vAlign w:val="center"/>
            <w:hideMark/>
          </w:tcPr>
          <w:p w14:paraId="3DD6F22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207</w:t>
            </w:r>
          </w:p>
        </w:tc>
        <w:tc>
          <w:tcPr>
            <w:tcW w:w="0" w:type="auto"/>
            <w:tcMar>
              <w:top w:w="0" w:type="dxa"/>
              <w:left w:w="108" w:type="dxa"/>
              <w:bottom w:w="0" w:type="dxa"/>
              <w:right w:w="101" w:type="dxa"/>
            </w:tcMar>
            <w:vAlign w:val="center"/>
            <w:hideMark/>
          </w:tcPr>
          <w:p w14:paraId="7A15A5B3"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Health insurance for the poor decreases access to HIV testing in antenatal care: evidence of an unintended effect of health insurance reform in </w:t>
            </w:r>
            <w:r w:rsidRPr="009B3512">
              <w:rPr>
                <w:rFonts w:ascii="Arial" w:eastAsia="Times New Roman" w:hAnsi="Arial" w:cs="Arial"/>
                <w:lang w:val="en-CO" w:eastAsia="en-GB"/>
              </w:rPr>
              <w:br/>
              <w:t>Colombia</w:t>
            </w:r>
          </w:p>
        </w:tc>
        <w:tc>
          <w:tcPr>
            <w:tcW w:w="0" w:type="auto"/>
            <w:tcMar>
              <w:top w:w="0" w:type="dxa"/>
              <w:left w:w="108" w:type="dxa"/>
              <w:bottom w:w="0" w:type="dxa"/>
              <w:right w:w="101" w:type="dxa"/>
            </w:tcMar>
            <w:vAlign w:val="center"/>
            <w:hideMark/>
          </w:tcPr>
          <w:p w14:paraId="2B82BFC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Ettenger, 2014</w:t>
            </w:r>
          </w:p>
        </w:tc>
        <w:tc>
          <w:tcPr>
            <w:tcW w:w="0" w:type="auto"/>
            <w:tcMar>
              <w:top w:w="0" w:type="dxa"/>
              <w:left w:w="108" w:type="dxa"/>
              <w:bottom w:w="0" w:type="dxa"/>
              <w:right w:w="101" w:type="dxa"/>
            </w:tcMar>
            <w:vAlign w:val="center"/>
            <w:hideMark/>
          </w:tcPr>
          <w:p w14:paraId="520544B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0A1BA0C9" w14:textId="77777777" w:rsidTr="00E10CC6">
        <w:trPr>
          <w:trHeight w:val="780"/>
          <w:jc w:val="center"/>
        </w:trPr>
        <w:tc>
          <w:tcPr>
            <w:tcW w:w="0" w:type="auto"/>
            <w:tcMar>
              <w:top w:w="0" w:type="dxa"/>
              <w:left w:w="101" w:type="dxa"/>
              <w:bottom w:w="0" w:type="dxa"/>
              <w:right w:w="101" w:type="dxa"/>
            </w:tcMar>
            <w:vAlign w:val="center"/>
            <w:hideMark/>
          </w:tcPr>
          <w:p w14:paraId="1713ACC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208</w:t>
            </w:r>
          </w:p>
        </w:tc>
        <w:tc>
          <w:tcPr>
            <w:tcW w:w="0" w:type="auto"/>
            <w:tcMar>
              <w:top w:w="0" w:type="dxa"/>
              <w:left w:w="108" w:type="dxa"/>
              <w:bottom w:w="0" w:type="dxa"/>
              <w:right w:w="101" w:type="dxa"/>
            </w:tcMar>
            <w:vAlign w:val="center"/>
            <w:hideMark/>
          </w:tcPr>
          <w:p w14:paraId="68D89D1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Does healthcare regime affiliation influence the clinical outcomes of patients with rheumatoid arthritis</w:t>
            </w:r>
          </w:p>
        </w:tc>
        <w:tc>
          <w:tcPr>
            <w:tcW w:w="0" w:type="auto"/>
            <w:tcMar>
              <w:top w:w="0" w:type="dxa"/>
              <w:left w:w="108" w:type="dxa"/>
              <w:bottom w:w="0" w:type="dxa"/>
              <w:right w:w="101" w:type="dxa"/>
            </w:tcMar>
            <w:vAlign w:val="center"/>
            <w:hideMark/>
          </w:tcPr>
          <w:p w14:paraId="590F882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Barahona, 2020</w:t>
            </w:r>
          </w:p>
        </w:tc>
        <w:tc>
          <w:tcPr>
            <w:tcW w:w="0" w:type="auto"/>
            <w:tcMar>
              <w:top w:w="0" w:type="dxa"/>
              <w:left w:w="108" w:type="dxa"/>
              <w:bottom w:w="0" w:type="dxa"/>
              <w:right w:w="101" w:type="dxa"/>
            </w:tcMar>
            <w:vAlign w:val="center"/>
            <w:hideMark/>
          </w:tcPr>
          <w:p w14:paraId="43E6D8E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601FEC4A" w14:textId="77777777" w:rsidTr="00E10CC6">
        <w:trPr>
          <w:trHeight w:val="780"/>
          <w:jc w:val="center"/>
        </w:trPr>
        <w:tc>
          <w:tcPr>
            <w:tcW w:w="0" w:type="auto"/>
            <w:tcMar>
              <w:top w:w="0" w:type="dxa"/>
              <w:left w:w="101" w:type="dxa"/>
              <w:bottom w:w="0" w:type="dxa"/>
              <w:right w:w="101" w:type="dxa"/>
            </w:tcMar>
            <w:vAlign w:val="center"/>
            <w:hideMark/>
          </w:tcPr>
          <w:p w14:paraId="60F3FF7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209</w:t>
            </w:r>
          </w:p>
        </w:tc>
        <w:tc>
          <w:tcPr>
            <w:tcW w:w="0" w:type="auto"/>
            <w:tcMar>
              <w:top w:w="0" w:type="dxa"/>
              <w:left w:w="108" w:type="dxa"/>
              <w:bottom w:w="0" w:type="dxa"/>
              <w:right w:w="101" w:type="dxa"/>
            </w:tcMar>
            <w:vAlign w:val="center"/>
            <w:hideMark/>
          </w:tcPr>
          <w:p w14:paraId="0B9C0D70"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Measuring socioeconomic and health financing inequality in maternal mortality in Colombia: a mixed methods approach</w:t>
            </w:r>
          </w:p>
        </w:tc>
        <w:tc>
          <w:tcPr>
            <w:tcW w:w="0" w:type="auto"/>
            <w:tcMar>
              <w:top w:w="0" w:type="dxa"/>
              <w:left w:w="108" w:type="dxa"/>
              <w:bottom w:w="0" w:type="dxa"/>
              <w:right w:w="101" w:type="dxa"/>
            </w:tcMar>
            <w:vAlign w:val="center"/>
            <w:hideMark/>
          </w:tcPr>
          <w:p w14:paraId="7CBC44A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Rivillas, 2020</w:t>
            </w:r>
          </w:p>
        </w:tc>
        <w:tc>
          <w:tcPr>
            <w:tcW w:w="0" w:type="auto"/>
            <w:tcMar>
              <w:top w:w="0" w:type="dxa"/>
              <w:left w:w="108" w:type="dxa"/>
              <w:bottom w:w="0" w:type="dxa"/>
              <w:right w:w="101" w:type="dxa"/>
            </w:tcMar>
            <w:vAlign w:val="center"/>
            <w:hideMark/>
          </w:tcPr>
          <w:p w14:paraId="5DA3632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72DB95D6" w14:textId="77777777" w:rsidTr="00E10CC6">
        <w:trPr>
          <w:trHeight w:val="780"/>
          <w:jc w:val="center"/>
        </w:trPr>
        <w:tc>
          <w:tcPr>
            <w:tcW w:w="0" w:type="auto"/>
            <w:tcMar>
              <w:top w:w="0" w:type="dxa"/>
              <w:left w:w="101" w:type="dxa"/>
              <w:bottom w:w="0" w:type="dxa"/>
              <w:right w:w="101" w:type="dxa"/>
            </w:tcMar>
            <w:vAlign w:val="center"/>
            <w:hideMark/>
          </w:tcPr>
          <w:p w14:paraId="43B8CF4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210</w:t>
            </w:r>
          </w:p>
        </w:tc>
        <w:tc>
          <w:tcPr>
            <w:tcW w:w="0" w:type="auto"/>
            <w:tcMar>
              <w:top w:w="0" w:type="dxa"/>
              <w:left w:w="108" w:type="dxa"/>
              <w:bottom w:w="0" w:type="dxa"/>
              <w:right w:w="101" w:type="dxa"/>
            </w:tcMar>
            <w:vAlign w:val="center"/>
            <w:hideMark/>
          </w:tcPr>
          <w:p w14:paraId="23F42B43"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Gastric cancer survival and affiliation to health insurance in a middle-income setting</w:t>
            </w:r>
          </w:p>
        </w:tc>
        <w:tc>
          <w:tcPr>
            <w:tcW w:w="0" w:type="auto"/>
            <w:tcMar>
              <w:top w:w="0" w:type="dxa"/>
              <w:left w:w="108" w:type="dxa"/>
              <w:bottom w:w="0" w:type="dxa"/>
              <w:right w:w="101" w:type="dxa"/>
            </w:tcMar>
            <w:vAlign w:val="center"/>
            <w:hideMark/>
          </w:tcPr>
          <w:p w14:paraId="692C6EB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Devries, 2015</w:t>
            </w:r>
          </w:p>
        </w:tc>
        <w:tc>
          <w:tcPr>
            <w:tcW w:w="0" w:type="auto"/>
            <w:tcMar>
              <w:top w:w="0" w:type="dxa"/>
              <w:left w:w="108" w:type="dxa"/>
              <w:bottom w:w="0" w:type="dxa"/>
              <w:right w:w="101" w:type="dxa"/>
            </w:tcMar>
            <w:vAlign w:val="center"/>
            <w:hideMark/>
          </w:tcPr>
          <w:p w14:paraId="68A090B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11ED7445" w14:textId="77777777" w:rsidTr="00E10CC6">
        <w:trPr>
          <w:trHeight w:val="780"/>
          <w:jc w:val="center"/>
        </w:trPr>
        <w:tc>
          <w:tcPr>
            <w:tcW w:w="0" w:type="auto"/>
            <w:tcMar>
              <w:top w:w="0" w:type="dxa"/>
              <w:left w:w="101" w:type="dxa"/>
              <w:bottom w:w="0" w:type="dxa"/>
              <w:right w:w="101" w:type="dxa"/>
            </w:tcMar>
            <w:vAlign w:val="center"/>
            <w:hideMark/>
          </w:tcPr>
          <w:p w14:paraId="6D10342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211</w:t>
            </w:r>
          </w:p>
        </w:tc>
        <w:tc>
          <w:tcPr>
            <w:tcW w:w="0" w:type="auto"/>
            <w:tcMar>
              <w:top w:w="0" w:type="dxa"/>
              <w:left w:w="108" w:type="dxa"/>
              <w:bottom w:w="0" w:type="dxa"/>
              <w:right w:w="101" w:type="dxa"/>
            </w:tcMar>
            <w:vAlign w:val="center"/>
            <w:hideMark/>
          </w:tcPr>
          <w:p w14:paraId="21AD3D9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Knowledge, practices and entomological aspects of dengue in Medellín, Colombia: a comparative study </w:t>
            </w:r>
            <w:r w:rsidRPr="009B3512">
              <w:rPr>
                <w:rFonts w:ascii="Arial" w:eastAsia="Times New Roman" w:hAnsi="Arial" w:cs="Arial"/>
                <w:lang w:val="en-CO" w:eastAsia="en-GB"/>
              </w:rPr>
              <w:br/>
              <w:t>between neighborhoods with high and low incidence</w:t>
            </w:r>
          </w:p>
        </w:tc>
        <w:tc>
          <w:tcPr>
            <w:tcW w:w="0" w:type="auto"/>
            <w:tcMar>
              <w:top w:w="0" w:type="dxa"/>
              <w:left w:w="108" w:type="dxa"/>
              <w:bottom w:w="0" w:type="dxa"/>
              <w:right w:w="101" w:type="dxa"/>
            </w:tcMar>
            <w:vAlign w:val="center"/>
            <w:hideMark/>
          </w:tcPr>
          <w:p w14:paraId="0E20B51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Ortiz, 2018</w:t>
            </w:r>
          </w:p>
        </w:tc>
        <w:tc>
          <w:tcPr>
            <w:tcW w:w="0" w:type="auto"/>
            <w:tcMar>
              <w:top w:w="0" w:type="dxa"/>
              <w:left w:w="108" w:type="dxa"/>
              <w:bottom w:w="0" w:type="dxa"/>
              <w:right w:w="101" w:type="dxa"/>
            </w:tcMar>
            <w:vAlign w:val="center"/>
            <w:hideMark/>
          </w:tcPr>
          <w:p w14:paraId="17CF975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76563F3D" w14:textId="77777777" w:rsidTr="00E10CC6">
        <w:trPr>
          <w:trHeight w:val="780"/>
          <w:jc w:val="center"/>
        </w:trPr>
        <w:tc>
          <w:tcPr>
            <w:tcW w:w="0" w:type="auto"/>
            <w:tcMar>
              <w:top w:w="0" w:type="dxa"/>
              <w:left w:w="101" w:type="dxa"/>
              <w:bottom w:w="0" w:type="dxa"/>
              <w:right w:w="101" w:type="dxa"/>
            </w:tcMar>
            <w:vAlign w:val="center"/>
            <w:hideMark/>
          </w:tcPr>
          <w:p w14:paraId="5D922D1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lastRenderedPageBreak/>
              <w:t>212</w:t>
            </w:r>
          </w:p>
        </w:tc>
        <w:tc>
          <w:tcPr>
            <w:tcW w:w="0" w:type="auto"/>
            <w:tcMar>
              <w:top w:w="0" w:type="dxa"/>
              <w:left w:w="108" w:type="dxa"/>
              <w:bottom w:w="0" w:type="dxa"/>
              <w:right w:w="101" w:type="dxa"/>
            </w:tcMar>
            <w:vAlign w:val="center"/>
            <w:hideMark/>
          </w:tcPr>
          <w:p w14:paraId="4BD9BEA0"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Contribution of Health Care Coverage in Cervical Cancer Screening Follow-Up</w:t>
            </w:r>
          </w:p>
        </w:tc>
        <w:tc>
          <w:tcPr>
            <w:tcW w:w="0" w:type="auto"/>
            <w:tcMar>
              <w:top w:w="0" w:type="dxa"/>
              <w:left w:w="108" w:type="dxa"/>
              <w:bottom w:w="0" w:type="dxa"/>
              <w:right w:w="101" w:type="dxa"/>
            </w:tcMar>
            <w:vAlign w:val="center"/>
            <w:hideMark/>
          </w:tcPr>
          <w:p w14:paraId="7B72DB1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Garces-Palacios, 2010</w:t>
            </w:r>
          </w:p>
        </w:tc>
        <w:tc>
          <w:tcPr>
            <w:tcW w:w="0" w:type="auto"/>
            <w:tcMar>
              <w:top w:w="0" w:type="dxa"/>
              <w:left w:w="108" w:type="dxa"/>
              <w:bottom w:w="0" w:type="dxa"/>
              <w:right w:w="101" w:type="dxa"/>
            </w:tcMar>
            <w:vAlign w:val="center"/>
            <w:hideMark/>
          </w:tcPr>
          <w:p w14:paraId="004BC87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1DACD35B" w14:textId="77777777" w:rsidTr="00E10CC6">
        <w:trPr>
          <w:trHeight w:val="780"/>
          <w:jc w:val="center"/>
        </w:trPr>
        <w:tc>
          <w:tcPr>
            <w:tcW w:w="0" w:type="auto"/>
            <w:tcMar>
              <w:top w:w="0" w:type="dxa"/>
              <w:left w:w="101" w:type="dxa"/>
              <w:bottom w:w="0" w:type="dxa"/>
              <w:right w:w="101" w:type="dxa"/>
            </w:tcMar>
            <w:vAlign w:val="center"/>
            <w:hideMark/>
          </w:tcPr>
          <w:p w14:paraId="65C5085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213</w:t>
            </w:r>
          </w:p>
        </w:tc>
        <w:tc>
          <w:tcPr>
            <w:tcW w:w="0" w:type="auto"/>
            <w:tcMar>
              <w:top w:w="0" w:type="dxa"/>
              <w:left w:w="108" w:type="dxa"/>
              <w:bottom w:w="0" w:type="dxa"/>
              <w:right w:w="101" w:type="dxa"/>
            </w:tcMar>
            <w:vAlign w:val="center"/>
            <w:hideMark/>
          </w:tcPr>
          <w:p w14:paraId="52DDB929"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Health care and maternal morbidity and mortality: a hospital-based case-control study in two regions of Colombia (Bogotá and Antioquia), 2009-2011</w:t>
            </w:r>
          </w:p>
        </w:tc>
        <w:tc>
          <w:tcPr>
            <w:tcW w:w="0" w:type="auto"/>
            <w:tcMar>
              <w:top w:w="0" w:type="dxa"/>
              <w:left w:w="108" w:type="dxa"/>
              <w:bottom w:w="0" w:type="dxa"/>
              <w:right w:w="101" w:type="dxa"/>
            </w:tcMar>
            <w:vAlign w:val="center"/>
            <w:hideMark/>
          </w:tcPr>
          <w:p w14:paraId="1F1545A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Yepes, 2016</w:t>
            </w:r>
          </w:p>
        </w:tc>
        <w:tc>
          <w:tcPr>
            <w:tcW w:w="0" w:type="auto"/>
            <w:tcMar>
              <w:top w:w="0" w:type="dxa"/>
              <w:left w:w="108" w:type="dxa"/>
              <w:bottom w:w="0" w:type="dxa"/>
              <w:right w:w="101" w:type="dxa"/>
            </w:tcMar>
            <w:vAlign w:val="center"/>
            <w:hideMark/>
          </w:tcPr>
          <w:p w14:paraId="0E1D861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7F46E072" w14:textId="77777777" w:rsidTr="00E10CC6">
        <w:trPr>
          <w:trHeight w:val="780"/>
          <w:jc w:val="center"/>
        </w:trPr>
        <w:tc>
          <w:tcPr>
            <w:tcW w:w="0" w:type="auto"/>
            <w:tcMar>
              <w:top w:w="0" w:type="dxa"/>
              <w:left w:w="101" w:type="dxa"/>
              <w:bottom w:w="0" w:type="dxa"/>
              <w:right w:w="101" w:type="dxa"/>
            </w:tcMar>
            <w:vAlign w:val="center"/>
            <w:hideMark/>
          </w:tcPr>
          <w:p w14:paraId="0A34FEB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214</w:t>
            </w:r>
          </w:p>
        </w:tc>
        <w:tc>
          <w:tcPr>
            <w:tcW w:w="0" w:type="auto"/>
            <w:tcMar>
              <w:top w:w="0" w:type="dxa"/>
              <w:left w:w="108" w:type="dxa"/>
              <w:bottom w:w="0" w:type="dxa"/>
              <w:right w:w="101" w:type="dxa"/>
            </w:tcMar>
            <w:vAlign w:val="center"/>
            <w:hideMark/>
          </w:tcPr>
          <w:p w14:paraId="2E1D4060"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Study and clinical management of minors living with pulmonary tuberculosis patients, Medellín 2010-2011</w:t>
            </w:r>
          </w:p>
        </w:tc>
        <w:tc>
          <w:tcPr>
            <w:tcW w:w="0" w:type="auto"/>
            <w:tcMar>
              <w:top w:w="0" w:type="dxa"/>
              <w:left w:w="108" w:type="dxa"/>
              <w:bottom w:w="0" w:type="dxa"/>
              <w:right w:w="101" w:type="dxa"/>
            </w:tcMar>
            <w:vAlign w:val="center"/>
            <w:hideMark/>
          </w:tcPr>
          <w:p w14:paraId="333B60B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Benjumea, 2015</w:t>
            </w:r>
          </w:p>
        </w:tc>
        <w:tc>
          <w:tcPr>
            <w:tcW w:w="0" w:type="auto"/>
            <w:tcMar>
              <w:top w:w="0" w:type="dxa"/>
              <w:left w:w="108" w:type="dxa"/>
              <w:bottom w:w="0" w:type="dxa"/>
              <w:right w:w="101" w:type="dxa"/>
            </w:tcMar>
            <w:vAlign w:val="center"/>
            <w:hideMark/>
          </w:tcPr>
          <w:p w14:paraId="07F93A8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717FE0A8" w14:textId="77777777" w:rsidTr="00E10CC6">
        <w:trPr>
          <w:trHeight w:val="780"/>
          <w:jc w:val="center"/>
        </w:trPr>
        <w:tc>
          <w:tcPr>
            <w:tcW w:w="0" w:type="auto"/>
            <w:tcMar>
              <w:top w:w="0" w:type="dxa"/>
              <w:left w:w="101" w:type="dxa"/>
              <w:bottom w:w="0" w:type="dxa"/>
              <w:right w:w="101" w:type="dxa"/>
            </w:tcMar>
            <w:vAlign w:val="center"/>
            <w:hideMark/>
          </w:tcPr>
          <w:p w14:paraId="5D1D775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215</w:t>
            </w:r>
          </w:p>
        </w:tc>
        <w:tc>
          <w:tcPr>
            <w:tcW w:w="0" w:type="auto"/>
            <w:tcMar>
              <w:top w:w="0" w:type="dxa"/>
              <w:left w:w="108" w:type="dxa"/>
              <w:bottom w:w="0" w:type="dxa"/>
              <w:right w:w="101" w:type="dxa"/>
            </w:tcMar>
            <w:vAlign w:val="center"/>
            <w:hideMark/>
          </w:tcPr>
          <w:p w14:paraId="4E781D3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Social position, gender role, and treatment adherence among Colombian women living with HIV / AIDS: social determinants of health approach</w:t>
            </w:r>
          </w:p>
        </w:tc>
        <w:tc>
          <w:tcPr>
            <w:tcW w:w="0" w:type="auto"/>
            <w:tcMar>
              <w:top w:w="0" w:type="dxa"/>
              <w:left w:w="108" w:type="dxa"/>
              <w:bottom w:w="0" w:type="dxa"/>
              <w:right w:w="101" w:type="dxa"/>
            </w:tcMar>
            <w:vAlign w:val="center"/>
            <w:hideMark/>
          </w:tcPr>
          <w:p w14:paraId="7106CF2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Arrivillaga, 2009</w:t>
            </w:r>
          </w:p>
        </w:tc>
        <w:tc>
          <w:tcPr>
            <w:tcW w:w="0" w:type="auto"/>
            <w:tcMar>
              <w:top w:w="0" w:type="dxa"/>
              <w:left w:w="108" w:type="dxa"/>
              <w:bottom w:w="0" w:type="dxa"/>
              <w:right w:w="101" w:type="dxa"/>
            </w:tcMar>
            <w:vAlign w:val="center"/>
            <w:hideMark/>
          </w:tcPr>
          <w:p w14:paraId="2D46002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47800043" w14:textId="77777777" w:rsidTr="00E10CC6">
        <w:trPr>
          <w:trHeight w:val="780"/>
          <w:jc w:val="center"/>
        </w:trPr>
        <w:tc>
          <w:tcPr>
            <w:tcW w:w="0" w:type="auto"/>
            <w:tcMar>
              <w:top w:w="0" w:type="dxa"/>
              <w:left w:w="101" w:type="dxa"/>
              <w:bottom w:w="0" w:type="dxa"/>
              <w:right w:w="101" w:type="dxa"/>
            </w:tcMar>
            <w:vAlign w:val="center"/>
            <w:hideMark/>
          </w:tcPr>
          <w:p w14:paraId="51DA71B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216</w:t>
            </w:r>
          </w:p>
        </w:tc>
        <w:tc>
          <w:tcPr>
            <w:tcW w:w="0" w:type="auto"/>
            <w:tcMar>
              <w:top w:w="0" w:type="dxa"/>
              <w:left w:w="108" w:type="dxa"/>
              <w:bottom w:w="0" w:type="dxa"/>
              <w:right w:w="101" w:type="dxa"/>
            </w:tcMar>
            <w:vAlign w:val="center"/>
            <w:hideMark/>
          </w:tcPr>
          <w:p w14:paraId="444A17EE"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Prevalence of caries and COP index in 12-year-old school population of the municipality of Copacabana 2013-2014 TT - Caries </w:t>
            </w:r>
          </w:p>
        </w:tc>
        <w:tc>
          <w:tcPr>
            <w:tcW w:w="0" w:type="auto"/>
            <w:tcMar>
              <w:top w:w="0" w:type="dxa"/>
              <w:left w:w="108" w:type="dxa"/>
              <w:bottom w:w="0" w:type="dxa"/>
              <w:right w:w="101" w:type="dxa"/>
            </w:tcMar>
            <w:vAlign w:val="center"/>
            <w:hideMark/>
          </w:tcPr>
          <w:p w14:paraId="6984EF1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Osorio, 2015</w:t>
            </w:r>
          </w:p>
        </w:tc>
        <w:tc>
          <w:tcPr>
            <w:tcW w:w="0" w:type="auto"/>
            <w:tcMar>
              <w:top w:w="0" w:type="dxa"/>
              <w:left w:w="108" w:type="dxa"/>
              <w:bottom w:w="0" w:type="dxa"/>
              <w:right w:w="101" w:type="dxa"/>
            </w:tcMar>
            <w:vAlign w:val="center"/>
            <w:hideMark/>
          </w:tcPr>
          <w:p w14:paraId="2BD5E35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5C2DA85E" w14:textId="77777777" w:rsidTr="00E10CC6">
        <w:trPr>
          <w:trHeight w:val="780"/>
          <w:jc w:val="center"/>
        </w:trPr>
        <w:tc>
          <w:tcPr>
            <w:tcW w:w="0" w:type="auto"/>
            <w:tcMar>
              <w:top w:w="0" w:type="dxa"/>
              <w:left w:w="101" w:type="dxa"/>
              <w:bottom w:w="0" w:type="dxa"/>
              <w:right w:w="101" w:type="dxa"/>
            </w:tcMar>
            <w:vAlign w:val="center"/>
            <w:hideMark/>
          </w:tcPr>
          <w:p w14:paraId="1496DAE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217</w:t>
            </w:r>
          </w:p>
        </w:tc>
        <w:tc>
          <w:tcPr>
            <w:tcW w:w="0" w:type="auto"/>
            <w:tcMar>
              <w:top w:w="0" w:type="dxa"/>
              <w:left w:w="108" w:type="dxa"/>
              <w:bottom w:w="0" w:type="dxa"/>
              <w:right w:w="101" w:type="dxa"/>
            </w:tcMar>
            <w:vAlign w:val="center"/>
            <w:hideMark/>
          </w:tcPr>
          <w:p w14:paraId="7A581A6A"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Equity in the use of health services in the General System of Social Security in Health in Colombia</w:t>
            </w:r>
          </w:p>
        </w:tc>
        <w:tc>
          <w:tcPr>
            <w:tcW w:w="0" w:type="auto"/>
            <w:tcMar>
              <w:top w:w="0" w:type="dxa"/>
              <w:left w:w="108" w:type="dxa"/>
              <w:bottom w:w="0" w:type="dxa"/>
              <w:right w:w="101" w:type="dxa"/>
            </w:tcMar>
            <w:vAlign w:val="center"/>
            <w:hideMark/>
          </w:tcPr>
          <w:p w14:paraId="20FA608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Heads, 2011</w:t>
            </w:r>
          </w:p>
        </w:tc>
        <w:tc>
          <w:tcPr>
            <w:tcW w:w="0" w:type="auto"/>
            <w:tcMar>
              <w:top w:w="0" w:type="dxa"/>
              <w:left w:w="108" w:type="dxa"/>
              <w:bottom w:w="0" w:type="dxa"/>
              <w:right w:w="101" w:type="dxa"/>
            </w:tcMar>
            <w:vAlign w:val="center"/>
            <w:hideMark/>
          </w:tcPr>
          <w:p w14:paraId="4056C76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w:t>
            </w:r>
          </w:p>
        </w:tc>
      </w:tr>
      <w:tr w:rsidR="00E10CC6" w:rsidRPr="009B3512" w14:paraId="1E5EC458" w14:textId="77777777" w:rsidTr="00E10CC6">
        <w:trPr>
          <w:trHeight w:val="780"/>
          <w:jc w:val="center"/>
        </w:trPr>
        <w:tc>
          <w:tcPr>
            <w:tcW w:w="0" w:type="auto"/>
            <w:tcMar>
              <w:top w:w="0" w:type="dxa"/>
              <w:left w:w="101" w:type="dxa"/>
              <w:bottom w:w="0" w:type="dxa"/>
              <w:right w:w="101" w:type="dxa"/>
            </w:tcMar>
            <w:vAlign w:val="center"/>
            <w:hideMark/>
          </w:tcPr>
          <w:p w14:paraId="5EA0FD1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218</w:t>
            </w:r>
          </w:p>
        </w:tc>
        <w:tc>
          <w:tcPr>
            <w:tcW w:w="0" w:type="auto"/>
            <w:tcMar>
              <w:top w:w="0" w:type="dxa"/>
              <w:left w:w="108" w:type="dxa"/>
              <w:bottom w:w="0" w:type="dxa"/>
              <w:right w:w="101" w:type="dxa"/>
            </w:tcMar>
            <w:vAlign w:val="center"/>
            <w:hideMark/>
          </w:tcPr>
          <w:p w14:paraId="6119EDC9"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Access to drinking water, environmental protection and child intestinal parasitism in El Codito. Bogota Colombia</w:t>
            </w:r>
          </w:p>
        </w:tc>
        <w:tc>
          <w:tcPr>
            <w:tcW w:w="0" w:type="auto"/>
            <w:tcMar>
              <w:top w:w="0" w:type="dxa"/>
              <w:left w:w="108" w:type="dxa"/>
              <w:bottom w:w="0" w:type="dxa"/>
              <w:right w:w="101" w:type="dxa"/>
            </w:tcMar>
            <w:vAlign w:val="center"/>
            <w:hideMark/>
          </w:tcPr>
          <w:p w14:paraId="3AC42C1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Finzón-Rondon, 2019</w:t>
            </w:r>
          </w:p>
        </w:tc>
        <w:tc>
          <w:tcPr>
            <w:tcW w:w="0" w:type="auto"/>
            <w:tcMar>
              <w:top w:w="0" w:type="dxa"/>
              <w:left w:w="108" w:type="dxa"/>
              <w:bottom w:w="0" w:type="dxa"/>
              <w:right w:w="101" w:type="dxa"/>
            </w:tcMar>
            <w:vAlign w:val="center"/>
            <w:hideMark/>
          </w:tcPr>
          <w:p w14:paraId="12DC095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76F6F389" w14:textId="77777777" w:rsidTr="00E10CC6">
        <w:trPr>
          <w:trHeight w:val="780"/>
          <w:jc w:val="center"/>
        </w:trPr>
        <w:tc>
          <w:tcPr>
            <w:tcW w:w="0" w:type="auto"/>
            <w:tcMar>
              <w:top w:w="0" w:type="dxa"/>
              <w:left w:w="101" w:type="dxa"/>
              <w:bottom w:w="0" w:type="dxa"/>
              <w:right w:w="101" w:type="dxa"/>
            </w:tcMar>
            <w:vAlign w:val="center"/>
            <w:hideMark/>
          </w:tcPr>
          <w:p w14:paraId="349F1BD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219</w:t>
            </w:r>
          </w:p>
        </w:tc>
        <w:tc>
          <w:tcPr>
            <w:tcW w:w="0" w:type="auto"/>
            <w:tcMar>
              <w:top w:w="0" w:type="dxa"/>
              <w:left w:w="108" w:type="dxa"/>
              <w:bottom w:w="0" w:type="dxa"/>
              <w:right w:w="101" w:type="dxa"/>
            </w:tcMar>
            <w:vAlign w:val="center"/>
            <w:hideMark/>
          </w:tcPr>
          <w:p w14:paraId="56FCDA74"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Characterization of perinatal mortality in manizales, Colombia, 2009-2012  </w:t>
            </w:r>
          </w:p>
        </w:tc>
        <w:tc>
          <w:tcPr>
            <w:tcW w:w="0" w:type="auto"/>
            <w:tcMar>
              <w:top w:w="0" w:type="dxa"/>
              <w:left w:w="108" w:type="dxa"/>
              <w:bottom w:w="0" w:type="dxa"/>
              <w:right w:w="101" w:type="dxa"/>
            </w:tcMar>
            <w:vAlign w:val="center"/>
            <w:hideMark/>
          </w:tcPr>
          <w:p w14:paraId="3D5586E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Cortez, 2014</w:t>
            </w:r>
          </w:p>
        </w:tc>
        <w:tc>
          <w:tcPr>
            <w:tcW w:w="0" w:type="auto"/>
            <w:tcMar>
              <w:top w:w="0" w:type="dxa"/>
              <w:left w:w="108" w:type="dxa"/>
              <w:bottom w:w="0" w:type="dxa"/>
              <w:right w:w="101" w:type="dxa"/>
            </w:tcMar>
            <w:vAlign w:val="center"/>
            <w:hideMark/>
          </w:tcPr>
          <w:p w14:paraId="15263CC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045C315B" w14:textId="77777777" w:rsidTr="00E10CC6">
        <w:trPr>
          <w:trHeight w:val="780"/>
          <w:jc w:val="center"/>
        </w:trPr>
        <w:tc>
          <w:tcPr>
            <w:tcW w:w="0" w:type="auto"/>
            <w:tcMar>
              <w:top w:w="0" w:type="dxa"/>
              <w:left w:w="101" w:type="dxa"/>
              <w:bottom w:w="0" w:type="dxa"/>
              <w:right w:w="101" w:type="dxa"/>
            </w:tcMar>
            <w:vAlign w:val="center"/>
            <w:hideMark/>
          </w:tcPr>
          <w:p w14:paraId="7AE9CD0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220</w:t>
            </w:r>
          </w:p>
        </w:tc>
        <w:tc>
          <w:tcPr>
            <w:tcW w:w="0" w:type="auto"/>
            <w:tcMar>
              <w:top w:w="0" w:type="dxa"/>
              <w:left w:w="108" w:type="dxa"/>
              <w:bottom w:w="0" w:type="dxa"/>
              <w:right w:w="101" w:type="dxa"/>
            </w:tcMar>
            <w:vAlign w:val="center"/>
            <w:hideMark/>
          </w:tcPr>
          <w:p w14:paraId="766B3B90"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Vaccination coverage in Valle del Cauca, 2002</w:t>
            </w:r>
          </w:p>
        </w:tc>
        <w:tc>
          <w:tcPr>
            <w:tcW w:w="0" w:type="auto"/>
            <w:tcMar>
              <w:top w:w="0" w:type="dxa"/>
              <w:left w:w="108" w:type="dxa"/>
              <w:bottom w:w="0" w:type="dxa"/>
              <w:right w:w="101" w:type="dxa"/>
            </w:tcMar>
            <w:vAlign w:val="center"/>
            <w:hideMark/>
          </w:tcPr>
          <w:p w14:paraId="0AD9022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Cruz, 2003</w:t>
            </w:r>
          </w:p>
        </w:tc>
        <w:tc>
          <w:tcPr>
            <w:tcW w:w="0" w:type="auto"/>
            <w:tcMar>
              <w:top w:w="0" w:type="dxa"/>
              <w:left w:w="108" w:type="dxa"/>
              <w:bottom w:w="0" w:type="dxa"/>
              <w:right w:w="101" w:type="dxa"/>
            </w:tcMar>
            <w:vAlign w:val="center"/>
            <w:hideMark/>
          </w:tcPr>
          <w:p w14:paraId="4234F30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4FCDCAC6" w14:textId="77777777" w:rsidTr="00E10CC6">
        <w:trPr>
          <w:trHeight w:val="780"/>
          <w:jc w:val="center"/>
        </w:trPr>
        <w:tc>
          <w:tcPr>
            <w:tcW w:w="0" w:type="auto"/>
            <w:tcMar>
              <w:top w:w="0" w:type="dxa"/>
              <w:left w:w="101" w:type="dxa"/>
              <w:bottom w:w="0" w:type="dxa"/>
              <w:right w:w="101" w:type="dxa"/>
            </w:tcMar>
            <w:vAlign w:val="center"/>
            <w:hideMark/>
          </w:tcPr>
          <w:p w14:paraId="5FDE336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221</w:t>
            </w:r>
          </w:p>
        </w:tc>
        <w:tc>
          <w:tcPr>
            <w:tcW w:w="0" w:type="auto"/>
            <w:tcMar>
              <w:top w:w="0" w:type="dxa"/>
              <w:left w:w="108" w:type="dxa"/>
              <w:bottom w:w="0" w:type="dxa"/>
              <w:right w:w="101" w:type="dxa"/>
            </w:tcMar>
            <w:vAlign w:val="center"/>
            <w:hideMark/>
          </w:tcPr>
          <w:p w14:paraId="6A677506"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Equity in the Detection of Breast Cancer in Colombia</w:t>
            </w:r>
          </w:p>
        </w:tc>
        <w:tc>
          <w:tcPr>
            <w:tcW w:w="0" w:type="auto"/>
            <w:tcMar>
              <w:top w:w="0" w:type="dxa"/>
              <w:left w:w="108" w:type="dxa"/>
              <w:bottom w:w="0" w:type="dxa"/>
              <w:right w:w="101" w:type="dxa"/>
            </w:tcMar>
            <w:vAlign w:val="center"/>
            <w:hideMark/>
          </w:tcPr>
          <w:p w14:paraId="1E01494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Charry, 2008</w:t>
            </w:r>
          </w:p>
        </w:tc>
        <w:tc>
          <w:tcPr>
            <w:tcW w:w="0" w:type="auto"/>
            <w:tcMar>
              <w:top w:w="0" w:type="dxa"/>
              <w:left w:w="108" w:type="dxa"/>
              <w:bottom w:w="0" w:type="dxa"/>
              <w:right w:w="101" w:type="dxa"/>
            </w:tcMar>
            <w:vAlign w:val="center"/>
            <w:hideMark/>
          </w:tcPr>
          <w:p w14:paraId="3264604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43575B5C" w14:textId="77777777" w:rsidTr="00E10CC6">
        <w:trPr>
          <w:trHeight w:val="780"/>
          <w:jc w:val="center"/>
        </w:trPr>
        <w:tc>
          <w:tcPr>
            <w:tcW w:w="0" w:type="auto"/>
            <w:tcMar>
              <w:top w:w="0" w:type="dxa"/>
              <w:left w:w="101" w:type="dxa"/>
              <w:bottom w:w="0" w:type="dxa"/>
              <w:right w:w="101" w:type="dxa"/>
            </w:tcMar>
            <w:vAlign w:val="center"/>
            <w:hideMark/>
          </w:tcPr>
          <w:p w14:paraId="24E8DF0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222</w:t>
            </w:r>
          </w:p>
        </w:tc>
        <w:tc>
          <w:tcPr>
            <w:tcW w:w="0" w:type="auto"/>
            <w:tcMar>
              <w:top w:w="0" w:type="dxa"/>
              <w:left w:w="108" w:type="dxa"/>
              <w:bottom w:w="0" w:type="dxa"/>
              <w:right w:w="101" w:type="dxa"/>
            </w:tcMar>
            <w:vAlign w:val="center"/>
            <w:hideMark/>
          </w:tcPr>
          <w:p w14:paraId="14BFF15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Characterization of congenital and gestational syphilis in Caldas, Colombia</w:t>
            </w:r>
          </w:p>
        </w:tc>
        <w:tc>
          <w:tcPr>
            <w:tcW w:w="0" w:type="auto"/>
            <w:tcMar>
              <w:top w:w="0" w:type="dxa"/>
              <w:left w:w="108" w:type="dxa"/>
              <w:bottom w:w="0" w:type="dxa"/>
              <w:right w:w="101" w:type="dxa"/>
            </w:tcMar>
            <w:vAlign w:val="center"/>
            <w:hideMark/>
          </w:tcPr>
          <w:p w14:paraId="229B925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Agudelo, 2016</w:t>
            </w:r>
          </w:p>
        </w:tc>
        <w:tc>
          <w:tcPr>
            <w:tcW w:w="0" w:type="auto"/>
            <w:tcMar>
              <w:top w:w="0" w:type="dxa"/>
              <w:left w:w="108" w:type="dxa"/>
              <w:bottom w:w="0" w:type="dxa"/>
              <w:right w:w="101" w:type="dxa"/>
            </w:tcMar>
            <w:vAlign w:val="center"/>
            <w:hideMark/>
          </w:tcPr>
          <w:p w14:paraId="454A02B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4037043F" w14:textId="77777777" w:rsidTr="00E10CC6">
        <w:trPr>
          <w:trHeight w:val="780"/>
          <w:jc w:val="center"/>
        </w:trPr>
        <w:tc>
          <w:tcPr>
            <w:tcW w:w="0" w:type="auto"/>
            <w:tcMar>
              <w:top w:w="0" w:type="dxa"/>
              <w:left w:w="101" w:type="dxa"/>
              <w:bottom w:w="0" w:type="dxa"/>
              <w:right w:w="101" w:type="dxa"/>
            </w:tcMar>
            <w:vAlign w:val="center"/>
            <w:hideMark/>
          </w:tcPr>
          <w:p w14:paraId="09589E5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223</w:t>
            </w:r>
          </w:p>
        </w:tc>
        <w:tc>
          <w:tcPr>
            <w:tcW w:w="0" w:type="auto"/>
            <w:tcMar>
              <w:top w:w="0" w:type="dxa"/>
              <w:left w:w="108" w:type="dxa"/>
              <w:bottom w:w="0" w:type="dxa"/>
              <w:right w:w="101" w:type="dxa"/>
            </w:tcMar>
            <w:vAlign w:val="center"/>
            <w:hideMark/>
          </w:tcPr>
          <w:p w14:paraId="27BEE86A"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Equity in Access to Health Services in Antioquia, Colombia</w:t>
            </w:r>
          </w:p>
        </w:tc>
        <w:tc>
          <w:tcPr>
            <w:tcW w:w="0" w:type="auto"/>
            <w:tcMar>
              <w:top w:w="0" w:type="dxa"/>
              <w:left w:w="108" w:type="dxa"/>
              <w:bottom w:w="0" w:type="dxa"/>
              <w:right w:w="101" w:type="dxa"/>
            </w:tcMar>
            <w:vAlign w:val="center"/>
            <w:hideMark/>
          </w:tcPr>
          <w:p w14:paraId="61E6F39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Mejia, 2007</w:t>
            </w:r>
          </w:p>
        </w:tc>
        <w:tc>
          <w:tcPr>
            <w:tcW w:w="0" w:type="auto"/>
            <w:tcMar>
              <w:top w:w="0" w:type="dxa"/>
              <w:left w:w="108" w:type="dxa"/>
              <w:bottom w:w="0" w:type="dxa"/>
              <w:right w:w="101" w:type="dxa"/>
            </w:tcMar>
            <w:vAlign w:val="center"/>
            <w:hideMark/>
          </w:tcPr>
          <w:p w14:paraId="741AB8F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72A4884C" w14:textId="77777777" w:rsidTr="00E10CC6">
        <w:trPr>
          <w:trHeight w:val="780"/>
          <w:jc w:val="center"/>
        </w:trPr>
        <w:tc>
          <w:tcPr>
            <w:tcW w:w="0" w:type="auto"/>
            <w:tcMar>
              <w:top w:w="0" w:type="dxa"/>
              <w:left w:w="101" w:type="dxa"/>
              <w:bottom w:w="0" w:type="dxa"/>
              <w:right w:w="101" w:type="dxa"/>
            </w:tcMar>
            <w:vAlign w:val="center"/>
            <w:hideMark/>
          </w:tcPr>
          <w:p w14:paraId="19AAABF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224</w:t>
            </w:r>
          </w:p>
        </w:tc>
        <w:tc>
          <w:tcPr>
            <w:tcW w:w="0" w:type="auto"/>
            <w:tcMar>
              <w:top w:w="0" w:type="dxa"/>
              <w:left w:w="108" w:type="dxa"/>
              <w:bottom w:w="0" w:type="dxa"/>
              <w:right w:w="101" w:type="dxa"/>
            </w:tcMar>
            <w:vAlign w:val="center"/>
            <w:hideMark/>
          </w:tcPr>
          <w:p w14:paraId="43951793"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Access and satisfaction with curative services: case analysis in affiliated with the contributory regime and affiliated with the subsidized regime in a stratum 2 neighborhood - Cali, Colombia</w:t>
            </w:r>
          </w:p>
        </w:tc>
        <w:tc>
          <w:tcPr>
            <w:tcW w:w="0" w:type="auto"/>
            <w:tcMar>
              <w:top w:w="0" w:type="dxa"/>
              <w:left w:w="108" w:type="dxa"/>
              <w:bottom w:w="0" w:type="dxa"/>
              <w:right w:w="101" w:type="dxa"/>
            </w:tcMar>
            <w:vAlign w:val="center"/>
            <w:hideMark/>
          </w:tcPr>
          <w:p w14:paraId="49B6363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Grajales, 2015</w:t>
            </w:r>
          </w:p>
        </w:tc>
        <w:tc>
          <w:tcPr>
            <w:tcW w:w="0" w:type="auto"/>
            <w:tcMar>
              <w:top w:w="0" w:type="dxa"/>
              <w:left w:w="108" w:type="dxa"/>
              <w:bottom w:w="0" w:type="dxa"/>
              <w:right w:w="101" w:type="dxa"/>
            </w:tcMar>
            <w:vAlign w:val="center"/>
            <w:hideMark/>
          </w:tcPr>
          <w:p w14:paraId="6E4BF28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44815E4A" w14:textId="77777777" w:rsidTr="00E10CC6">
        <w:trPr>
          <w:trHeight w:val="780"/>
          <w:jc w:val="center"/>
        </w:trPr>
        <w:tc>
          <w:tcPr>
            <w:tcW w:w="0" w:type="auto"/>
            <w:tcMar>
              <w:top w:w="0" w:type="dxa"/>
              <w:left w:w="101" w:type="dxa"/>
              <w:bottom w:w="0" w:type="dxa"/>
              <w:right w:w="101" w:type="dxa"/>
            </w:tcMar>
            <w:vAlign w:val="center"/>
            <w:hideMark/>
          </w:tcPr>
          <w:p w14:paraId="2D0DC8A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225</w:t>
            </w:r>
          </w:p>
        </w:tc>
        <w:tc>
          <w:tcPr>
            <w:tcW w:w="0" w:type="auto"/>
            <w:tcMar>
              <w:top w:w="0" w:type="dxa"/>
              <w:left w:w="108" w:type="dxa"/>
              <w:bottom w:w="0" w:type="dxa"/>
              <w:right w:w="101" w:type="dxa"/>
            </w:tcMar>
            <w:vAlign w:val="center"/>
            <w:hideMark/>
          </w:tcPr>
          <w:p w14:paraId="04D801B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Equity in Access to Health Services and Equity in Financing Care in Bogotá</w:t>
            </w:r>
          </w:p>
        </w:tc>
        <w:tc>
          <w:tcPr>
            <w:tcW w:w="0" w:type="auto"/>
            <w:tcMar>
              <w:top w:w="0" w:type="dxa"/>
              <w:left w:w="108" w:type="dxa"/>
              <w:bottom w:w="0" w:type="dxa"/>
              <w:right w:w="101" w:type="dxa"/>
            </w:tcMar>
            <w:vAlign w:val="center"/>
            <w:hideMark/>
          </w:tcPr>
          <w:p w14:paraId="6DC7A3A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Rubio, 2008</w:t>
            </w:r>
          </w:p>
        </w:tc>
        <w:tc>
          <w:tcPr>
            <w:tcW w:w="0" w:type="auto"/>
            <w:tcMar>
              <w:top w:w="0" w:type="dxa"/>
              <w:left w:w="108" w:type="dxa"/>
              <w:bottom w:w="0" w:type="dxa"/>
              <w:right w:w="101" w:type="dxa"/>
            </w:tcMar>
            <w:vAlign w:val="center"/>
            <w:hideMark/>
          </w:tcPr>
          <w:p w14:paraId="1EDDF80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4B81F5FA" w14:textId="77777777" w:rsidTr="00E10CC6">
        <w:trPr>
          <w:trHeight w:val="780"/>
          <w:jc w:val="center"/>
        </w:trPr>
        <w:tc>
          <w:tcPr>
            <w:tcW w:w="0" w:type="auto"/>
            <w:tcMar>
              <w:top w:w="0" w:type="dxa"/>
              <w:left w:w="101" w:type="dxa"/>
              <w:bottom w:w="0" w:type="dxa"/>
              <w:right w:w="101" w:type="dxa"/>
            </w:tcMar>
            <w:vAlign w:val="center"/>
            <w:hideMark/>
          </w:tcPr>
          <w:p w14:paraId="320B21B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226</w:t>
            </w:r>
          </w:p>
        </w:tc>
        <w:tc>
          <w:tcPr>
            <w:tcW w:w="0" w:type="auto"/>
            <w:tcMar>
              <w:top w:w="0" w:type="dxa"/>
              <w:left w:w="108" w:type="dxa"/>
              <w:bottom w:w="0" w:type="dxa"/>
              <w:right w:w="101" w:type="dxa"/>
            </w:tcMar>
            <w:vAlign w:val="center"/>
            <w:hideMark/>
          </w:tcPr>
          <w:p w14:paraId="701A15DE"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Delays in maternal mortality in the department of Santander 2012 to 2015</w:t>
            </w:r>
          </w:p>
        </w:tc>
        <w:tc>
          <w:tcPr>
            <w:tcW w:w="0" w:type="auto"/>
            <w:tcMar>
              <w:top w:w="0" w:type="dxa"/>
              <w:left w:w="108" w:type="dxa"/>
              <w:bottom w:w="0" w:type="dxa"/>
              <w:right w:w="101" w:type="dxa"/>
            </w:tcMar>
            <w:vAlign w:val="center"/>
            <w:hideMark/>
          </w:tcPr>
          <w:p w14:paraId="33C5C70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Álvarez-Sierra, 2020</w:t>
            </w:r>
          </w:p>
        </w:tc>
        <w:tc>
          <w:tcPr>
            <w:tcW w:w="0" w:type="auto"/>
            <w:tcMar>
              <w:top w:w="0" w:type="dxa"/>
              <w:left w:w="108" w:type="dxa"/>
              <w:bottom w:w="0" w:type="dxa"/>
              <w:right w:w="101" w:type="dxa"/>
            </w:tcMar>
            <w:vAlign w:val="center"/>
            <w:hideMark/>
          </w:tcPr>
          <w:p w14:paraId="4572430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7FF28ED6" w14:textId="77777777" w:rsidTr="00E10CC6">
        <w:trPr>
          <w:trHeight w:val="780"/>
          <w:jc w:val="center"/>
        </w:trPr>
        <w:tc>
          <w:tcPr>
            <w:tcW w:w="0" w:type="auto"/>
            <w:tcMar>
              <w:top w:w="0" w:type="dxa"/>
              <w:left w:w="101" w:type="dxa"/>
              <w:bottom w:w="0" w:type="dxa"/>
              <w:right w:w="101" w:type="dxa"/>
            </w:tcMar>
            <w:vAlign w:val="center"/>
            <w:hideMark/>
          </w:tcPr>
          <w:p w14:paraId="53C6458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227</w:t>
            </w:r>
          </w:p>
        </w:tc>
        <w:tc>
          <w:tcPr>
            <w:tcW w:w="0" w:type="auto"/>
            <w:tcMar>
              <w:top w:w="0" w:type="dxa"/>
              <w:left w:w="108" w:type="dxa"/>
              <w:bottom w:w="0" w:type="dxa"/>
              <w:right w:w="101" w:type="dxa"/>
            </w:tcMar>
            <w:vAlign w:val="center"/>
            <w:hideMark/>
          </w:tcPr>
          <w:p w14:paraId="7865E704"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Current situation of migraine in Colombia: analysis based on the health services information system (RIPS)</w:t>
            </w:r>
          </w:p>
        </w:tc>
        <w:tc>
          <w:tcPr>
            <w:tcW w:w="0" w:type="auto"/>
            <w:tcMar>
              <w:top w:w="0" w:type="dxa"/>
              <w:left w:w="108" w:type="dxa"/>
              <w:bottom w:w="0" w:type="dxa"/>
              <w:right w:w="101" w:type="dxa"/>
            </w:tcMar>
            <w:vAlign w:val="center"/>
            <w:hideMark/>
          </w:tcPr>
          <w:p w14:paraId="785C6D4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Afanador Echeverri, 2019</w:t>
            </w:r>
          </w:p>
        </w:tc>
        <w:tc>
          <w:tcPr>
            <w:tcW w:w="0" w:type="auto"/>
            <w:tcMar>
              <w:top w:w="0" w:type="dxa"/>
              <w:left w:w="108" w:type="dxa"/>
              <w:bottom w:w="0" w:type="dxa"/>
              <w:right w:w="101" w:type="dxa"/>
            </w:tcMar>
            <w:vAlign w:val="center"/>
            <w:hideMark/>
          </w:tcPr>
          <w:p w14:paraId="0CD91B2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Abstract</w:t>
            </w:r>
          </w:p>
        </w:tc>
      </w:tr>
      <w:tr w:rsidR="00E10CC6" w:rsidRPr="009B3512" w14:paraId="516FCAA5" w14:textId="77777777" w:rsidTr="00E10CC6">
        <w:trPr>
          <w:trHeight w:val="780"/>
          <w:jc w:val="center"/>
        </w:trPr>
        <w:tc>
          <w:tcPr>
            <w:tcW w:w="0" w:type="auto"/>
            <w:tcMar>
              <w:top w:w="0" w:type="dxa"/>
              <w:left w:w="101" w:type="dxa"/>
              <w:bottom w:w="0" w:type="dxa"/>
              <w:right w:w="101" w:type="dxa"/>
            </w:tcMar>
            <w:vAlign w:val="center"/>
            <w:hideMark/>
          </w:tcPr>
          <w:p w14:paraId="175E9D6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lastRenderedPageBreak/>
              <w:t>228</w:t>
            </w:r>
          </w:p>
        </w:tc>
        <w:tc>
          <w:tcPr>
            <w:tcW w:w="0" w:type="auto"/>
            <w:tcMar>
              <w:top w:w="0" w:type="dxa"/>
              <w:left w:w="108" w:type="dxa"/>
              <w:bottom w:w="0" w:type="dxa"/>
              <w:right w:w="101" w:type="dxa"/>
            </w:tcMar>
            <w:vAlign w:val="center"/>
            <w:hideMark/>
          </w:tcPr>
          <w:p w14:paraId="23C872F9"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Health disparities and gastric cancer survival in Cali, Colombia: A hospital-based study</w:t>
            </w:r>
          </w:p>
        </w:tc>
        <w:tc>
          <w:tcPr>
            <w:tcW w:w="0" w:type="auto"/>
            <w:tcMar>
              <w:top w:w="0" w:type="dxa"/>
              <w:left w:w="108" w:type="dxa"/>
              <w:bottom w:w="0" w:type="dxa"/>
              <w:right w:w="101" w:type="dxa"/>
            </w:tcMar>
            <w:vAlign w:val="center"/>
            <w:hideMark/>
          </w:tcPr>
          <w:p w14:paraId="5BEF810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Parra-Lara, 2019</w:t>
            </w:r>
          </w:p>
        </w:tc>
        <w:tc>
          <w:tcPr>
            <w:tcW w:w="0" w:type="auto"/>
            <w:tcMar>
              <w:top w:w="0" w:type="dxa"/>
              <w:left w:w="108" w:type="dxa"/>
              <w:bottom w:w="0" w:type="dxa"/>
              <w:right w:w="101" w:type="dxa"/>
            </w:tcMar>
            <w:vAlign w:val="center"/>
            <w:hideMark/>
          </w:tcPr>
          <w:p w14:paraId="0E363A8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Abstract</w:t>
            </w:r>
          </w:p>
        </w:tc>
      </w:tr>
      <w:tr w:rsidR="00E10CC6" w:rsidRPr="009B3512" w14:paraId="4A9E3267" w14:textId="77777777" w:rsidTr="00E10CC6">
        <w:trPr>
          <w:trHeight w:val="780"/>
          <w:jc w:val="center"/>
        </w:trPr>
        <w:tc>
          <w:tcPr>
            <w:tcW w:w="0" w:type="auto"/>
            <w:tcMar>
              <w:top w:w="0" w:type="dxa"/>
              <w:left w:w="101" w:type="dxa"/>
              <w:bottom w:w="0" w:type="dxa"/>
              <w:right w:w="101" w:type="dxa"/>
            </w:tcMar>
            <w:vAlign w:val="center"/>
            <w:hideMark/>
          </w:tcPr>
          <w:p w14:paraId="48BDFCF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229</w:t>
            </w:r>
          </w:p>
        </w:tc>
        <w:tc>
          <w:tcPr>
            <w:tcW w:w="0" w:type="auto"/>
            <w:tcMar>
              <w:top w:w="0" w:type="dxa"/>
              <w:left w:w="108" w:type="dxa"/>
              <w:bottom w:w="0" w:type="dxa"/>
              <w:right w:w="101" w:type="dxa"/>
            </w:tcMar>
            <w:vAlign w:val="center"/>
            <w:hideMark/>
          </w:tcPr>
          <w:p w14:paraId="3B9EBEEA"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Evaluation of emotional, social and access </w:t>
            </w:r>
            <w:r w:rsidRPr="009B3512">
              <w:rPr>
                <w:rFonts w:ascii="Arial" w:eastAsia="Times New Roman" w:hAnsi="Arial" w:cs="Arial"/>
                <w:lang w:val="en-CO" w:eastAsia="en-GB"/>
              </w:rPr>
              <w:br/>
              <w:t>needs of patients diagnosed with chronic </w:t>
            </w:r>
            <w:r w:rsidRPr="009B3512">
              <w:rPr>
                <w:rFonts w:ascii="Arial" w:eastAsia="Times New Roman" w:hAnsi="Arial" w:cs="Arial"/>
                <w:lang w:val="en-CO" w:eastAsia="en-GB"/>
              </w:rPr>
              <w:br/>
              <w:t>myeloid leukemia in Colombia.</w:t>
            </w:r>
          </w:p>
        </w:tc>
        <w:tc>
          <w:tcPr>
            <w:tcW w:w="0" w:type="auto"/>
            <w:tcMar>
              <w:top w:w="0" w:type="dxa"/>
              <w:left w:w="108" w:type="dxa"/>
              <w:bottom w:w="0" w:type="dxa"/>
              <w:right w:w="101" w:type="dxa"/>
            </w:tcMar>
            <w:vAlign w:val="center"/>
            <w:hideMark/>
          </w:tcPr>
          <w:p w14:paraId="540EE46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Rocha, 2019</w:t>
            </w:r>
          </w:p>
        </w:tc>
        <w:tc>
          <w:tcPr>
            <w:tcW w:w="0" w:type="auto"/>
            <w:tcMar>
              <w:top w:w="0" w:type="dxa"/>
              <w:left w:w="108" w:type="dxa"/>
              <w:bottom w:w="0" w:type="dxa"/>
              <w:right w:w="101" w:type="dxa"/>
            </w:tcMar>
            <w:vAlign w:val="center"/>
            <w:hideMark/>
          </w:tcPr>
          <w:p w14:paraId="5A5D5BF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Abstract</w:t>
            </w:r>
          </w:p>
        </w:tc>
      </w:tr>
      <w:tr w:rsidR="00E10CC6" w:rsidRPr="009B3512" w14:paraId="5CD2C4F9" w14:textId="77777777" w:rsidTr="00E10CC6">
        <w:trPr>
          <w:trHeight w:val="780"/>
          <w:jc w:val="center"/>
        </w:trPr>
        <w:tc>
          <w:tcPr>
            <w:tcW w:w="0" w:type="auto"/>
            <w:tcMar>
              <w:top w:w="0" w:type="dxa"/>
              <w:left w:w="101" w:type="dxa"/>
              <w:bottom w:w="0" w:type="dxa"/>
              <w:right w:w="101" w:type="dxa"/>
            </w:tcMar>
            <w:vAlign w:val="center"/>
            <w:hideMark/>
          </w:tcPr>
          <w:p w14:paraId="3200762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230</w:t>
            </w:r>
          </w:p>
        </w:tc>
        <w:tc>
          <w:tcPr>
            <w:tcW w:w="0" w:type="auto"/>
            <w:tcMar>
              <w:top w:w="0" w:type="dxa"/>
              <w:left w:w="108" w:type="dxa"/>
              <w:bottom w:w="0" w:type="dxa"/>
              <w:right w:w="101" w:type="dxa"/>
            </w:tcMar>
            <w:vAlign w:val="center"/>
            <w:hideMark/>
          </w:tcPr>
          <w:p w14:paraId="56C2979B"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Decentralization and reform: what is its impact on the incidence of malaria in Colombian municipalities?</w:t>
            </w:r>
          </w:p>
        </w:tc>
        <w:tc>
          <w:tcPr>
            <w:tcW w:w="0" w:type="auto"/>
            <w:tcMar>
              <w:top w:w="0" w:type="dxa"/>
              <w:left w:w="108" w:type="dxa"/>
              <w:bottom w:w="0" w:type="dxa"/>
              <w:right w:w="101" w:type="dxa"/>
            </w:tcMar>
            <w:vAlign w:val="center"/>
            <w:hideMark/>
          </w:tcPr>
          <w:p w14:paraId="023EE76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Borrero, 2012</w:t>
            </w:r>
          </w:p>
        </w:tc>
        <w:tc>
          <w:tcPr>
            <w:tcW w:w="0" w:type="auto"/>
            <w:tcMar>
              <w:top w:w="0" w:type="dxa"/>
              <w:left w:w="108" w:type="dxa"/>
              <w:bottom w:w="0" w:type="dxa"/>
              <w:right w:w="101" w:type="dxa"/>
            </w:tcMar>
            <w:vAlign w:val="center"/>
            <w:hideMark/>
          </w:tcPr>
          <w:p w14:paraId="424143C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5D7A38CC" w14:textId="77777777" w:rsidTr="00E10CC6">
        <w:trPr>
          <w:trHeight w:val="780"/>
          <w:jc w:val="center"/>
        </w:trPr>
        <w:tc>
          <w:tcPr>
            <w:tcW w:w="0" w:type="auto"/>
            <w:tcMar>
              <w:top w:w="0" w:type="dxa"/>
              <w:left w:w="101" w:type="dxa"/>
              <w:bottom w:w="0" w:type="dxa"/>
              <w:right w:w="101" w:type="dxa"/>
            </w:tcMar>
            <w:vAlign w:val="center"/>
            <w:hideMark/>
          </w:tcPr>
          <w:p w14:paraId="1CDB697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231</w:t>
            </w:r>
          </w:p>
        </w:tc>
        <w:tc>
          <w:tcPr>
            <w:tcW w:w="0" w:type="auto"/>
            <w:tcMar>
              <w:top w:w="0" w:type="dxa"/>
              <w:left w:w="108" w:type="dxa"/>
              <w:bottom w:w="0" w:type="dxa"/>
              <w:right w:w="101" w:type="dxa"/>
            </w:tcMar>
            <w:vAlign w:val="center"/>
            <w:hideMark/>
          </w:tcPr>
          <w:p w14:paraId="2869A803"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Access, security and comprehensiveness in the registries of Colombian pregnant women between 2007 and 2009</w:t>
            </w:r>
          </w:p>
        </w:tc>
        <w:tc>
          <w:tcPr>
            <w:tcW w:w="0" w:type="auto"/>
            <w:tcMar>
              <w:top w:w="0" w:type="dxa"/>
              <w:left w:w="108" w:type="dxa"/>
              <w:bottom w:w="0" w:type="dxa"/>
              <w:right w:w="101" w:type="dxa"/>
            </w:tcMar>
            <w:vAlign w:val="center"/>
            <w:hideMark/>
          </w:tcPr>
          <w:p w14:paraId="785F544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Ayala, 2015</w:t>
            </w:r>
          </w:p>
        </w:tc>
        <w:tc>
          <w:tcPr>
            <w:tcW w:w="0" w:type="auto"/>
            <w:tcMar>
              <w:top w:w="0" w:type="dxa"/>
              <w:left w:w="108" w:type="dxa"/>
              <w:bottom w:w="0" w:type="dxa"/>
              <w:right w:w="101" w:type="dxa"/>
            </w:tcMar>
            <w:vAlign w:val="center"/>
            <w:hideMark/>
          </w:tcPr>
          <w:p w14:paraId="7C30214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65719CE5" w14:textId="77777777" w:rsidTr="00E10CC6">
        <w:trPr>
          <w:trHeight w:val="780"/>
          <w:jc w:val="center"/>
        </w:trPr>
        <w:tc>
          <w:tcPr>
            <w:tcW w:w="0" w:type="auto"/>
            <w:tcMar>
              <w:top w:w="0" w:type="dxa"/>
              <w:left w:w="101" w:type="dxa"/>
              <w:bottom w:w="0" w:type="dxa"/>
              <w:right w:w="101" w:type="dxa"/>
            </w:tcMar>
            <w:vAlign w:val="center"/>
            <w:hideMark/>
          </w:tcPr>
          <w:p w14:paraId="34E1E25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232</w:t>
            </w:r>
          </w:p>
        </w:tc>
        <w:tc>
          <w:tcPr>
            <w:tcW w:w="0" w:type="auto"/>
            <w:tcMar>
              <w:top w:w="0" w:type="dxa"/>
              <w:left w:w="108" w:type="dxa"/>
              <w:bottom w:w="0" w:type="dxa"/>
              <w:right w:w="101" w:type="dxa"/>
            </w:tcMar>
            <w:vAlign w:val="center"/>
            <w:hideMark/>
          </w:tcPr>
          <w:p w14:paraId="58B61E71"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Characterization of the patients taken to cesarean section according to the Robson model and exploration of associated factors in pregnant women treated at the San José University Hospital in the city of </w:t>
            </w:r>
            <w:r w:rsidRPr="009B3512">
              <w:rPr>
                <w:rFonts w:ascii="Arial" w:eastAsia="Times New Roman" w:hAnsi="Arial" w:cs="Arial"/>
                <w:lang w:val="en-CO" w:eastAsia="en-GB"/>
              </w:rPr>
              <w:br/>
              <w:t>Popayán-Colombia. January 1, 2016 to June 30, 2016.</w:t>
            </w:r>
          </w:p>
        </w:tc>
        <w:tc>
          <w:tcPr>
            <w:tcW w:w="0" w:type="auto"/>
            <w:tcMar>
              <w:top w:w="0" w:type="dxa"/>
              <w:left w:w="108" w:type="dxa"/>
              <w:bottom w:w="0" w:type="dxa"/>
              <w:right w:w="101" w:type="dxa"/>
            </w:tcMar>
            <w:vAlign w:val="center"/>
            <w:hideMark/>
          </w:tcPr>
          <w:p w14:paraId="5DBABD4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Anaya, 2017</w:t>
            </w:r>
          </w:p>
        </w:tc>
        <w:tc>
          <w:tcPr>
            <w:tcW w:w="0" w:type="auto"/>
            <w:tcMar>
              <w:top w:w="0" w:type="dxa"/>
              <w:left w:w="108" w:type="dxa"/>
              <w:bottom w:w="0" w:type="dxa"/>
              <w:right w:w="101" w:type="dxa"/>
            </w:tcMar>
            <w:vAlign w:val="center"/>
            <w:hideMark/>
          </w:tcPr>
          <w:p w14:paraId="5FFC19A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67FA9358" w14:textId="77777777" w:rsidTr="00E10CC6">
        <w:trPr>
          <w:trHeight w:val="780"/>
          <w:jc w:val="center"/>
        </w:trPr>
        <w:tc>
          <w:tcPr>
            <w:tcW w:w="0" w:type="auto"/>
            <w:tcMar>
              <w:top w:w="0" w:type="dxa"/>
              <w:left w:w="101" w:type="dxa"/>
              <w:bottom w:w="0" w:type="dxa"/>
              <w:right w:w="101" w:type="dxa"/>
            </w:tcMar>
            <w:vAlign w:val="center"/>
            <w:hideMark/>
          </w:tcPr>
          <w:p w14:paraId="529CECF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233</w:t>
            </w:r>
          </w:p>
        </w:tc>
        <w:tc>
          <w:tcPr>
            <w:tcW w:w="0" w:type="auto"/>
            <w:tcMar>
              <w:top w:w="0" w:type="dxa"/>
              <w:left w:w="108" w:type="dxa"/>
              <w:bottom w:w="0" w:type="dxa"/>
              <w:right w:w="101" w:type="dxa"/>
            </w:tcMar>
            <w:vAlign w:val="center"/>
            <w:hideMark/>
          </w:tcPr>
          <w:p w14:paraId="693C59A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Accessibility factors related to perinatal death</w:t>
            </w:r>
          </w:p>
        </w:tc>
        <w:tc>
          <w:tcPr>
            <w:tcW w:w="0" w:type="auto"/>
            <w:tcMar>
              <w:top w:w="0" w:type="dxa"/>
              <w:left w:w="108" w:type="dxa"/>
              <w:bottom w:w="0" w:type="dxa"/>
              <w:right w:w="101" w:type="dxa"/>
            </w:tcMar>
            <w:vAlign w:val="center"/>
            <w:hideMark/>
          </w:tcPr>
          <w:p w14:paraId="4B497C1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Catalan, 2010</w:t>
            </w:r>
          </w:p>
        </w:tc>
        <w:tc>
          <w:tcPr>
            <w:tcW w:w="0" w:type="auto"/>
            <w:tcMar>
              <w:top w:w="0" w:type="dxa"/>
              <w:left w:w="108" w:type="dxa"/>
              <w:bottom w:w="0" w:type="dxa"/>
              <w:right w:w="101" w:type="dxa"/>
            </w:tcMar>
            <w:vAlign w:val="center"/>
            <w:hideMark/>
          </w:tcPr>
          <w:p w14:paraId="5D2B7A2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7A491AE0" w14:textId="77777777" w:rsidTr="00E10CC6">
        <w:trPr>
          <w:trHeight w:val="780"/>
          <w:jc w:val="center"/>
        </w:trPr>
        <w:tc>
          <w:tcPr>
            <w:tcW w:w="0" w:type="auto"/>
            <w:tcMar>
              <w:top w:w="0" w:type="dxa"/>
              <w:left w:w="101" w:type="dxa"/>
              <w:bottom w:w="0" w:type="dxa"/>
              <w:right w:w="101" w:type="dxa"/>
            </w:tcMar>
            <w:vAlign w:val="center"/>
            <w:hideMark/>
          </w:tcPr>
          <w:p w14:paraId="12F37B00" w14:textId="3E01901D" w:rsidR="00E10CC6" w:rsidRPr="009B3512" w:rsidRDefault="00E10CC6" w:rsidP="00E10CC6">
            <w:pPr>
              <w:jc w:val="center"/>
              <w:rPr>
                <w:rFonts w:ascii="Arial" w:eastAsia="Times New Roman" w:hAnsi="Arial" w:cs="Arial"/>
                <w:lang w:eastAsia="en-GB"/>
              </w:rPr>
            </w:pPr>
            <w:r w:rsidRPr="009B3512">
              <w:rPr>
                <w:rFonts w:ascii="Arial" w:eastAsia="Times New Roman" w:hAnsi="Arial" w:cs="Arial"/>
                <w:lang w:eastAsia="en-GB"/>
              </w:rPr>
              <w:t>234</w:t>
            </w:r>
          </w:p>
        </w:tc>
        <w:tc>
          <w:tcPr>
            <w:tcW w:w="0" w:type="auto"/>
            <w:tcMar>
              <w:top w:w="0" w:type="dxa"/>
              <w:left w:w="108" w:type="dxa"/>
              <w:bottom w:w="0" w:type="dxa"/>
              <w:right w:w="101" w:type="dxa"/>
            </w:tcMar>
            <w:vAlign w:val="center"/>
            <w:hideMark/>
          </w:tcPr>
          <w:p w14:paraId="21C27549"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Determinants of the use of different levels of care in the General System of Social Security in Health </w:t>
            </w:r>
            <w:r w:rsidRPr="009B3512">
              <w:rPr>
                <w:rFonts w:ascii="Arial" w:eastAsia="Times New Roman" w:hAnsi="Arial" w:cs="Arial"/>
                <w:lang w:val="en-CO" w:eastAsia="en-GB"/>
              </w:rPr>
              <w:br/>
              <w:t>and the Unified Health System in Colombia and Brazil</w:t>
            </w:r>
          </w:p>
        </w:tc>
        <w:tc>
          <w:tcPr>
            <w:tcW w:w="0" w:type="auto"/>
            <w:tcMar>
              <w:top w:w="0" w:type="dxa"/>
              <w:left w:w="108" w:type="dxa"/>
              <w:bottom w:w="0" w:type="dxa"/>
              <w:right w:w="101" w:type="dxa"/>
            </w:tcMar>
            <w:vAlign w:val="center"/>
            <w:hideMark/>
          </w:tcPr>
          <w:p w14:paraId="3C1A338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Garcia-Subirats, 2014</w:t>
            </w:r>
          </w:p>
        </w:tc>
        <w:tc>
          <w:tcPr>
            <w:tcW w:w="0" w:type="auto"/>
            <w:tcMar>
              <w:top w:w="0" w:type="dxa"/>
              <w:left w:w="108" w:type="dxa"/>
              <w:bottom w:w="0" w:type="dxa"/>
              <w:right w:w="101" w:type="dxa"/>
            </w:tcMar>
            <w:vAlign w:val="center"/>
            <w:hideMark/>
          </w:tcPr>
          <w:p w14:paraId="5437C33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187992E4" w14:textId="77777777" w:rsidTr="00E10CC6">
        <w:trPr>
          <w:trHeight w:val="780"/>
          <w:jc w:val="center"/>
        </w:trPr>
        <w:tc>
          <w:tcPr>
            <w:tcW w:w="0" w:type="auto"/>
            <w:tcMar>
              <w:top w:w="0" w:type="dxa"/>
              <w:left w:w="101" w:type="dxa"/>
              <w:bottom w:w="0" w:type="dxa"/>
              <w:right w:w="101" w:type="dxa"/>
            </w:tcMar>
            <w:vAlign w:val="center"/>
            <w:hideMark/>
          </w:tcPr>
          <w:p w14:paraId="6198F3E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235</w:t>
            </w:r>
          </w:p>
        </w:tc>
        <w:tc>
          <w:tcPr>
            <w:tcW w:w="0" w:type="auto"/>
            <w:tcMar>
              <w:top w:w="0" w:type="dxa"/>
              <w:left w:w="108" w:type="dxa"/>
              <w:bottom w:w="0" w:type="dxa"/>
              <w:right w:w="101" w:type="dxa"/>
            </w:tcMar>
            <w:vAlign w:val="center"/>
            <w:hideMark/>
          </w:tcPr>
          <w:p w14:paraId="43D2519E"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Equity in access to treatment for breast cancer in Colombia</w:t>
            </w:r>
          </w:p>
        </w:tc>
        <w:tc>
          <w:tcPr>
            <w:tcW w:w="0" w:type="auto"/>
            <w:tcMar>
              <w:top w:w="0" w:type="dxa"/>
              <w:left w:w="108" w:type="dxa"/>
              <w:bottom w:w="0" w:type="dxa"/>
              <w:right w:w="101" w:type="dxa"/>
            </w:tcMar>
            <w:vAlign w:val="center"/>
            <w:hideMark/>
          </w:tcPr>
          <w:p w14:paraId="7691ECA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Charry, 2009</w:t>
            </w:r>
          </w:p>
        </w:tc>
        <w:tc>
          <w:tcPr>
            <w:tcW w:w="0" w:type="auto"/>
            <w:tcMar>
              <w:top w:w="0" w:type="dxa"/>
              <w:left w:w="108" w:type="dxa"/>
              <w:bottom w:w="0" w:type="dxa"/>
              <w:right w:w="101" w:type="dxa"/>
            </w:tcMar>
            <w:vAlign w:val="center"/>
            <w:hideMark/>
          </w:tcPr>
          <w:p w14:paraId="573146E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2CFF1316" w14:textId="77777777" w:rsidTr="00E10CC6">
        <w:trPr>
          <w:trHeight w:val="780"/>
          <w:jc w:val="center"/>
        </w:trPr>
        <w:tc>
          <w:tcPr>
            <w:tcW w:w="0" w:type="auto"/>
            <w:tcMar>
              <w:top w:w="0" w:type="dxa"/>
              <w:left w:w="101" w:type="dxa"/>
              <w:bottom w:w="0" w:type="dxa"/>
              <w:right w:w="101" w:type="dxa"/>
            </w:tcMar>
            <w:vAlign w:val="center"/>
            <w:hideMark/>
          </w:tcPr>
          <w:p w14:paraId="0B04E43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236</w:t>
            </w:r>
          </w:p>
        </w:tc>
        <w:tc>
          <w:tcPr>
            <w:tcW w:w="0" w:type="auto"/>
            <w:tcMar>
              <w:top w:w="0" w:type="dxa"/>
              <w:left w:w="108" w:type="dxa"/>
              <w:bottom w:w="0" w:type="dxa"/>
              <w:right w:w="101" w:type="dxa"/>
            </w:tcMar>
            <w:vAlign w:val="center"/>
            <w:hideMark/>
          </w:tcPr>
          <w:p w14:paraId="55B2B11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Mortality and morbidity trends due to </w:t>
            </w:r>
            <w:r w:rsidRPr="009B3512">
              <w:rPr>
                <w:rFonts w:ascii="Arial" w:eastAsia="Times New Roman" w:hAnsi="Arial" w:cs="Arial"/>
                <w:lang w:val="en-CO" w:eastAsia="en-GB"/>
              </w:rPr>
              <w:br/>
              <w:t>pertussis in Colombia, 2002-2012</w:t>
            </w:r>
          </w:p>
        </w:tc>
        <w:tc>
          <w:tcPr>
            <w:tcW w:w="0" w:type="auto"/>
            <w:tcMar>
              <w:top w:w="0" w:type="dxa"/>
              <w:left w:w="108" w:type="dxa"/>
              <w:bottom w:w="0" w:type="dxa"/>
              <w:right w:w="101" w:type="dxa"/>
            </w:tcMar>
            <w:vAlign w:val="center"/>
            <w:hideMark/>
          </w:tcPr>
          <w:p w14:paraId="4341C82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Cardona, 2016</w:t>
            </w:r>
          </w:p>
        </w:tc>
        <w:tc>
          <w:tcPr>
            <w:tcW w:w="0" w:type="auto"/>
            <w:tcMar>
              <w:top w:w="0" w:type="dxa"/>
              <w:left w:w="108" w:type="dxa"/>
              <w:bottom w:w="0" w:type="dxa"/>
              <w:right w:w="101" w:type="dxa"/>
            </w:tcMar>
            <w:vAlign w:val="center"/>
            <w:hideMark/>
          </w:tcPr>
          <w:p w14:paraId="4DA779F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5913249D" w14:textId="77777777" w:rsidTr="00E10CC6">
        <w:trPr>
          <w:trHeight w:val="780"/>
          <w:jc w:val="center"/>
        </w:trPr>
        <w:tc>
          <w:tcPr>
            <w:tcW w:w="0" w:type="auto"/>
            <w:tcMar>
              <w:top w:w="0" w:type="dxa"/>
              <w:left w:w="101" w:type="dxa"/>
              <w:bottom w:w="0" w:type="dxa"/>
              <w:right w:w="101" w:type="dxa"/>
            </w:tcMar>
            <w:vAlign w:val="center"/>
            <w:hideMark/>
          </w:tcPr>
          <w:p w14:paraId="508BED5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237</w:t>
            </w:r>
          </w:p>
        </w:tc>
        <w:tc>
          <w:tcPr>
            <w:tcW w:w="0" w:type="auto"/>
            <w:tcMar>
              <w:top w:w="0" w:type="dxa"/>
              <w:left w:w="108" w:type="dxa"/>
              <w:bottom w:w="0" w:type="dxa"/>
              <w:right w:w="101" w:type="dxa"/>
            </w:tcMar>
            <w:vAlign w:val="center"/>
            <w:hideMark/>
          </w:tcPr>
          <w:p w14:paraId="231DCF5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Association between delay in diagnosis and advanced clinical stage of breast cancer at the time </w:t>
            </w:r>
            <w:r w:rsidRPr="009B3512">
              <w:rPr>
                <w:rFonts w:ascii="Arial" w:eastAsia="Times New Roman" w:hAnsi="Arial" w:cs="Arial"/>
                <w:lang w:val="en-CO" w:eastAsia="en-GB"/>
              </w:rPr>
              <w:br/>
              <w:t>of consultation in four cancer centers in Medellín, Colombia, 2017. Cross-sectional study</w:t>
            </w:r>
          </w:p>
        </w:tc>
        <w:tc>
          <w:tcPr>
            <w:tcW w:w="0" w:type="auto"/>
            <w:tcMar>
              <w:top w:w="0" w:type="dxa"/>
              <w:left w:w="108" w:type="dxa"/>
              <w:bottom w:w="0" w:type="dxa"/>
              <w:right w:w="101" w:type="dxa"/>
            </w:tcMar>
            <w:vAlign w:val="center"/>
            <w:hideMark/>
          </w:tcPr>
          <w:p w14:paraId="49A9270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Martinez perez, 2019</w:t>
            </w:r>
          </w:p>
        </w:tc>
        <w:tc>
          <w:tcPr>
            <w:tcW w:w="0" w:type="auto"/>
            <w:tcMar>
              <w:top w:w="0" w:type="dxa"/>
              <w:left w:w="108" w:type="dxa"/>
              <w:bottom w:w="0" w:type="dxa"/>
              <w:right w:w="101" w:type="dxa"/>
            </w:tcMar>
            <w:vAlign w:val="center"/>
            <w:hideMark/>
          </w:tcPr>
          <w:p w14:paraId="794B4E9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760B7060" w14:textId="77777777" w:rsidTr="00E10CC6">
        <w:trPr>
          <w:trHeight w:val="780"/>
          <w:jc w:val="center"/>
        </w:trPr>
        <w:tc>
          <w:tcPr>
            <w:tcW w:w="0" w:type="auto"/>
            <w:tcMar>
              <w:top w:w="0" w:type="dxa"/>
              <w:left w:w="101" w:type="dxa"/>
              <w:bottom w:w="0" w:type="dxa"/>
              <w:right w:w="101" w:type="dxa"/>
            </w:tcMar>
            <w:vAlign w:val="center"/>
            <w:hideMark/>
          </w:tcPr>
          <w:p w14:paraId="4E707D9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238</w:t>
            </w:r>
          </w:p>
        </w:tc>
        <w:tc>
          <w:tcPr>
            <w:tcW w:w="0" w:type="auto"/>
            <w:tcMar>
              <w:top w:w="0" w:type="dxa"/>
              <w:left w:w="108" w:type="dxa"/>
              <w:bottom w:w="0" w:type="dxa"/>
              <w:right w:w="101" w:type="dxa"/>
            </w:tcMar>
            <w:vAlign w:val="center"/>
            <w:hideMark/>
          </w:tcPr>
          <w:p w14:paraId="4C8DF80B"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Case series: extremely drug-resistant tuberculosis </w:t>
            </w:r>
            <w:r w:rsidRPr="009B3512">
              <w:rPr>
                <w:rFonts w:ascii="Arial" w:eastAsia="Times New Roman" w:hAnsi="Arial" w:cs="Arial"/>
                <w:lang w:val="en-CO" w:eastAsia="en-GB"/>
              </w:rPr>
              <w:br/>
              <w:t>in Colombia, 2006-2016</w:t>
            </w:r>
          </w:p>
        </w:tc>
        <w:tc>
          <w:tcPr>
            <w:tcW w:w="0" w:type="auto"/>
            <w:tcMar>
              <w:top w:w="0" w:type="dxa"/>
              <w:left w:w="108" w:type="dxa"/>
              <w:bottom w:w="0" w:type="dxa"/>
              <w:right w:w="101" w:type="dxa"/>
            </w:tcMar>
            <w:vAlign w:val="center"/>
            <w:hideMark/>
          </w:tcPr>
          <w:p w14:paraId="7D71AC1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Zabaleta, 2019</w:t>
            </w:r>
          </w:p>
        </w:tc>
        <w:tc>
          <w:tcPr>
            <w:tcW w:w="0" w:type="auto"/>
            <w:tcMar>
              <w:top w:w="0" w:type="dxa"/>
              <w:left w:w="108" w:type="dxa"/>
              <w:bottom w:w="0" w:type="dxa"/>
              <w:right w:w="101" w:type="dxa"/>
            </w:tcMar>
            <w:vAlign w:val="center"/>
            <w:hideMark/>
          </w:tcPr>
          <w:p w14:paraId="0CE2DB8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143DAD9B" w14:textId="77777777" w:rsidTr="00E10CC6">
        <w:trPr>
          <w:trHeight w:val="780"/>
          <w:jc w:val="center"/>
        </w:trPr>
        <w:tc>
          <w:tcPr>
            <w:tcW w:w="0" w:type="auto"/>
            <w:tcMar>
              <w:top w:w="0" w:type="dxa"/>
              <w:left w:w="101" w:type="dxa"/>
              <w:bottom w:w="0" w:type="dxa"/>
              <w:right w:w="101" w:type="dxa"/>
            </w:tcMar>
            <w:vAlign w:val="center"/>
            <w:hideMark/>
          </w:tcPr>
          <w:p w14:paraId="2FE2F98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239</w:t>
            </w:r>
          </w:p>
        </w:tc>
        <w:tc>
          <w:tcPr>
            <w:tcW w:w="0" w:type="auto"/>
            <w:tcMar>
              <w:top w:w="0" w:type="dxa"/>
              <w:left w:w="108" w:type="dxa"/>
              <w:bottom w:w="0" w:type="dxa"/>
              <w:right w:w="101" w:type="dxa"/>
            </w:tcMar>
            <w:vAlign w:val="center"/>
            <w:hideMark/>
          </w:tcPr>
          <w:p w14:paraId="318B8430"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Prevalence of skin lesions associated with physical dependence in nursing homes and health institutions in Tunja</w:t>
            </w:r>
          </w:p>
        </w:tc>
        <w:tc>
          <w:tcPr>
            <w:tcW w:w="0" w:type="auto"/>
            <w:tcMar>
              <w:top w:w="0" w:type="dxa"/>
              <w:left w:w="108" w:type="dxa"/>
              <w:bottom w:w="0" w:type="dxa"/>
              <w:right w:w="101" w:type="dxa"/>
            </w:tcMar>
            <w:vAlign w:val="center"/>
            <w:hideMark/>
          </w:tcPr>
          <w:p w14:paraId="505AFE9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Hernandez, 2019</w:t>
            </w:r>
          </w:p>
        </w:tc>
        <w:tc>
          <w:tcPr>
            <w:tcW w:w="0" w:type="auto"/>
            <w:tcMar>
              <w:top w:w="0" w:type="dxa"/>
              <w:left w:w="108" w:type="dxa"/>
              <w:bottom w:w="0" w:type="dxa"/>
              <w:right w:w="101" w:type="dxa"/>
            </w:tcMar>
            <w:vAlign w:val="center"/>
            <w:hideMark/>
          </w:tcPr>
          <w:p w14:paraId="4DE639A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6520F2EC" w14:textId="77777777" w:rsidTr="00E10CC6">
        <w:trPr>
          <w:trHeight w:val="780"/>
          <w:jc w:val="center"/>
        </w:trPr>
        <w:tc>
          <w:tcPr>
            <w:tcW w:w="0" w:type="auto"/>
            <w:tcMar>
              <w:top w:w="0" w:type="dxa"/>
              <w:left w:w="101" w:type="dxa"/>
              <w:bottom w:w="0" w:type="dxa"/>
              <w:right w:w="101" w:type="dxa"/>
            </w:tcMar>
            <w:vAlign w:val="center"/>
            <w:hideMark/>
          </w:tcPr>
          <w:p w14:paraId="1D39DE2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240</w:t>
            </w:r>
          </w:p>
        </w:tc>
        <w:tc>
          <w:tcPr>
            <w:tcW w:w="0" w:type="auto"/>
            <w:tcMar>
              <w:top w:w="0" w:type="dxa"/>
              <w:left w:w="108" w:type="dxa"/>
              <w:bottom w:w="0" w:type="dxa"/>
              <w:right w:w="101" w:type="dxa"/>
            </w:tcMar>
            <w:vAlign w:val="center"/>
            <w:hideMark/>
          </w:tcPr>
          <w:p w14:paraId="500CB657"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Health insurance coverage, neonatal mortality and caesarean section deliveries: an analysis of vital registration data in Colombia </w:t>
            </w:r>
          </w:p>
        </w:tc>
        <w:tc>
          <w:tcPr>
            <w:tcW w:w="0" w:type="auto"/>
            <w:tcMar>
              <w:top w:w="0" w:type="dxa"/>
              <w:left w:w="108" w:type="dxa"/>
              <w:bottom w:w="0" w:type="dxa"/>
              <w:right w:w="101" w:type="dxa"/>
            </w:tcMar>
            <w:vAlign w:val="center"/>
            <w:hideMark/>
          </w:tcPr>
          <w:p w14:paraId="12BC139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Houweling, 2016</w:t>
            </w:r>
          </w:p>
        </w:tc>
        <w:tc>
          <w:tcPr>
            <w:tcW w:w="0" w:type="auto"/>
            <w:tcMar>
              <w:top w:w="0" w:type="dxa"/>
              <w:left w:w="108" w:type="dxa"/>
              <w:bottom w:w="0" w:type="dxa"/>
              <w:right w:w="101" w:type="dxa"/>
            </w:tcMar>
            <w:vAlign w:val="center"/>
            <w:hideMark/>
          </w:tcPr>
          <w:p w14:paraId="5447E4C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579FF126" w14:textId="77777777" w:rsidTr="00E10CC6">
        <w:trPr>
          <w:trHeight w:val="780"/>
          <w:jc w:val="center"/>
        </w:trPr>
        <w:tc>
          <w:tcPr>
            <w:tcW w:w="0" w:type="auto"/>
            <w:tcMar>
              <w:top w:w="0" w:type="dxa"/>
              <w:left w:w="101" w:type="dxa"/>
              <w:bottom w:w="0" w:type="dxa"/>
              <w:right w:w="101" w:type="dxa"/>
            </w:tcMar>
            <w:vAlign w:val="center"/>
            <w:hideMark/>
          </w:tcPr>
          <w:p w14:paraId="3C1423E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lastRenderedPageBreak/>
              <w:t>241</w:t>
            </w:r>
          </w:p>
        </w:tc>
        <w:tc>
          <w:tcPr>
            <w:tcW w:w="0" w:type="auto"/>
            <w:tcMar>
              <w:top w:w="0" w:type="dxa"/>
              <w:left w:w="108" w:type="dxa"/>
              <w:bottom w:w="0" w:type="dxa"/>
              <w:right w:w="101" w:type="dxa"/>
            </w:tcMar>
            <w:vAlign w:val="center"/>
            <w:hideMark/>
          </w:tcPr>
          <w:p w14:paraId="6BB1F210"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Factors Associated with Unsuccessful Outcomes of Tuberculosis Treatment in 125 Municipalities in Colombia 2014 to 2016</w:t>
            </w:r>
          </w:p>
        </w:tc>
        <w:tc>
          <w:tcPr>
            <w:tcW w:w="0" w:type="auto"/>
            <w:tcMar>
              <w:top w:w="0" w:type="dxa"/>
              <w:left w:w="108" w:type="dxa"/>
              <w:bottom w:w="0" w:type="dxa"/>
              <w:right w:w="101" w:type="dxa"/>
            </w:tcMar>
            <w:vAlign w:val="center"/>
            <w:hideMark/>
          </w:tcPr>
          <w:p w14:paraId="24A042E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Paniagua, 2021</w:t>
            </w:r>
          </w:p>
        </w:tc>
        <w:tc>
          <w:tcPr>
            <w:tcW w:w="0" w:type="auto"/>
            <w:tcMar>
              <w:top w:w="0" w:type="dxa"/>
              <w:left w:w="108" w:type="dxa"/>
              <w:bottom w:w="0" w:type="dxa"/>
              <w:right w:w="101" w:type="dxa"/>
            </w:tcMar>
            <w:vAlign w:val="center"/>
            <w:hideMark/>
          </w:tcPr>
          <w:p w14:paraId="333371C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2A10C431" w14:textId="77777777" w:rsidTr="00E10CC6">
        <w:trPr>
          <w:trHeight w:val="780"/>
          <w:jc w:val="center"/>
        </w:trPr>
        <w:tc>
          <w:tcPr>
            <w:tcW w:w="0" w:type="auto"/>
            <w:tcMar>
              <w:top w:w="0" w:type="dxa"/>
              <w:left w:w="101" w:type="dxa"/>
              <w:bottom w:w="0" w:type="dxa"/>
              <w:right w:w="101" w:type="dxa"/>
            </w:tcMar>
            <w:vAlign w:val="center"/>
            <w:hideMark/>
          </w:tcPr>
          <w:p w14:paraId="2DF3183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242</w:t>
            </w:r>
          </w:p>
        </w:tc>
        <w:tc>
          <w:tcPr>
            <w:tcW w:w="0" w:type="auto"/>
            <w:tcMar>
              <w:top w:w="0" w:type="dxa"/>
              <w:left w:w="108" w:type="dxa"/>
              <w:bottom w:w="0" w:type="dxa"/>
              <w:right w:w="101" w:type="dxa"/>
            </w:tcMar>
            <w:vAlign w:val="center"/>
            <w:hideMark/>
          </w:tcPr>
          <w:p w14:paraId="61F40463"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Incidence and demographic determinants of acute lymphoid leukemia in patients with pediatric cancer, Antioquia </w:t>
            </w:r>
          </w:p>
        </w:tc>
        <w:tc>
          <w:tcPr>
            <w:tcW w:w="0" w:type="auto"/>
            <w:tcMar>
              <w:top w:w="0" w:type="dxa"/>
              <w:left w:w="108" w:type="dxa"/>
              <w:bottom w:w="0" w:type="dxa"/>
              <w:right w:w="101" w:type="dxa"/>
            </w:tcMar>
            <w:vAlign w:val="center"/>
            <w:hideMark/>
          </w:tcPr>
          <w:p w14:paraId="69593C1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Gomez, 2020</w:t>
            </w:r>
          </w:p>
        </w:tc>
        <w:tc>
          <w:tcPr>
            <w:tcW w:w="0" w:type="auto"/>
            <w:tcMar>
              <w:top w:w="0" w:type="dxa"/>
              <w:left w:w="108" w:type="dxa"/>
              <w:bottom w:w="0" w:type="dxa"/>
              <w:right w:w="101" w:type="dxa"/>
            </w:tcMar>
            <w:vAlign w:val="center"/>
            <w:hideMark/>
          </w:tcPr>
          <w:p w14:paraId="1F62BD9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65238A63" w14:textId="77777777" w:rsidTr="00E10CC6">
        <w:trPr>
          <w:trHeight w:val="780"/>
          <w:jc w:val="center"/>
        </w:trPr>
        <w:tc>
          <w:tcPr>
            <w:tcW w:w="0" w:type="auto"/>
            <w:tcMar>
              <w:top w:w="0" w:type="dxa"/>
              <w:left w:w="101" w:type="dxa"/>
              <w:bottom w:w="0" w:type="dxa"/>
              <w:right w:w="101" w:type="dxa"/>
            </w:tcMar>
            <w:vAlign w:val="center"/>
            <w:hideMark/>
          </w:tcPr>
          <w:p w14:paraId="6043605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243</w:t>
            </w:r>
          </w:p>
        </w:tc>
        <w:tc>
          <w:tcPr>
            <w:tcW w:w="0" w:type="auto"/>
            <w:tcMar>
              <w:top w:w="0" w:type="dxa"/>
              <w:left w:w="108" w:type="dxa"/>
              <w:bottom w:w="0" w:type="dxa"/>
              <w:right w:w="101" w:type="dxa"/>
            </w:tcMar>
            <w:vAlign w:val="center"/>
            <w:hideMark/>
          </w:tcPr>
          <w:p w14:paraId="13D2FF6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Inequalities in health insurance in prenatal care in Colombia Insurance health disparities in antenatal care in Colombia</w:t>
            </w:r>
          </w:p>
        </w:tc>
        <w:tc>
          <w:tcPr>
            <w:tcW w:w="0" w:type="auto"/>
            <w:tcMar>
              <w:top w:w="0" w:type="dxa"/>
              <w:left w:w="108" w:type="dxa"/>
              <w:bottom w:w="0" w:type="dxa"/>
              <w:right w:w="101" w:type="dxa"/>
            </w:tcMar>
            <w:vAlign w:val="center"/>
            <w:hideMark/>
          </w:tcPr>
          <w:p w14:paraId="209E106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Zuñiga, 2020</w:t>
            </w:r>
          </w:p>
        </w:tc>
        <w:tc>
          <w:tcPr>
            <w:tcW w:w="0" w:type="auto"/>
            <w:tcMar>
              <w:top w:w="0" w:type="dxa"/>
              <w:left w:w="108" w:type="dxa"/>
              <w:bottom w:w="0" w:type="dxa"/>
              <w:right w:w="101" w:type="dxa"/>
            </w:tcMar>
            <w:vAlign w:val="center"/>
            <w:hideMark/>
          </w:tcPr>
          <w:p w14:paraId="6AE8196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5E76A000" w14:textId="77777777" w:rsidTr="00E10CC6">
        <w:trPr>
          <w:trHeight w:val="780"/>
          <w:jc w:val="center"/>
        </w:trPr>
        <w:tc>
          <w:tcPr>
            <w:tcW w:w="0" w:type="auto"/>
            <w:tcMar>
              <w:top w:w="0" w:type="dxa"/>
              <w:left w:w="101" w:type="dxa"/>
              <w:bottom w:w="0" w:type="dxa"/>
              <w:right w:w="101" w:type="dxa"/>
            </w:tcMar>
            <w:vAlign w:val="center"/>
            <w:hideMark/>
          </w:tcPr>
          <w:p w14:paraId="1F80EF7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244</w:t>
            </w:r>
          </w:p>
        </w:tc>
        <w:tc>
          <w:tcPr>
            <w:tcW w:w="0" w:type="auto"/>
            <w:tcMar>
              <w:top w:w="0" w:type="dxa"/>
              <w:left w:w="108" w:type="dxa"/>
              <w:bottom w:w="0" w:type="dxa"/>
              <w:right w:w="101" w:type="dxa"/>
            </w:tcMar>
            <w:vAlign w:val="center"/>
            <w:hideMark/>
          </w:tcPr>
          <w:p w14:paraId="306FEA4C"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Descriptive Analysis of Morbidity and Mortality Due to Acute Lymphoid Leukemia in Children Under 20 Years of Age According to Department and Insurance Regime in Colombia 2010-2015</w:t>
            </w:r>
          </w:p>
        </w:tc>
        <w:tc>
          <w:tcPr>
            <w:tcW w:w="0" w:type="auto"/>
            <w:tcMar>
              <w:top w:w="0" w:type="dxa"/>
              <w:left w:w="108" w:type="dxa"/>
              <w:bottom w:w="0" w:type="dxa"/>
              <w:right w:w="101" w:type="dxa"/>
            </w:tcMar>
            <w:vAlign w:val="center"/>
            <w:hideMark/>
          </w:tcPr>
          <w:p w14:paraId="507C2A5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Garcia, 2020</w:t>
            </w:r>
          </w:p>
        </w:tc>
        <w:tc>
          <w:tcPr>
            <w:tcW w:w="0" w:type="auto"/>
            <w:tcMar>
              <w:top w:w="0" w:type="dxa"/>
              <w:left w:w="108" w:type="dxa"/>
              <w:bottom w:w="0" w:type="dxa"/>
              <w:right w:w="101" w:type="dxa"/>
            </w:tcMar>
            <w:vAlign w:val="center"/>
            <w:hideMark/>
          </w:tcPr>
          <w:p w14:paraId="467054E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40F16286" w14:textId="77777777" w:rsidTr="00E10CC6">
        <w:trPr>
          <w:trHeight w:val="780"/>
          <w:jc w:val="center"/>
        </w:trPr>
        <w:tc>
          <w:tcPr>
            <w:tcW w:w="0" w:type="auto"/>
            <w:tcMar>
              <w:top w:w="0" w:type="dxa"/>
              <w:left w:w="101" w:type="dxa"/>
              <w:bottom w:w="0" w:type="dxa"/>
              <w:right w:w="101" w:type="dxa"/>
            </w:tcMar>
            <w:vAlign w:val="center"/>
            <w:hideMark/>
          </w:tcPr>
          <w:p w14:paraId="07E4F7A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245</w:t>
            </w:r>
          </w:p>
        </w:tc>
        <w:tc>
          <w:tcPr>
            <w:tcW w:w="0" w:type="auto"/>
            <w:tcMar>
              <w:top w:w="0" w:type="dxa"/>
              <w:left w:w="108" w:type="dxa"/>
              <w:bottom w:w="0" w:type="dxa"/>
              <w:right w:w="101" w:type="dxa"/>
            </w:tcMar>
            <w:vAlign w:val="center"/>
            <w:hideMark/>
          </w:tcPr>
          <w:p w14:paraId="75FE2286"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Association between sociodemographic conditions and uncontrolled epilepsy in populations with limited access to neurology services</w:t>
            </w:r>
          </w:p>
        </w:tc>
        <w:tc>
          <w:tcPr>
            <w:tcW w:w="0" w:type="auto"/>
            <w:tcMar>
              <w:top w:w="0" w:type="dxa"/>
              <w:left w:w="108" w:type="dxa"/>
              <w:bottom w:w="0" w:type="dxa"/>
              <w:right w:w="101" w:type="dxa"/>
            </w:tcMar>
            <w:vAlign w:val="center"/>
            <w:hideMark/>
          </w:tcPr>
          <w:p w14:paraId="317F72D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Soto, 2019</w:t>
            </w:r>
          </w:p>
        </w:tc>
        <w:tc>
          <w:tcPr>
            <w:tcW w:w="0" w:type="auto"/>
            <w:tcMar>
              <w:top w:w="0" w:type="dxa"/>
              <w:left w:w="108" w:type="dxa"/>
              <w:bottom w:w="0" w:type="dxa"/>
              <w:right w:w="101" w:type="dxa"/>
            </w:tcMar>
            <w:vAlign w:val="center"/>
            <w:hideMark/>
          </w:tcPr>
          <w:p w14:paraId="0165FEE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6276BFE4" w14:textId="77777777" w:rsidTr="00E10CC6">
        <w:trPr>
          <w:trHeight w:val="780"/>
          <w:jc w:val="center"/>
        </w:trPr>
        <w:tc>
          <w:tcPr>
            <w:tcW w:w="0" w:type="auto"/>
            <w:tcMar>
              <w:top w:w="0" w:type="dxa"/>
              <w:left w:w="101" w:type="dxa"/>
              <w:bottom w:w="0" w:type="dxa"/>
              <w:right w:w="101" w:type="dxa"/>
            </w:tcMar>
            <w:vAlign w:val="center"/>
            <w:hideMark/>
          </w:tcPr>
          <w:p w14:paraId="075D90C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246</w:t>
            </w:r>
          </w:p>
        </w:tc>
        <w:tc>
          <w:tcPr>
            <w:tcW w:w="0" w:type="auto"/>
            <w:tcMar>
              <w:top w:w="0" w:type="dxa"/>
              <w:left w:w="108" w:type="dxa"/>
              <w:bottom w:w="0" w:type="dxa"/>
              <w:right w:w="101" w:type="dxa"/>
            </w:tcMar>
            <w:vAlign w:val="center"/>
            <w:hideMark/>
          </w:tcPr>
          <w:p w14:paraId="2B87653A"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Barriers in access to healthcare in countries with different health systems. A cross-sectional study in municipalities of central Colombia and north-eastern Brazil</w:t>
            </w:r>
          </w:p>
        </w:tc>
        <w:tc>
          <w:tcPr>
            <w:tcW w:w="0" w:type="auto"/>
            <w:tcMar>
              <w:top w:w="0" w:type="dxa"/>
              <w:left w:w="108" w:type="dxa"/>
              <w:bottom w:w="0" w:type="dxa"/>
              <w:right w:w="101" w:type="dxa"/>
            </w:tcMar>
            <w:vAlign w:val="center"/>
            <w:hideMark/>
          </w:tcPr>
          <w:p w14:paraId="04433A7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Garcia-Subirats, 2014</w:t>
            </w:r>
          </w:p>
        </w:tc>
        <w:tc>
          <w:tcPr>
            <w:tcW w:w="0" w:type="auto"/>
            <w:tcMar>
              <w:top w:w="0" w:type="dxa"/>
              <w:left w:w="108" w:type="dxa"/>
              <w:bottom w:w="0" w:type="dxa"/>
              <w:right w:w="101" w:type="dxa"/>
            </w:tcMar>
            <w:vAlign w:val="center"/>
            <w:hideMark/>
          </w:tcPr>
          <w:p w14:paraId="22278DC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2804B4F0" w14:textId="77777777" w:rsidTr="00E10CC6">
        <w:trPr>
          <w:trHeight w:val="780"/>
          <w:jc w:val="center"/>
        </w:trPr>
        <w:tc>
          <w:tcPr>
            <w:tcW w:w="0" w:type="auto"/>
            <w:tcMar>
              <w:top w:w="0" w:type="dxa"/>
              <w:left w:w="101" w:type="dxa"/>
              <w:bottom w:w="0" w:type="dxa"/>
              <w:right w:w="101" w:type="dxa"/>
            </w:tcMar>
            <w:vAlign w:val="center"/>
            <w:hideMark/>
          </w:tcPr>
          <w:p w14:paraId="00AC7B4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247</w:t>
            </w:r>
          </w:p>
        </w:tc>
        <w:tc>
          <w:tcPr>
            <w:tcW w:w="0" w:type="auto"/>
            <w:tcMar>
              <w:top w:w="0" w:type="dxa"/>
              <w:left w:w="108" w:type="dxa"/>
              <w:bottom w:w="0" w:type="dxa"/>
              <w:right w:w="101" w:type="dxa"/>
            </w:tcMar>
            <w:vAlign w:val="center"/>
            <w:hideMark/>
          </w:tcPr>
          <w:p w14:paraId="7402FAE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Prevalence of intestinal parasites in preschool children from vulnerable neighborhoods of Bogotá</w:t>
            </w:r>
          </w:p>
        </w:tc>
        <w:tc>
          <w:tcPr>
            <w:tcW w:w="0" w:type="auto"/>
            <w:tcMar>
              <w:top w:w="0" w:type="dxa"/>
              <w:left w:w="108" w:type="dxa"/>
              <w:bottom w:w="0" w:type="dxa"/>
              <w:right w:w="101" w:type="dxa"/>
            </w:tcMar>
            <w:vAlign w:val="center"/>
            <w:hideMark/>
          </w:tcPr>
          <w:p w14:paraId="3160907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Bouwmans, 2016</w:t>
            </w:r>
          </w:p>
        </w:tc>
        <w:tc>
          <w:tcPr>
            <w:tcW w:w="0" w:type="auto"/>
            <w:tcMar>
              <w:top w:w="0" w:type="dxa"/>
              <w:left w:w="108" w:type="dxa"/>
              <w:bottom w:w="0" w:type="dxa"/>
              <w:right w:w="101" w:type="dxa"/>
            </w:tcMar>
            <w:vAlign w:val="center"/>
            <w:hideMark/>
          </w:tcPr>
          <w:p w14:paraId="6093FAA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5FF717AB" w14:textId="77777777" w:rsidTr="00E10CC6">
        <w:trPr>
          <w:trHeight w:val="780"/>
          <w:jc w:val="center"/>
        </w:trPr>
        <w:tc>
          <w:tcPr>
            <w:tcW w:w="0" w:type="auto"/>
            <w:tcMar>
              <w:top w:w="0" w:type="dxa"/>
              <w:left w:w="101" w:type="dxa"/>
              <w:bottom w:w="0" w:type="dxa"/>
              <w:right w:w="101" w:type="dxa"/>
            </w:tcMar>
            <w:vAlign w:val="center"/>
            <w:hideMark/>
          </w:tcPr>
          <w:p w14:paraId="579E18D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248</w:t>
            </w:r>
          </w:p>
        </w:tc>
        <w:tc>
          <w:tcPr>
            <w:tcW w:w="0" w:type="auto"/>
            <w:tcMar>
              <w:top w:w="0" w:type="dxa"/>
              <w:left w:w="108" w:type="dxa"/>
              <w:bottom w:w="0" w:type="dxa"/>
              <w:right w:w="101" w:type="dxa"/>
            </w:tcMar>
            <w:vAlign w:val="center"/>
            <w:hideMark/>
          </w:tcPr>
          <w:p w14:paraId="672C4FD7"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Associated factors of multidimensional poverty with taking cytology in Colombia.</w:t>
            </w:r>
          </w:p>
        </w:tc>
        <w:tc>
          <w:tcPr>
            <w:tcW w:w="0" w:type="auto"/>
            <w:tcMar>
              <w:top w:w="0" w:type="dxa"/>
              <w:left w:w="108" w:type="dxa"/>
              <w:bottom w:w="0" w:type="dxa"/>
              <w:right w:w="101" w:type="dxa"/>
            </w:tcMar>
            <w:vAlign w:val="center"/>
            <w:hideMark/>
          </w:tcPr>
          <w:p w14:paraId="29FFD37B"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Sanchez Rincon, 2020</w:t>
            </w:r>
          </w:p>
        </w:tc>
        <w:tc>
          <w:tcPr>
            <w:tcW w:w="0" w:type="auto"/>
            <w:tcMar>
              <w:top w:w="0" w:type="dxa"/>
              <w:left w:w="108" w:type="dxa"/>
              <w:bottom w:w="0" w:type="dxa"/>
              <w:right w:w="101" w:type="dxa"/>
            </w:tcMar>
            <w:vAlign w:val="center"/>
            <w:hideMark/>
          </w:tcPr>
          <w:p w14:paraId="5660F07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56930E57" w14:textId="77777777" w:rsidTr="00E10CC6">
        <w:trPr>
          <w:trHeight w:val="780"/>
          <w:jc w:val="center"/>
        </w:trPr>
        <w:tc>
          <w:tcPr>
            <w:tcW w:w="0" w:type="auto"/>
            <w:tcMar>
              <w:top w:w="0" w:type="dxa"/>
              <w:left w:w="101" w:type="dxa"/>
              <w:bottom w:w="0" w:type="dxa"/>
              <w:right w:w="101" w:type="dxa"/>
            </w:tcMar>
            <w:vAlign w:val="center"/>
            <w:hideMark/>
          </w:tcPr>
          <w:p w14:paraId="2553EBA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249</w:t>
            </w:r>
          </w:p>
        </w:tc>
        <w:tc>
          <w:tcPr>
            <w:tcW w:w="0" w:type="auto"/>
            <w:tcMar>
              <w:top w:w="0" w:type="dxa"/>
              <w:left w:w="108" w:type="dxa"/>
              <w:bottom w:w="0" w:type="dxa"/>
              <w:right w:w="101" w:type="dxa"/>
            </w:tcMar>
            <w:vAlign w:val="center"/>
            <w:hideMark/>
          </w:tcPr>
          <w:p w14:paraId="1F84ABDB"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Characteristics of the caregivers associated with the dental consultation of Colombian children under 5 years of age.</w:t>
            </w:r>
          </w:p>
        </w:tc>
        <w:tc>
          <w:tcPr>
            <w:tcW w:w="0" w:type="auto"/>
            <w:tcMar>
              <w:top w:w="0" w:type="dxa"/>
              <w:left w:w="108" w:type="dxa"/>
              <w:bottom w:w="0" w:type="dxa"/>
              <w:right w:w="101" w:type="dxa"/>
            </w:tcMar>
            <w:vAlign w:val="center"/>
            <w:hideMark/>
          </w:tcPr>
          <w:p w14:paraId="3FC1B4E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Barrier, 2020</w:t>
            </w:r>
          </w:p>
        </w:tc>
        <w:tc>
          <w:tcPr>
            <w:tcW w:w="0" w:type="auto"/>
            <w:tcMar>
              <w:top w:w="0" w:type="dxa"/>
              <w:left w:w="108" w:type="dxa"/>
              <w:bottom w:w="0" w:type="dxa"/>
              <w:right w:w="101" w:type="dxa"/>
            </w:tcMar>
            <w:vAlign w:val="center"/>
            <w:hideMark/>
          </w:tcPr>
          <w:p w14:paraId="054581D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44B864D8" w14:textId="77777777" w:rsidTr="00E10CC6">
        <w:trPr>
          <w:trHeight w:val="780"/>
          <w:jc w:val="center"/>
        </w:trPr>
        <w:tc>
          <w:tcPr>
            <w:tcW w:w="0" w:type="auto"/>
            <w:tcMar>
              <w:top w:w="0" w:type="dxa"/>
              <w:left w:w="101" w:type="dxa"/>
              <w:bottom w:w="0" w:type="dxa"/>
              <w:right w:w="101" w:type="dxa"/>
            </w:tcMar>
            <w:vAlign w:val="center"/>
            <w:hideMark/>
          </w:tcPr>
          <w:p w14:paraId="6299F56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250</w:t>
            </w:r>
          </w:p>
        </w:tc>
        <w:tc>
          <w:tcPr>
            <w:tcW w:w="0" w:type="auto"/>
            <w:tcMar>
              <w:top w:w="0" w:type="dxa"/>
              <w:left w:w="108" w:type="dxa"/>
              <w:bottom w:w="0" w:type="dxa"/>
              <w:right w:w="101" w:type="dxa"/>
            </w:tcMar>
            <w:vAlign w:val="center"/>
            <w:hideMark/>
          </w:tcPr>
          <w:p w14:paraId="47682312"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Evaluation of the time free from asthma attacks in children aged 4 to 11 years in relation to social factors. Pilot study in Bogota</w:t>
            </w:r>
          </w:p>
        </w:tc>
        <w:tc>
          <w:tcPr>
            <w:tcW w:w="0" w:type="auto"/>
            <w:tcMar>
              <w:top w:w="0" w:type="dxa"/>
              <w:left w:w="108" w:type="dxa"/>
              <w:bottom w:w="0" w:type="dxa"/>
              <w:right w:w="101" w:type="dxa"/>
            </w:tcMar>
            <w:vAlign w:val="center"/>
            <w:hideMark/>
          </w:tcPr>
          <w:p w14:paraId="01163B4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Novoa, 2019</w:t>
            </w:r>
          </w:p>
        </w:tc>
        <w:tc>
          <w:tcPr>
            <w:tcW w:w="0" w:type="auto"/>
            <w:tcMar>
              <w:top w:w="0" w:type="dxa"/>
              <w:left w:w="108" w:type="dxa"/>
              <w:bottom w:w="0" w:type="dxa"/>
              <w:right w:w="101" w:type="dxa"/>
            </w:tcMar>
            <w:vAlign w:val="center"/>
            <w:hideMark/>
          </w:tcPr>
          <w:p w14:paraId="4CED3FE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54926720" w14:textId="77777777" w:rsidTr="00E10CC6">
        <w:trPr>
          <w:trHeight w:val="780"/>
          <w:jc w:val="center"/>
        </w:trPr>
        <w:tc>
          <w:tcPr>
            <w:tcW w:w="0" w:type="auto"/>
            <w:tcMar>
              <w:top w:w="0" w:type="dxa"/>
              <w:left w:w="101" w:type="dxa"/>
              <w:bottom w:w="0" w:type="dxa"/>
              <w:right w:w="101" w:type="dxa"/>
            </w:tcMar>
            <w:vAlign w:val="center"/>
            <w:hideMark/>
          </w:tcPr>
          <w:p w14:paraId="71018A0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251</w:t>
            </w:r>
          </w:p>
        </w:tc>
        <w:tc>
          <w:tcPr>
            <w:tcW w:w="0" w:type="auto"/>
            <w:tcMar>
              <w:top w:w="0" w:type="dxa"/>
              <w:left w:w="108" w:type="dxa"/>
              <w:bottom w:w="0" w:type="dxa"/>
              <w:right w:w="101" w:type="dxa"/>
            </w:tcMar>
            <w:vAlign w:val="center"/>
            <w:hideMark/>
          </w:tcPr>
          <w:p w14:paraId="631A4840"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Characterization and profiles of patients with extreme maternal morbidity, intensive care unit, hospital la samaritana, 2008 -2014</w:t>
            </w:r>
          </w:p>
        </w:tc>
        <w:tc>
          <w:tcPr>
            <w:tcW w:w="0" w:type="auto"/>
            <w:tcMar>
              <w:top w:w="0" w:type="dxa"/>
              <w:left w:w="108" w:type="dxa"/>
              <w:bottom w:w="0" w:type="dxa"/>
              <w:right w:w="101" w:type="dxa"/>
            </w:tcMar>
            <w:vAlign w:val="center"/>
            <w:hideMark/>
          </w:tcPr>
          <w:p w14:paraId="0252A12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Solarte, 2017</w:t>
            </w:r>
          </w:p>
        </w:tc>
        <w:tc>
          <w:tcPr>
            <w:tcW w:w="0" w:type="auto"/>
            <w:tcMar>
              <w:top w:w="0" w:type="dxa"/>
              <w:left w:w="108" w:type="dxa"/>
              <w:bottom w:w="0" w:type="dxa"/>
              <w:right w:w="101" w:type="dxa"/>
            </w:tcMar>
            <w:vAlign w:val="center"/>
            <w:hideMark/>
          </w:tcPr>
          <w:p w14:paraId="36FE4B1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5FF40F45" w14:textId="77777777" w:rsidTr="00E10CC6">
        <w:trPr>
          <w:trHeight w:val="780"/>
          <w:jc w:val="center"/>
        </w:trPr>
        <w:tc>
          <w:tcPr>
            <w:tcW w:w="0" w:type="auto"/>
            <w:tcMar>
              <w:top w:w="0" w:type="dxa"/>
              <w:left w:w="101" w:type="dxa"/>
              <w:bottom w:w="0" w:type="dxa"/>
              <w:right w:w="101" w:type="dxa"/>
            </w:tcMar>
            <w:vAlign w:val="center"/>
            <w:hideMark/>
          </w:tcPr>
          <w:p w14:paraId="0F8B1DF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252</w:t>
            </w:r>
          </w:p>
        </w:tc>
        <w:tc>
          <w:tcPr>
            <w:tcW w:w="0" w:type="auto"/>
            <w:tcMar>
              <w:top w:w="0" w:type="dxa"/>
              <w:left w:w="108" w:type="dxa"/>
              <w:bottom w:w="0" w:type="dxa"/>
              <w:right w:w="101" w:type="dxa"/>
            </w:tcMar>
            <w:vAlign w:val="center"/>
            <w:hideMark/>
          </w:tcPr>
          <w:p w14:paraId="6708DF9F"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Economic, social and health determinants that affect exclusive breastfeeding in Colombia for the year 2010 </w:t>
            </w:r>
          </w:p>
        </w:tc>
        <w:tc>
          <w:tcPr>
            <w:tcW w:w="0" w:type="auto"/>
            <w:tcMar>
              <w:top w:w="0" w:type="dxa"/>
              <w:left w:w="108" w:type="dxa"/>
              <w:bottom w:w="0" w:type="dxa"/>
              <w:right w:w="101" w:type="dxa"/>
            </w:tcMar>
            <w:vAlign w:val="center"/>
            <w:hideMark/>
          </w:tcPr>
          <w:p w14:paraId="5A77C9A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Arocha, 2021</w:t>
            </w:r>
          </w:p>
        </w:tc>
        <w:tc>
          <w:tcPr>
            <w:tcW w:w="0" w:type="auto"/>
            <w:tcMar>
              <w:top w:w="0" w:type="dxa"/>
              <w:left w:w="108" w:type="dxa"/>
              <w:bottom w:w="0" w:type="dxa"/>
              <w:right w:w="101" w:type="dxa"/>
            </w:tcMar>
            <w:vAlign w:val="center"/>
            <w:hideMark/>
          </w:tcPr>
          <w:p w14:paraId="407EEA6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1AB4CC5C" w14:textId="77777777" w:rsidTr="00E10CC6">
        <w:trPr>
          <w:trHeight w:val="780"/>
          <w:jc w:val="center"/>
        </w:trPr>
        <w:tc>
          <w:tcPr>
            <w:tcW w:w="0" w:type="auto"/>
            <w:tcMar>
              <w:top w:w="0" w:type="dxa"/>
              <w:left w:w="101" w:type="dxa"/>
              <w:bottom w:w="0" w:type="dxa"/>
              <w:right w:w="101" w:type="dxa"/>
            </w:tcMar>
            <w:vAlign w:val="center"/>
            <w:hideMark/>
          </w:tcPr>
          <w:p w14:paraId="30FAA255"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253</w:t>
            </w:r>
          </w:p>
        </w:tc>
        <w:tc>
          <w:tcPr>
            <w:tcW w:w="0" w:type="auto"/>
            <w:tcMar>
              <w:top w:w="0" w:type="dxa"/>
              <w:left w:w="108" w:type="dxa"/>
              <w:bottom w:w="0" w:type="dxa"/>
              <w:right w:w="101" w:type="dxa"/>
            </w:tcMar>
            <w:vAlign w:val="center"/>
            <w:hideMark/>
          </w:tcPr>
          <w:p w14:paraId="1A326FAC"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Sexual and reproductive health: aspects of analysis for the department of casanare</w:t>
            </w:r>
          </w:p>
        </w:tc>
        <w:tc>
          <w:tcPr>
            <w:tcW w:w="0" w:type="auto"/>
            <w:tcMar>
              <w:top w:w="0" w:type="dxa"/>
              <w:left w:w="108" w:type="dxa"/>
              <w:bottom w:w="0" w:type="dxa"/>
              <w:right w:w="101" w:type="dxa"/>
            </w:tcMar>
            <w:vAlign w:val="center"/>
            <w:hideMark/>
          </w:tcPr>
          <w:p w14:paraId="1BF2D65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Orduz, 2016</w:t>
            </w:r>
          </w:p>
        </w:tc>
        <w:tc>
          <w:tcPr>
            <w:tcW w:w="0" w:type="auto"/>
            <w:tcMar>
              <w:top w:w="0" w:type="dxa"/>
              <w:left w:w="108" w:type="dxa"/>
              <w:bottom w:w="0" w:type="dxa"/>
              <w:right w:w="101" w:type="dxa"/>
            </w:tcMar>
            <w:vAlign w:val="center"/>
            <w:hideMark/>
          </w:tcPr>
          <w:p w14:paraId="4E151AD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19C256FA" w14:textId="77777777" w:rsidTr="00E10CC6">
        <w:trPr>
          <w:trHeight w:val="780"/>
          <w:jc w:val="center"/>
        </w:trPr>
        <w:tc>
          <w:tcPr>
            <w:tcW w:w="0" w:type="auto"/>
            <w:tcMar>
              <w:top w:w="0" w:type="dxa"/>
              <w:left w:w="101" w:type="dxa"/>
              <w:bottom w:w="0" w:type="dxa"/>
              <w:right w:w="101" w:type="dxa"/>
            </w:tcMar>
            <w:vAlign w:val="center"/>
            <w:hideMark/>
          </w:tcPr>
          <w:p w14:paraId="251095C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254</w:t>
            </w:r>
          </w:p>
        </w:tc>
        <w:tc>
          <w:tcPr>
            <w:tcW w:w="0" w:type="auto"/>
            <w:tcMar>
              <w:top w:w="0" w:type="dxa"/>
              <w:left w:w="108" w:type="dxa"/>
              <w:bottom w:w="0" w:type="dxa"/>
              <w:right w:w="101" w:type="dxa"/>
            </w:tcMar>
            <w:vAlign w:val="center"/>
            <w:hideMark/>
          </w:tcPr>
          <w:p w14:paraId="084DC6A9"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Socio-economic determinants of global child malnutrition in the town of ciudad bolívar (bogota, colombia) in 2011</w:t>
            </w:r>
          </w:p>
        </w:tc>
        <w:tc>
          <w:tcPr>
            <w:tcW w:w="0" w:type="auto"/>
            <w:tcMar>
              <w:top w:w="0" w:type="dxa"/>
              <w:left w:w="108" w:type="dxa"/>
              <w:bottom w:w="0" w:type="dxa"/>
              <w:right w:w="101" w:type="dxa"/>
            </w:tcMar>
            <w:vAlign w:val="center"/>
            <w:hideMark/>
          </w:tcPr>
          <w:p w14:paraId="2ACB080E"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Ducuara, 2012</w:t>
            </w:r>
          </w:p>
        </w:tc>
        <w:tc>
          <w:tcPr>
            <w:tcW w:w="0" w:type="auto"/>
            <w:tcMar>
              <w:top w:w="0" w:type="dxa"/>
              <w:left w:w="108" w:type="dxa"/>
              <w:bottom w:w="0" w:type="dxa"/>
              <w:right w:w="101" w:type="dxa"/>
            </w:tcMar>
            <w:vAlign w:val="center"/>
            <w:hideMark/>
          </w:tcPr>
          <w:p w14:paraId="4A00BF9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34540117" w14:textId="77777777" w:rsidTr="00E10CC6">
        <w:trPr>
          <w:trHeight w:val="780"/>
          <w:jc w:val="center"/>
        </w:trPr>
        <w:tc>
          <w:tcPr>
            <w:tcW w:w="0" w:type="auto"/>
            <w:tcMar>
              <w:top w:w="0" w:type="dxa"/>
              <w:left w:w="101" w:type="dxa"/>
              <w:bottom w:w="0" w:type="dxa"/>
              <w:right w:w="101" w:type="dxa"/>
            </w:tcMar>
            <w:vAlign w:val="center"/>
            <w:hideMark/>
          </w:tcPr>
          <w:p w14:paraId="4F8F6FD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255</w:t>
            </w:r>
          </w:p>
        </w:tc>
        <w:tc>
          <w:tcPr>
            <w:tcW w:w="0" w:type="auto"/>
            <w:tcMar>
              <w:top w:w="0" w:type="dxa"/>
              <w:left w:w="108" w:type="dxa"/>
              <w:bottom w:w="0" w:type="dxa"/>
              <w:right w:w="101" w:type="dxa"/>
            </w:tcMar>
            <w:vAlign w:val="center"/>
            <w:hideMark/>
          </w:tcPr>
          <w:p w14:paraId="4CC3503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Social determinants and their association with not taking cervical vaginal cytology in the rural population of Colombia.</w:t>
            </w:r>
          </w:p>
        </w:tc>
        <w:tc>
          <w:tcPr>
            <w:tcW w:w="0" w:type="auto"/>
            <w:tcMar>
              <w:top w:w="0" w:type="dxa"/>
              <w:left w:w="108" w:type="dxa"/>
              <w:bottom w:w="0" w:type="dxa"/>
              <w:right w:w="101" w:type="dxa"/>
            </w:tcMar>
            <w:vAlign w:val="center"/>
            <w:hideMark/>
          </w:tcPr>
          <w:p w14:paraId="7BE9538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Sosa, 2020</w:t>
            </w:r>
          </w:p>
        </w:tc>
        <w:tc>
          <w:tcPr>
            <w:tcW w:w="0" w:type="auto"/>
            <w:tcMar>
              <w:top w:w="0" w:type="dxa"/>
              <w:left w:w="108" w:type="dxa"/>
              <w:bottom w:w="0" w:type="dxa"/>
              <w:right w:w="101" w:type="dxa"/>
            </w:tcMar>
            <w:vAlign w:val="center"/>
            <w:hideMark/>
          </w:tcPr>
          <w:p w14:paraId="4135499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3B7350B5" w14:textId="77777777" w:rsidTr="00E10CC6">
        <w:trPr>
          <w:trHeight w:val="780"/>
          <w:jc w:val="center"/>
        </w:trPr>
        <w:tc>
          <w:tcPr>
            <w:tcW w:w="0" w:type="auto"/>
            <w:tcMar>
              <w:top w:w="0" w:type="dxa"/>
              <w:left w:w="101" w:type="dxa"/>
              <w:bottom w:w="0" w:type="dxa"/>
              <w:right w:w="101" w:type="dxa"/>
            </w:tcMar>
            <w:vAlign w:val="center"/>
            <w:hideMark/>
          </w:tcPr>
          <w:p w14:paraId="15BA98C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lastRenderedPageBreak/>
              <w:t>256</w:t>
            </w:r>
          </w:p>
        </w:tc>
        <w:tc>
          <w:tcPr>
            <w:tcW w:w="0" w:type="auto"/>
            <w:tcMar>
              <w:top w:w="0" w:type="dxa"/>
              <w:left w:w="108" w:type="dxa"/>
              <w:bottom w:w="0" w:type="dxa"/>
              <w:right w:w="101" w:type="dxa"/>
            </w:tcMar>
            <w:vAlign w:val="center"/>
            <w:hideMark/>
          </w:tcPr>
          <w:p w14:paraId="32843129"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Comparison of two contraceptive counseling models for HIV positive women from a health equity perspective Colombia 2015-2017</w:t>
            </w:r>
          </w:p>
        </w:tc>
        <w:tc>
          <w:tcPr>
            <w:tcW w:w="0" w:type="auto"/>
            <w:tcMar>
              <w:top w:w="0" w:type="dxa"/>
              <w:left w:w="108" w:type="dxa"/>
              <w:bottom w:w="0" w:type="dxa"/>
              <w:right w:w="101" w:type="dxa"/>
            </w:tcMar>
            <w:vAlign w:val="center"/>
            <w:hideMark/>
          </w:tcPr>
          <w:p w14:paraId="145EB91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Gomez, 2019</w:t>
            </w:r>
          </w:p>
        </w:tc>
        <w:tc>
          <w:tcPr>
            <w:tcW w:w="0" w:type="auto"/>
            <w:tcMar>
              <w:top w:w="0" w:type="dxa"/>
              <w:left w:w="108" w:type="dxa"/>
              <w:bottom w:w="0" w:type="dxa"/>
              <w:right w:w="101" w:type="dxa"/>
            </w:tcMar>
            <w:vAlign w:val="center"/>
            <w:hideMark/>
          </w:tcPr>
          <w:p w14:paraId="10EEFD2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3E56B5FA" w14:textId="77777777" w:rsidTr="00E10CC6">
        <w:trPr>
          <w:trHeight w:val="780"/>
          <w:jc w:val="center"/>
        </w:trPr>
        <w:tc>
          <w:tcPr>
            <w:tcW w:w="0" w:type="auto"/>
            <w:tcMar>
              <w:top w:w="0" w:type="dxa"/>
              <w:left w:w="101" w:type="dxa"/>
              <w:bottom w:w="0" w:type="dxa"/>
              <w:right w:w="101" w:type="dxa"/>
            </w:tcMar>
            <w:vAlign w:val="center"/>
            <w:hideMark/>
          </w:tcPr>
          <w:p w14:paraId="51EC13C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257</w:t>
            </w:r>
          </w:p>
        </w:tc>
        <w:tc>
          <w:tcPr>
            <w:tcW w:w="0" w:type="auto"/>
            <w:tcMar>
              <w:top w:w="0" w:type="dxa"/>
              <w:left w:w="108" w:type="dxa"/>
              <w:bottom w:w="0" w:type="dxa"/>
              <w:right w:w="101" w:type="dxa"/>
            </w:tcMar>
            <w:vAlign w:val="center"/>
            <w:hideMark/>
          </w:tcPr>
          <w:p w14:paraId="68BFCC4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Sociodemographic characterization of maternal health in Vichada, 2011-2915: a view from morbidity and mortality</w:t>
            </w:r>
          </w:p>
        </w:tc>
        <w:tc>
          <w:tcPr>
            <w:tcW w:w="0" w:type="auto"/>
            <w:tcMar>
              <w:top w:w="0" w:type="dxa"/>
              <w:left w:w="108" w:type="dxa"/>
              <w:bottom w:w="0" w:type="dxa"/>
              <w:right w:w="101" w:type="dxa"/>
            </w:tcMar>
            <w:vAlign w:val="center"/>
            <w:hideMark/>
          </w:tcPr>
          <w:p w14:paraId="210D8E5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Acevedo, 2019</w:t>
            </w:r>
          </w:p>
        </w:tc>
        <w:tc>
          <w:tcPr>
            <w:tcW w:w="0" w:type="auto"/>
            <w:tcMar>
              <w:top w:w="0" w:type="dxa"/>
              <w:left w:w="108" w:type="dxa"/>
              <w:bottom w:w="0" w:type="dxa"/>
              <w:right w:w="101" w:type="dxa"/>
            </w:tcMar>
            <w:vAlign w:val="center"/>
            <w:hideMark/>
          </w:tcPr>
          <w:p w14:paraId="201AC72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545DE4A0" w14:textId="77777777" w:rsidTr="00E10CC6">
        <w:trPr>
          <w:trHeight w:val="780"/>
          <w:jc w:val="center"/>
        </w:trPr>
        <w:tc>
          <w:tcPr>
            <w:tcW w:w="0" w:type="auto"/>
            <w:tcMar>
              <w:top w:w="0" w:type="dxa"/>
              <w:left w:w="101" w:type="dxa"/>
              <w:bottom w:w="0" w:type="dxa"/>
              <w:right w:w="101" w:type="dxa"/>
            </w:tcMar>
            <w:vAlign w:val="center"/>
            <w:hideMark/>
          </w:tcPr>
          <w:p w14:paraId="1F90020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258</w:t>
            </w:r>
          </w:p>
        </w:tc>
        <w:tc>
          <w:tcPr>
            <w:tcW w:w="0" w:type="auto"/>
            <w:tcMar>
              <w:top w:w="0" w:type="dxa"/>
              <w:left w:w="108" w:type="dxa"/>
              <w:bottom w:w="0" w:type="dxa"/>
              <w:right w:w="101" w:type="dxa"/>
            </w:tcMar>
            <w:vAlign w:val="center"/>
            <w:hideMark/>
          </w:tcPr>
          <w:p w14:paraId="72A98D18"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Factors associated with the inequality of Infant Mortality in the towns of Bogotá, 2013</w:t>
            </w:r>
          </w:p>
        </w:tc>
        <w:tc>
          <w:tcPr>
            <w:tcW w:w="0" w:type="auto"/>
            <w:tcMar>
              <w:top w:w="0" w:type="dxa"/>
              <w:left w:w="108" w:type="dxa"/>
              <w:bottom w:w="0" w:type="dxa"/>
              <w:right w:w="101" w:type="dxa"/>
            </w:tcMar>
            <w:vAlign w:val="center"/>
            <w:hideMark/>
          </w:tcPr>
          <w:p w14:paraId="6D96BC6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Romero, 2017</w:t>
            </w:r>
          </w:p>
        </w:tc>
        <w:tc>
          <w:tcPr>
            <w:tcW w:w="0" w:type="auto"/>
            <w:tcMar>
              <w:top w:w="0" w:type="dxa"/>
              <w:left w:w="108" w:type="dxa"/>
              <w:bottom w:w="0" w:type="dxa"/>
              <w:right w:w="101" w:type="dxa"/>
            </w:tcMar>
            <w:vAlign w:val="center"/>
            <w:hideMark/>
          </w:tcPr>
          <w:p w14:paraId="4AC7218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45EA9FBE" w14:textId="77777777" w:rsidTr="00E10CC6">
        <w:trPr>
          <w:trHeight w:val="780"/>
          <w:jc w:val="center"/>
        </w:trPr>
        <w:tc>
          <w:tcPr>
            <w:tcW w:w="0" w:type="auto"/>
            <w:tcMar>
              <w:top w:w="0" w:type="dxa"/>
              <w:left w:w="101" w:type="dxa"/>
              <w:bottom w:w="0" w:type="dxa"/>
              <w:right w:w="101" w:type="dxa"/>
            </w:tcMar>
            <w:vAlign w:val="center"/>
            <w:hideMark/>
          </w:tcPr>
          <w:p w14:paraId="3118AAE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259</w:t>
            </w:r>
          </w:p>
        </w:tc>
        <w:tc>
          <w:tcPr>
            <w:tcW w:w="0" w:type="auto"/>
            <w:tcMar>
              <w:top w:w="0" w:type="dxa"/>
              <w:left w:w="108" w:type="dxa"/>
              <w:bottom w:w="0" w:type="dxa"/>
              <w:right w:w="101" w:type="dxa"/>
            </w:tcMar>
            <w:vAlign w:val="center"/>
            <w:hideMark/>
          </w:tcPr>
          <w:p w14:paraId="1A609B5C"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Nursing intervention for self-management in adults with colorectal cancer undergoing surgical treatment </w:t>
            </w:r>
          </w:p>
        </w:tc>
        <w:tc>
          <w:tcPr>
            <w:tcW w:w="0" w:type="auto"/>
            <w:tcMar>
              <w:top w:w="0" w:type="dxa"/>
              <w:left w:w="108" w:type="dxa"/>
              <w:bottom w:w="0" w:type="dxa"/>
              <w:right w:w="101" w:type="dxa"/>
            </w:tcMar>
            <w:vAlign w:val="center"/>
            <w:hideMark/>
          </w:tcPr>
          <w:p w14:paraId="0734EA8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Vergara, 2020</w:t>
            </w:r>
          </w:p>
        </w:tc>
        <w:tc>
          <w:tcPr>
            <w:tcW w:w="0" w:type="auto"/>
            <w:tcMar>
              <w:top w:w="0" w:type="dxa"/>
              <w:left w:w="108" w:type="dxa"/>
              <w:bottom w:w="0" w:type="dxa"/>
              <w:right w:w="101" w:type="dxa"/>
            </w:tcMar>
            <w:vAlign w:val="center"/>
            <w:hideMark/>
          </w:tcPr>
          <w:p w14:paraId="1416B35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713C26F8" w14:textId="77777777" w:rsidTr="00E10CC6">
        <w:trPr>
          <w:trHeight w:val="780"/>
          <w:jc w:val="center"/>
        </w:trPr>
        <w:tc>
          <w:tcPr>
            <w:tcW w:w="0" w:type="auto"/>
            <w:tcMar>
              <w:top w:w="0" w:type="dxa"/>
              <w:left w:w="101" w:type="dxa"/>
              <w:bottom w:w="0" w:type="dxa"/>
              <w:right w:w="101" w:type="dxa"/>
            </w:tcMar>
            <w:vAlign w:val="center"/>
            <w:hideMark/>
          </w:tcPr>
          <w:p w14:paraId="54FF0A0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260</w:t>
            </w:r>
          </w:p>
        </w:tc>
        <w:tc>
          <w:tcPr>
            <w:tcW w:w="0" w:type="auto"/>
            <w:tcMar>
              <w:top w:w="0" w:type="dxa"/>
              <w:left w:w="108" w:type="dxa"/>
              <w:bottom w:w="0" w:type="dxa"/>
              <w:right w:w="101" w:type="dxa"/>
            </w:tcMar>
            <w:vAlign w:val="center"/>
            <w:hideMark/>
          </w:tcPr>
          <w:p w14:paraId="57306564"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Social Determinants and Mortality in Children under 5 Years of Age in the Department of Chocó</w:t>
            </w:r>
          </w:p>
        </w:tc>
        <w:tc>
          <w:tcPr>
            <w:tcW w:w="0" w:type="auto"/>
            <w:tcMar>
              <w:top w:w="0" w:type="dxa"/>
              <w:left w:w="108" w:type="dxa"/>
              <w:bottom w:w="0" w:type="dxa"/>
              <w:right w:w="101" w:type="dxa"/>
            </w:tcMar>
            <w:vAlign w:val="center"/>
            <w:hideMark/>
          </w:tcPr>
          <w:p w14:paraId="76AE85AA"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Cordoba, 2016</w:t>
            </w:r>
          </w:p>
        </w:tc>
        <w:tc>
          <w:tcPr>
            <w:tcW w:w="0" w:type="auto"/>
            <w:tcMar>
              <w:top w:w="0" w:type="dxa"/>
              <w:left w:w="108" w:type="dxa"/>
              <w:bottom w:w="0" w:type="dxa"/>
              <w:right w:w="101" w:type="dxa"/>
            </w:tcMar>
            <w:vAlign w:val="center"/>
            <w:hideMark/>
          </w:tcPr>
          <w:p w14:paraId="204AD0E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24A32CB1" w14:textId="77777777" w:rsidTr="00E10CC6">
        <w:trPr>
          <w:trHeight w:val="780"/>
          <w:jc w:val="center"/>
        </w:trPr>
        <w:tc>
          <w:tcPr>
            <w:tcW w:w="0" w:type="auto"/>
            <w:tcMar>
              <w:top w:w="0" w:type="dxa"/>
              <w:left w:w="101" w:type="dxa"/>
              <w:bottom w:w="0" w:type="dxa"/>
              <w:right w:w="101" w:type="dxa"/>
            </w:tcMar>
            <w:vAlign w:val="center"/>
            <w:hideMark/>
          </w:tcPr>
          <w:p w14:paraId="2BAFF32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261</w:t>
            </w:r>
          </w:p>
        </w:tc>
        <w:tc>
          <w:tcPr>
            <w:tcW w:w="0" w:type="auto"/>
            <w:tcMar>
              <w:top w:w="0" w:type="dxa"/>
              <w:left w:w="108" w:type="dxa"/>
              <w:bottom w:w="0" w:type="dxa"/>
              <w:right w:w="101" w:type="dxa"/>
            </w:tcMar>
            <w:vAlign w:val="center"/>
            <w:hideMark/>
          </w:tcPr>
          <w:p w14:paraId="180EF65B"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Inequality in burden of disease due to acute respiratory infection (ARI) and acute diarrheal disease (ADD) under 5 years of age, Colombia 2010.</w:t>
            </w:r>
          </w:p>
        </w:tc>
        <w:tc>
          <w:tcPr>
            <w:tcW w:w="0" w:type="auto"/>
            <w:tcMar>
              <w:top w:w="0" w:type="dxa"/>
              <w:left w:w="108" w:type="dxa"/>
              <w:bottom w:w="0" w:type="dxa"/>
              <w:right w:w="101" w:type="dxa"/>
            </w:tcMar>
            <w:vAlign w:val="center"/>
            <w:hideMark/>
          </w:tcPr>
          <w:p w14:paraId="110DD1D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Calderon, 2016</w:t>
            </w:r>
          </w:p>
        </w:tc>
        <w:tc>
          <w:tcPr>
            <w:tcW w:w="0" w:type="auto"/>
            <w:tcMar>
              <w:top w:w="0" w:type="dxa"/>
              <w:left w:w="108" w:type="dxa"/>
              <w:bottom w:w="0" w:type="dxa"/>
              <w:right w:w="101" w:type="dxa"/>
            </w:tcMar>
            <w:vAlign w:val="center"/>
            <w:hideMark/>
          </w:tcPr>
          <w:p w14:paraId="5A37AAE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55376094" w14:textId="77777777" w:rsidTr="00E10CC6">
        <w:trPr>
          <w:trHeight w:val="780"/>
          <w:jc w:val="center"/>
        </w:trPr>
        <w:tc>
          <w:tcPr>
            <w:tcW w:w="0" w:type="auto"/>
            <w:tcMar>
              <w:top w:w="0" w:type="dxa"/>
              <w:left w:w="101" w:type="dxa"/>
              <w:bottom w:w="0" w:type="dxa"/>
              <w:right w:w="101" w:type="dxa"/>
            </w:tcMar>
            <w:vAlign w:val="center"/>
            <w:hideMark/>
          </w:tcPr>
          <w:p w14:paraId="22F6498F"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262</w:t>
            </w:r>
          </w:p>
        </w:tc>
        <w:tc>
          <w:tcPr>
            <w:tcW w:w="0" w:type="auto"/>
            <w:tcMar>
              <w:top w:w="0" w:type="dxa"/>
              <w:left w:w="108" w:type="dxa"/>
              <w:bottom w:w="0" w:type="dxa"/>
              <w:right w:w="101" w:type="dxa"/>
            </w:tcMar>
            <w:vAlign w:val="center"/>
            <w:hideMark/>
          </w:tcPr>
          <w:p w14:paraId="5D70C2D2"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Association of the burden of disease due to acute pediatric leukemia and health inequalities by affiliation regime and department of origin in Colombia during the period 2011-2012</w:t>
            </w:r>
          </w:p>
        </w:tc>
        <w:tc>
          <w:tcPr>
            <w:tcW w:w="0" w:type="auto"/>
            <w:tcMar>
              <w:top w:w="0" w:type="dxa"/>
              <w:left w:w="108" w:type="dxa"/>
              <w:bottom w:w="0" w:type="dxa"/>
              <w:right w:w="101" w:type="dxa"/>
            </w:tcMar>
            <w:vAlign w:val="center"/>
            <w:hideMark/>
          </w:tcPr>
          <w:p w14:paraId="49EEE44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Castañeda, 2016</w:t>
            </w:r>
          </w:p>
        </w:tc>
        <w:tc>
          <w:tcPr>
            <w:tcW w:w="0" w:type="auto"/>
            <w:tcMar>
              <w:top w:w="0" w:type="dxa"/>
              <w:left w:w="108" w:type="dxa"/>
              <w:bottom w:w="0" w:type="dxa"/>
              <w:right w:w="101" w:type="dxa"/>
            </w:tcMar>
            <w:vAlign w:val="center"/>
            <w:hideMark/>
          </w:tcPr>
          <w:p w14:paraId="6CB7760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655D73B8" w14:textId="77777777" w:rsidTr="00E10CC6">
        <w:trPr>
          <w:trHeight w:val="780"/>
          <w:jc w:val="center"/>
        </w:trPr>
        <w:tc>
          <w:tcPr>
            <w:tcW w:w="0" w:type="auto"/>
            <w:tcMar>
              <w:top w:w="0" w:type="dxa"/>
              <w:left w:w="101" w:type="dxa"/>
              <w:bottom w:w="0" w:type="dxa"/>
              <w:right w:w="101" w:type="dxa"/>
            </w:tcMar>
            <w:vAlign w:val="center"/>
            <w:hideMark/>
          </w:tcPr>
          <w:p w14:paraId="4880E19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263</w:t>
            </w:r>
          </w:p>
        </w:tc>
        <w:tc>
          <w:tcPr>
            <w:tcW w:w="0" w:type="auto"/>
            <w:tcMar>
              <w:top w:w="0" w:type="dxa"/>
              <w:left w:w="108" w:type="dxa"/>
              <w:bottom w:w="0" w:type="dxa"/>
              <w:right w:w="101" w:type="dxa"/>
            </w:tcMar>
            <w:vAlign w:val="center"/>
            <w:hideMark/>
          </w:tcPr>
          <w:p w14:paraId="135C0154"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Qualitative analysis of maternal deaths in Buenaventura 2010 - 2012 with a focus on social determinants and equity</w:t>
            </w:r>
          </w:p>
        </w:tc>
        <w:tc>
          <w:tcPr>
            <w:tcW w:w="0" w:type="auto"/>
            <w:tcMar>
              <w:top w:w="0" w:type="dxa"/>
              <w:left w:w="108" w:type="dxa"/>
              <w:bottom w:w="0" w:type="dxa"/>
              <w:right w:w="101" w:type="dxa"/>
            </w:tcMar>
            <w:vAlign w:val="center"/>
            <w:hideMark/>
          </w:tcPr>
          <w:p w14:paraId="4BABBD5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Soto, 2016</w:t>
            </w:r>
          </w:p>
        </w:tc>
        <w:tc>
          <w:tcPr>
            <w:tcW w:w="0" w:type="auto"/>
            <w:tcMar>
              <w:top w:w="0" w:type="dxa"/>
              <w:left w:w="108" w:type="dxa"/>
              <w:bottom w:w="0" w:type="dxa"/>
              <w:right w:w="101" w:type="dxa"/>
            </w:tcMar>
            <w:vAlign w:val="center"/>
            <w:hideMark/>
          </w:tcPr>
          <w:p w14:paraId="168AC96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14CC8D54" w14:textId="77777777" w:rsidTr="00E10CC6">
        <w:trPr>
          <w:trHeight w:val="780"/>
          <w:jc w:val="center"/>
        </w:trPr>
        <w:tc>
          <w:tcPr>
            <w:tcW w:w="0" w:type="auto"/>
            <w:tcMar>
              <w:top w:w="0" w:type="dxa"/>
              <w:left w:w="101" w:type="dxa"/>
              <w:bottom w:w="0" w:type="dxa"/>
              <w:right w:w="101" w:type="dxa"/>
            </w:tcMar>
            <w:vAlign w:val="center"/>
            <w:hideMark/>
          </w:tcPr>
          <w:p w14:paraId="4D2D4AF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264</w:t>
            </w:r>
          </w:p>
        </w:tc>
        <w:tc>
          <w:tcPr>
            <w:tcW w:w="0" w:type="auto"/>
            <w:tcMar>
              <w:top w:w="0" w:type="dxa"/>
              <w:left w:w="108" w:type="dxa"/>
              <w:bottom w:w="0" w:type="dxa"/>
              <w:right w:w="101" w:type="dxa"/>
            </w:tcMar>
            <w:vAlign w:val="center"/>
            <w:hideMark/>
          </w:tcPr>
          <w:p w14:paraId="5DA28A06"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Characterization of patients diagnosed with breast cancer, at the hospital de la samaritana, bogota 2010 - 2018.</w:t>
            </w:r>
          </w:p>
        </w:tc>
        <w:tc>
          <w:tcPr>
            <w:tcW w:w="0" w:type="auto"/>
            <w:tcMar>
              <w:top w:w="0" w:type="dxa"/>
              <w:left w:w="108" w:type="dxa"/>
              <w:bottom w:w="0" w:type="dxa"/>
              <w:right w:w="101" w:type="dxa"/>
            </w:tcMar>
            <w:vAlign w:val="center"/>
            <w:hideMark/>
          </w:tcPr>
          <w:p w14:paraId="3F95F84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Peñafiel, 2020</w:t>
            </w:r>
          </w:p>
        </w:tc>
        <w:tc>
          <w:tcPr>
            <w:tcW w:w="0" w:type="auto"/>
            <w:tcMar>
              <w:top w:w="0" w:type="dxa"/>
              <w:left w:w="108" w:type="dxa"/>
              <w:bottom w:w="0" w:type="dxa"/>
              <w:right w:w="101" w:type="dxa"/>
            </w:tcMar>
            <w:vAlign w:val="center"/>
            <w:hideMark/>
          </w:tcPr>
          <w:p w14:paraId="7762651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43EC8FB7" w14:textId="77777777" w:rsidTr="00E10CC6">
        <w:trPr>
          <w:trHeight w:val="780"/>
          <w:jc w:val="center"/>
        </w:trPr>
        <w:tc>
          <w:tcPr>
            <w:tcW w:w="0" w:type="auto"/>
            <w:tcMar>
              <w:top w:w="0" w:type="dxa"/>
              <w:left w:w="101" w:type="dxa"/>
              <w:bottom w:w="0" w:type="dxa"/>
              <w:right w:w="101" w:type="dxa"/>
            </w:tcMar>
            <w:vAlign w:val="center"/>
            <w:hideMark/>
          </w:tcPr>
          <w:p w14:paraId="06569A1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265</w:t>
            </w:r>
          </w:p>
        </w:tc>
        <w:tc>
          <w:tcPr>
            <w:tcW w:w="0" w:type="auto"/>
            <w:tcMar>
              <w:top w:w="0" w:type="dxa"/>
              <w:left w:w="108" w:type="dxa"/>
              <w:bottom w:w="0" w:type="dxa"/>
              <w:right w:w="101" w:type="dxa"/>
            </w:tcMar>
            <w:vAlign w:val="center"/>
            <w:hideMark/>
          </w:tcPr>
          <w:p w14:paraId="4361741D"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Barriers to access to the Expanded Immunization Program, of the child population attending the neighborhood houses of Tibabitá and Horizontes in the town of Usaquén, Bogotá DC, year 2008</w:t>
            </w:r>
          </w:p>
        </w:tc>
        <w:tc>
          <w:tcPr>
            <w:tcW w:w="0" w:type="auto"/>
            <w:tcMar>
              <w:top w:w="0" w:type="dxa"/>
              <w:left w:w="108" w:type="dxa"/>
              <w:bottom w:w="0" w:type="dxa"/>
              <w:right w:w="101" w:type="dxa"/>
            </w:tcMar>
            <w:vAlign w:val="center"/>
            <w:hideMark/>
          </w:tcPr>
          <w:p w14:paraId="0CB052A2"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Becerra, 2011</w:t>
            </w:r>
          </w:p>
        </w:tc>
        <w:tc>
          <w:tcPr>
            <w:tcW w:w="0" w:type="auto"/>
            <w:tcMar>
              <w:top w:w="0" w:type="dxa"/>
              <w:left w:w="108" w:type="dxa"/>
              <w:bottom w:w="0" w:type="dxa"/>
              <w:right w:w="101" w:type="dxa"/>
            </w:tcMar>
            <w:vAlign w:val="center"/>
            <w:hideMark/>
          </w:tcPr>
          <w:p w14:paraId="635EB903"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35FF1D20" w14:textId="77777777" w:rsidTr="00E10CC6">
        <w:trPr>
          <w:trHeight w:val="780"/>
          <w:jc w:val="center"/>
        </w:trPr>
        <w:tc>
          <w:tcPr>
            <w:tcW w:w="0" w:type="auto"/>
            <w:tcMar>
              <w:top w:w="0" w:type="dxa"/>
              <w:left w:w="101" w:type="dxa"/>
              <w:bottom w:w="0" w:type="dxa"/>
              <w:right w:w="101" w:type="dxa"/>
            </w:tcMar>
            <w:vAlign w:val="center"/>
            <w:hideMark/>
          </w:tcPr>
          <w:p w14:paraId="65524156"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266</w:t>
            </w:r>
          </w:p>
        </w:tc>
        <w:tc>
          <w:tcPr>
            <w:tcW w:w="0" w:type="auto"/>
            <w:tcMar>
              <w:top w:w="0" w:type="dxa"/>
              <w:left w:w="108" w:type="dxa"/>
              <w:bottom w:w="0" w:type="dxa"/>
              <w:right w:w="101" w:type="dxa"/>
            </w:tcMar>
            <w:vAlign w:val="center"/>
            <w:hideMark/>
          </w:tcPr>
          <w:p w14:paraId="1FA162A0"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Equity in health: case study in the capital district of bogota </w:t>
            </w:r>
          </w:p>
        </w:tc>
        <w:tc>
          <w:tcPr>
            <w:tcW w:w="0" w:type="auto"/>
            <w:tcMar>
              <w:top w:w="0" w:type="dxa"/>
              <w:left w:w="108" w:type="dxa"/>
              <w:bottom w:w="0" w:type="dxa"/>
              <w:right w:w="101" w:type="dxa"/>
            </w:tcMar>
            <w:vAlign w:val="center"/>
            <w:hideMark/>
          </w:tcPr>
          <w:p w14:paraId="0D515A90"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Martinez, 2006</w:t>
            </w:r>
          </w:p>
        </w:tc>
        <w:tc>
          <w:tcPr>
            <w:tcW w:w="0" w:type="auto"/>
            <w:tcMar>
              <w:top w:w="0" w:type="dxa"/>
              <w:left w:w="108" w:type="dxa"/>
              <w:bottom w:w="0" w:type="dxa"/>
              <w:right w:w="101" w:type="dxa"/>
            </w:tcMar>
            <w:vAlign w:val="center"/>
            <w:hideMark/>
          </w:tcPr>
          <w:p w14:paraId="050BEFE7"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r w:rsidR="00E10CC6" w:rsidRPr="009B3512" w14:paraId="2C345875" w14:textId="77777777" w:rsidTr="00E10CC6">
        <w:trPr>
          <w:trHeight w:val="780"/>
          <w:jc w:val="center"/>
        </w:trPr>
        <w:tc>
          <w:tcPr>
            <w:tcW w:w="0" w:type="auto"/>
            <w:tcMar>
              <w:top w:w="0" w:type="dxa"/>
              <w:left w:w="101" w:type="dxa"/>
              <w:bottom w:w="0" w:type="dxa"/>
              <w:right w:w="101" w:type="dxa"/>
            </w:tcMar>
            <w:vAlign w:val="center"/>
            <w:hideMark/>
          </w:tcPr>
          <w:p w14:paraId="170D34E9"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267</w:t>
            </w:r>
          </w:p>
        </w:tc>
        <w:tc>
          <w:tcPr>
            <w:tcW w:w="0" w:type="auto"/>
            <w:tcMar>
              <w:top w:w="0" w:type="dxa"/>
              <w:left w:w="108" w:type="dxa"/>
              <w:bottom w:w="0" w:type="dxa"/>
              <w:right w:w="101" w:type="dxa"/>
            </w:tcMar>
            <w:vAlign w:val="center"/>
            <w:hideMark/>
          </w:tcPr>
          <w:p w14:paraId="70B391C7"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Factors associated with the use of the emergency service at Hospital San Vicente de Arauca between the period September 2013 and August 2014 </w:t>
            </w:r>
          </w:p>
        </w:tc>
        <w:tc>
          <w:tcPr>
            <w:tcW w:w="0" w:type="auto"/>
            <w:tcMar>
              <w:top w:w="0" w:type="dxa"/>
              <w:left w:w="108" w:type="dxa"/>
              <w:bottom w:w="0" w:type="dxa"/>
              <w:right w:w="101" w:type="dxa"/>
            </w:tcMar>
            <w:vAlign w:val="center"/>
            <w:hideMark/>
          </w:tcPr>
          <w:p w14:paraId="33EC75E8"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Medina, 2018</w:t>
            </w:r>
          </w:p>
        </w:tc>
        <w:tc>
          <w:tcPr>
            <w:tcW w:w="0" w:type="auto"/>
            <w:tcMar>
              <w:top w:w="0" w:type="dxa"/>
              <w:left w:w="108" w:type="dxa"/>
              <w:bottom w:w="0" w:type="dxa"/>
              <w:right w:w="101" w:type="dxa"/>
            </w:tcMar>
            <w:vAlign w:val="center"/>
            <w:hideMark/>
          </w:tcPr>
          <w:p w14:paraId="11740D71"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Article </w:t>
            </w:r>
          </w:p>
        </w:tc>
      </w:tr>
      <w:tr w:rsidR="00E10CC6" w:rsidRPr="009B3512" w14:paraId="216FFDB2" w14:textId="77777777" w:rsidTr="00E10CC6">
        <w:trPr>
          <w:trHeight w:val="780"/>
          <w:jc w:val="center"/>
        </w:trPr>
        <w:tc>
          <w:tcPr>
            <w:tcW w:w="0" w:type="auto"/>
            <w:tcMar>
              <w:top w:w="0" w:type="dxa"/>
              <w:left w:w="101" w:type="dxa"/>
              <w:bottom w:w="0" w:type="dxa"/>
              <w:right w:w="101" w:type="dxa"/>
            </w:tcMar>
            <w:vAlign w:val="center"/>
            <w:hideMark/>
          </w:tcPr>
          <w:p w14:paraId="6F324104"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268</w:t>
            </w:r>
          </w:p>
        </w:tc>
        <w:tc>
          <w:tcPr>
            <w:tcW w:w="0" w:type="auto"/>
            <w:tcMar>
              <w:top w:w="0" w:type="dxa"/>
              <w:left w:w="108" w:type="dxa"/>
              <w:bottom w:w="0" w:type="dxa"/>
              <w:right w:w="101" w:type="dxa"/>
            </w:tcMar>
            <w:vAlign w:val="center"/>
            <w:hideMark/>
          </w:tcPr>
          <w:p w14:paraId="75F51F5A" w14:textId="77777777" w:rsidR="00E10CC6" w:rsidRPr="009B3512" w:rsidRDefault="00E10CC6" w:rsidP="00E10CC6">
            <w:pPr>
              <w:jc w:val="both"/>
              <w:rPr>
                <w:rFonts w:ascii="Arial" w:eastAsia="Times New Roman" w:hAnsi="Arial" w:cs="Arial"/>
                <w:lang w:val="en-CO" w:eastAsia="en-GB"/>
              </w:rPr>
            </w:pPr>
            <w:r w:rsidRPr="009B3512">
              <w:rPr>
                <w:rFonts w:ascii="Arial" w:eastAsia="Times New Roman" w:hAnsi="Arial" w:cs="Arial"/>
                <w:lang w:val="en-CO" w:eastAsia="en-GB"/>
              </w:rPr>
              <w:t>Scale of vulnerability to death due to acute respiratory infection, in children under one year of age, in Bogotá according to social determinants of health</w:t>
            </w:r>
          </w:p>
        </w:tc>
        <w:tc>
          <w:tcPr>
            <w:tcW w:w="0" w:type="auto"/>
            <w:tcMar>
              <w:top w:w="0" w:type="dxa"/>
              <w:left w:w="108" w:type="dxa"/>
              <w:bottom w:w="0" w:type="dxa"/>
              <w:right w:w="101" w:type="dxa"/>
            </w:tcMar>
            <w:vAlign w:val="center"/>
            <w:hideMark/>
          </w:tcPr>
          <w:p w14:paraId="57C0A4EC"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Nuñez, 2017</w:t>
            </w:r>
          </w:p>
        </w:tc>
        <w:tc>
          <w:tcPr>
            <w:tcW w:w="0" w:type="auto"/>
            <w:tcMar>
              <w:top w:w="0" w:type="dxa"/>
              <w:left w:w="108" w:type="dxa"/>
              <w:bottom w:w="0" w:type="dxa"/>
              <w:right w:w="101" w:type="dxa"/>
            </w:tcMar>
            <w:vAlign w:val="center"/>
            <w:hideMark/>
          </w:tcPr>
          <w:p w14:paraId="1483DADD" w14:textId="77777777" w:rsidR="00E10CC6" w:rsidRPr="009B3512" w:rsidRDefault="00E10CC6" w:rsidP="00E10CC6">
            <w:pPr>
              <w:jc w:val="center"/>
              <w:rPr>
                <w:rFonts w:ascii="Arial" w:eastAsia="Times New Roman" w:hAnsi="Arial" w:cs="Arial"/>
                <w:lang w:val="en-CO" w:eastAsia="en-GB"/>
              </w:rPr>
            </w:pPr>
            <w:r w:rsidRPr="009B3512">
              <w:rPr>
                <w:rFonts w:ascii="Arial" w:eastAsia="Times New Roman" w:hAnsi="Arial" w:cs="Arial"/>
                <w:lang w:val="en-CO" w:eastAsia="en-GB"/>
              </w:rPr>
              <w:t>Thesis </w:t>
            </w:r>
          </w:p>
        </w:tc>
      </w:tr>
    </w:tbl>
    <w:p w14:paraId="60644BFC" w14:textId="77777777" w:rsidR="00E10CC6" w:rsidRPr="009B3512" w:rsidRDefault="00E10CC6" w:rsidP="00E10CC6">
      <w:pPr>
        <w:rPr>
          <w:rFonts w:ascii="Arial" w:eastAsia="Times New Roman" w:hAnsi="Arial" w:cs="Arial"/>
          <w:color w:val="000000"/>
          <w:lang w:val="en-CO" w:eastAsia="en-GB"/>
        </w:rPr>
      </w:pPr>
      <w:r w:rsidRPr="009B3512">
        <w:rPr>
          <w:rFonts w:ascii="Arial" w:eastAsia="Times New Roman" w:hAnsi="Arial" w:cs="Arial"/>
          <w:b/>
          <w:bCs/>
          <w:color w:val="000000"/>
          <w:lang w:val="en-CO" w:eastAsia="en-GB"/>
        </w:rPr>
        <w:t> </w:t>
      </w:r>
    </w:p>
    <w:p w14:paraId="3394FBB3" w14:textId="75D2C432" w:rsidR="00E10CC6" w:rsidRPr="009B3512" w:rsidRDefault="00E10CC6" w:rsidP="00E64E2F">
      <w:pPr>
        <w:rPr>
          <w:rFonts w:ascii="Arial" w:hAnsi="Arial" w:cs="Arial"/>
          <w:b/>
          <w:bCs/>
          <w:lang w:val="en-US"/>
        </w:rPr>
      </w:pPr>
    </w:p>
    <w:sectPr w:rsidR="00E10CC6" w:rsidRPr="009B35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Grande">
    <w:altName w:val="Times New Roman"/>
    <w:panose1 w:val="020B0600040502020204"/>
    <w:charset w:val="00"/>
    <w:family w:val="swiss"/>
    <w:pitch w:val="variable"/>
    <w:sig w:usb0="E1000AEF" w:usb1="5000A1FF" w:usb2="00000000" w:usb3="00000000" w:csb0="000001BF" w:csb1="00000000"/>
  </w:font>
  <w:font w:name="ArialMT">
    <w:panose1 w:val="020B0604020202020204"/>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CEE"/>
    <w:multiLevelType w:val="multilevel"/>
    <w:tmpl w:val="6D3C30FC"/>
    <w:lvl w:ilvl="0">
      <w:start w:val="3"/>
      <w:numFmt w:val="decimal"/>
      <w:lvlText w:val="%1"/>
      <w:lvlJc w:val="left"/>
      <w:pPr>
        <w:ind w:left="380" w:hanging="3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0AE462A"/>
    <w:multiLevelType w:val="hybridMultilevel"/>
    <w:tmpl w:val="12661058"/>
    <w:lvl w:ilvl="0" w:tplc="2102B63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40500"/>
    <w:multiLevelType w:val="hybridMultilevel"/>
    <w:tmpl w:val="085AD042"/>
    <w:lvl w:ilvl="0" w:tplc="F704DA16">
      <w:start w:val="1"/>
      <w:numFmt w:val="bullet"/>
      <w:lvlText w:val=""/>
      <w:lvlJc w:val="left"/>
      <w:pPr>
        <w:tabs>
          <w:tab w:val="num" w:pos="720"/>
        </w:tabs>
        <w:ind w:left="720" w:hanging="360"/>
      </w:pPr>
      <w:rPr>
        <w:rFonts w:ascii="Symbol" w:hAnsi="Symbol" w:hint="default"/>
      </w:rPr>
    </w:lvl>
    <w:lvl w:ilvl="1" w:tplc="FB0CB86C" w:tentative="1">
      <w:start w:val="1"/>
      <w:numFmt w:val="bullet"/>
      <w:lvlText w:val=""/>
      <w:lvlJc w:val="left"/>
      <w:pPr>
        <w:tabs>
          <w:tab w:val="num" w:pos="1440"/>
        </w:tabs>
        <w:ind w:left="1440" w:hanging="360"/>
      </w:pPr>
      <w:rPr>
        <w:rFonts w:ascii="Symbol" w:hAnsi="Symbol" w:hint="default"/>
      </w:rPr>
    </w:lvl>
    <w:lvl w:ilvl="2" w:tplc="B720E0C8" w:tentative="1">
      <w:start w:val="1"/>
      <w:numFmt w:val="bullet"/>
      <w:lvlText w:val=""/>
      <w:lvlJc w:val="left"/>
      <w:pPr>
        <w:tabs>
          <w:tab w:val="num" w:pos="2160"/>
        </w:tabs>
        <w:ind w:left="2160" w:hanging="360"/>
      </w:pPr>
      <w:rPr>
        <w:rFonts w:ascii="Symbol" w:hAnsi="Symbol" w:hint="default"/>
      </w:rPr>
    </w:lvl>
    <w:lvl w:ilvl="3" w:tplc="F418F056" w:tentative="1">
      <w:start w:val="1"/>
      <w:numFmt w:val="bullet"/>
      <w:lvlText w:val=""/>
      <w:lvlJc w:val="left"/>
      <w:pPr>
        <w:tabs>
          <w:tab w:val="num" w:pos="2880"/>
        </w:tabs>
        <w:ind w:left="2880" w:hanging="360"/>
      </w:pPr>
      <w:rPr>
        <w:rFonts w:ascii="Symbol" w:hAnsi="Symbol" w:hint="default"/>
      </w:rPr>
    </w:lvl>
    <w:lvl w:ilvl="4" w:tplc="A1E45356" w:tentative="1">
      <w:start w:val="1"/>
      <w:numFmt w:val="bullet"/>
      <w:lvlText w:val=""/>
      <w:lvlJc w:val="left"/>
      <w:pPr>
        <w:tabs>
          <w:tab w:val="num" w:pos="3600"/>
        </w:tabs>
        <w:ind w:left="3600" w:hanging="360"/>
      </w:pPr>
      <w:rPr>
        <w:rFonts w:ascii="Symbol" w:hAnsi="Symbol" w:hint="default"/>
      </w:rPr>
    </w:lvl>
    <w:lvl w:ilvl="5" w:tplc="7D080AC8" w:tentative="1">
      <w:start w:val="1"/>
      <w:numFmt w:val="bullet"/>
      <w:lvlText w:val=""/>
      <w:lvlJc w:val="left"/>
      <w:pPr>
        <w:tabs>
          <w:tab w:val="num" w:pos="4320"/>
        </w:tabs>
        <w:ind w:left="4320" w:hanging="360"/>
      </w:pPr>
      <w:rPr>
        <w:rFonts w:ascii="Symbol" w:hAnsi="Symbol" w:hint="default"/>
      </w:rPr>
    </w:lvl>
    <w:lvl w:ilvl="6" w:tplc="DE7E0A46" w:tentative="1">
      <w:start w:val="1"/>
      <w:numFmt w:val="bullet"/>
      <w:lvlText w:val=""/>
      <w:lvlJc w:val="left"/>
      <w:pPr>
        <w:tabs>
          <w:tab w:val="num" w:pos="5040"/>
        </w:tabs>
        <w:ind w:left="5040" w:hanging="360"/>
      </w:pPr>
      <w:rPr>
        <w:rFonts w:ascii="Symbol" w:hAnsi="Symbol" w:hint="default"/>
      </w:rPr>
    </w:lvl>
    <w:lvl w:ilvl="7" w:tplc="8CB8FA5C" w:tentative="1">
      <w:start w:val="1"/>
      <w:numFmt w:val="bullet"/>
      <w:lvlText w:val=""/>
      <w:lvlJc w:val="left"/>
      <w:pPr>
        <w:tabs>
          <w:tab w:val="num" w:pos="5760"/>
        </w:tabs>
        <w:ind w:left="5760" w:hanging="360"/>
      </w:pPr>
      <w:rPr>
        <w:rFonts w:ascii="Symbol" w:hAnsi="Symbol" w:hint="default"/>
      </w:rPr>
    </w:lvl>
    <w:lvl w:ilvl="8" w:tplc="1F0A40A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5901A42"/>
    <w:multiLevelType w:val="multilevel"/>
    <w:tmpl w:val="F330208E"/>
    <w:lvl w:ilvl="0">
      <w:start w:val="1"/>
      <w:numFmt w:val="decimal"/>
      <w:lvlText w:val="%1."/>
      <w:lvlJc w:val="left"/>
      <w:pPr>
        <w:ind w:left="720" w:hanging="360"/>
      </w:pPr>
      <w:rPr>
        <w:rFonts w:hint="default"/>
      </w:rPr>
    </w:lvl>
    <w:lvl w:ilvl="1">
      <w:start w:val="1"/>
      <w:numFmt w:val="decimal"/>
      <w:isLgl/>
      <w:lvlText w:val="%1.%2"/>
      <w:lvlJc w:val="left"/>
      <w:pPr>
        <w:ind w:left="1180" w:hanging="4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B7D6095"/>
    <w:multiLevelType w:val="multilevel"/>
    <w:tmpl w:val="F330208E"/>
    <w:lvl w:ilvl="0">
      <w:start w:val="1"/>
      <w:numFmt w:val="decimal"/>
      <w:lvlText w:val="%1."/>
      <w:lvlJc w:val="left"/>
      <w:pPr>
        <w:ind w:left="720" w:hanging="360"/>
      </w:pPr>
      <w:rPr>
        <w:rFonts w:hint="default"/>
      </w:rPr>
    </w:lvl>
    <w:lvl w:ilvl="1">
      <w:start w:val="1"/>
      <w:numFmt w:val="decimal"/>
      <w:isLgl/>
      <w:lvlText w:val="%1.%2"/>
      <w:lvlJc w:val="left"/>
      <w:pPr>
        <w:ind w:left="1180" w:hanging="4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DCF635E"/>
    <w:multiLevelType w:val="hybridMultilevel"/>
    <w:tmpl w:val="A96622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601A55"/>
    <w:multiLevelType w:val="hybridMultilevel"/>
    <w:tmpl w:val="A8043638"/>
    <w:lvl w:ilvl="0" w:tplc="91D8954E">
      <w:start w:val="1"/>
      <w:numFmt w:val="bullet"/>
      <w:lvlText w:val=""/>
      <w:lvlJc w:val="left"/>
      <w:pPr>
        <w:tabs>
          <w:tab w:val="num" w:pos="720"/>
        </w:tabs>
        <w:ind w:left="720" w:hanging="360"/>
      </w:pPr>
      <w:rPr>
        <w:rFonts w:ascii="Symbol" w:hAnsi="Symbol" w:hint="default"/>
      </w:rPr>
    </w:lvl>
    <w:lvl w:ilvl="1" w:tplc="3A702D62" w:tentative="1">
      <w:start w:val="1"/>
      <w:numFmt w:val="bullet"/>
      <w:lvlText w:val=""/>
      <w:lvlJc w:val="left"/>
      <w:pPr>
        <w:tabs>
          <w:tab w:val="num" w:pos="1440"/>
        </w:tabs>
        <w:ind w:left="1440" w:hanging="360"/>
      </w:pPr>
      <w:rPr>
        <w:rFonts w:ascii="Symbol" w:hAnsi="Symbol" w:hint="default"/>
      </w:rPr>
    </w:lvl>
    <w:lvl w:ilvl="2" w:tplc="8572D652" w:tentative="1">
      <w:start w:val="1"/>
      <w:numFmt w:val="bullet"/>
      <w:lvlText w:val=""/>
      <w:lvlJc w:val="left"/>
      <w:pPr>
        <w:tabs>
          <w:tab w:val="num" w:pos="2160"/>
        </w:tabs>
        <w:ind w:left="2160" w:hanging="360"/>
      </w:pPr>
      <w:rPr>
        <w:rFonts w:ascii="Symbol" w:hAnsi="Symbol" w:hint="default"/>
      </w:rPr>
    </w:lvl>
    <w:lvl w:ilvl="3" w:tplc="AB322AB0" w:tentative="1">
      <w:start w:val="1"/>
      <w:numFmt w:val="bullet"/>
      <w:lvlText w:val=""/>
      <w:lvlJc w:val="left"/>
      <w:pPr>
        <w:tabs>
          <w:tab w:val="num" w:pos="2880"/>
        </w:tabs>
        <w:ind w:left="2880" w:hanging="360"/>
      </w:pPr>
      <w:rPr>
        <w:rFonts w:ascii="Symbol" w:hAnsi="Symbol" w:hint="default"/>
      </w:rPr>
    </w:lvl>
    <w:lvl w:ilvl="4" w:tplc="2474BFE6" w:tentative="1">
      <w:start w:val="1"/>
      <w:numFmt w:val="bullet"/>
      <w:lvlText w:val=""/>
      <w:lvlJc w:val="left"/>
      <w:pPr>
        <w:tabs>
          <w:tab w:val="num" w:pos="3600"/>
        </w:tabs>
        <w:ind w:left="3600" w:hanging="360"/>
      </w:pPr>
      <w:rPr>
        <w:rFonts w:ascii="Symbol" w:hAnsi="Symbol" w:hint="default"/>
      </w:rPr>
    </w:lvl>
    <w:lvl w:ilvl="5" w:tplc="63ECE1F0" w:tentative="1">
      <w:start w:val="1"/>
      <w:numFmt w:val="bullet"/>
      <w:lvlText w:val=""/>
      <w:lvlJc w:val="left"/>
      <w:pPr>
        <w:tabs>
          <w:tab w:val="num" w:pos="4320"/>
        </w:tabs>
        <w:ind w:left="4320" w:hanging="360"/>
      </w:pPr>
      <w:rPr>
        <w:rFonts w:ascii="Symbol" w:hAnsi="Symbol" w:hint="default"/>
      </w:rPr>
    </w:lvl>
    <w:lvl w:ilvl="6" w:tplc="66982D70" w:tentative="1">
      <w:start w:val="1"/>
      <w:numFmt w:val="bullet"/>
      <w:lvlText w:val=""/>
      <w:lvlJc w:val="left"/>
      <w:pPr>
        <w:tabs>
          <w:tab w:val="num" w:pos="5040"/>
        </w:tabs>
        <w:ind w:left="5040" w:hanging="360"/>
      </w:pPr>
      <w:rPr>
        <w:rFonts w:ascii="Symbol" w:hAnsi="Symbol" w:hint="default"/>
      </w:rPr>
    </w:lvl>
    <w:lvl w:ilvl="7" w:tplc="9D821078" w:tentative="1">
      <w:start w:val="1"/>
      <w:numFmt w:val="bullet"/>
      <w:lvlText w:val=""/>
      <w:lvlJc w:val="left"/>
      <w:pPr>
        <w:tabs>
          <w:tab w:val="num" w:pos="5760"/>
        </w:tabs>
        <w:ind w:left="5760" w:hanging="360"/>
      </w:pPr>
      <w:rPr>
        <w:rFonts w:ascii="Symbol" w:hAnsi="Symbol" w:hint="default"/>
      </w:rPr>
    </w:lvl>
    <w:lvl w:ilvl="8" w:tplc="4FC6F76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25F7427"/>
    <w:multiLevelType w:val="hybridMultilevel"/>
    <w:tmpl w:val="BE70507C"/>
    <w:lvl w:ilvl="0" w:tplc="30A80E42">
      <w:start w:val="1"/>
      <w:numFmt w:val="bullet"/>
      <w:lvlText w:val=""/>
      <w:lvlJc w:val="left"/>
      <w:pPr>
        <w:tabs>
          <w:tab w:val="num" w:pos="720"/>
        </w:tabs>
        <w:ind w:left="720" w:hanging="360"/>
      </w:pPr>
      <w:rPr>
        <w:rFonts w:ascii="Symbol" w:hAnsi="Symbol" w:hint="default"/>
      </w:rPr>
    </w:lvl>
    <w:lvl w:ilvl="1" w:tplc="3ABE10F0" w:tentative="1">
      <w:start w:val="1"/>
      <w:numFmt w:val="bullet"/>
      <w:lvlText w:val=""/>
      <w:lvlJc w:val="left"/>
      <w:pPr>
        <w:tabs>
          <w:tab w:val="num" w:pos="1440"/>
        </w:tabs>
        <w:ind w:left="1440" w:hanging="360"/>
      </w:pPr>
      <w:rPr>
        <w:rFonts w:ascii="Symbol" w:hAnsi="Symbol" w:hint="default"/>
      </w:rPr>
    </w:lvl>
    <w:lvl w:ilvl="2" w:tplc="207CA8BE" w:tentative="1">
      <w:start w:val="1"/>
      <w:numFmt w:val="bullet"/>
      <w:lvlText w:val=""/>
      <w:lvlJc w:val="left"/>
      <w:pPr>
        <w:tabs>
          <w:tab w:val="num" w:pos="2160"/>
        </w:tabs>
        <w:ind w:left="2160" w:hanging="360"/>
      </w:pPr>
      <w:rPr>
        <w:rFonts w:ascii="Symbol" w:hAnsi="Symbol" w:hint="default"/>
      </w:rPr>
    </w:lvl>
    <w:lvl w:ilvl="3" w:tplc="0354159A" w:tentative="1">
      <w:start w:val="1"/>
      <w:numFmt w:val="bullet"/>
      <w:lvlText w:val=""/>
      <w:lvlJc w:val="left"/>
      <w:pPr>
        <w:tabs>
          <w:tab w:val="num" w:pos="2880"/>
        </w:tabs>
        <w:ind w:left="2880" w:hanging="360"/>
      </w:pPr>
      <w:rPr>
        <w:rFonts w:ascii="Symbol" w:hAnsi="Symbol" w:hint="default"/>
      </w:rPr>
    </w:lvl>
    <w:lvl w:ilvl="4" w:tplc="FE9C5034" w:tentative="1">
      <w:start w:val="1"/>
      <w:numFmt w:val="bullet"/>
      <w:lvlText w:val=""/>
      <w:lvlJc w:val="left"/>
      <w:pPr>
        <w:tabs>
          <w:tab w:val="num" w:pos="3600"/>
        </w:tabs>
        <w:ind w:left="3600" w:hanging="360"/>
      </w:pPr>
      <w:rPr>
        <w:rFonts w:ascii="Symbol" w:hAnsi="Symbol" w:hint="default"/>
      </w:rPr>
    </w:lvl>
    <w:lvl w:ilvl="5" w:tplc="64847236" w:tentative="1">
      <w:start w:val="1"/>
      <w:numFmt w:val="bullet"/>
      <w:lvlText w:val=""/>
      <w:lvlJc w:val="left"/>
      <w:pPr>
        <w:tabs>
          <w:tab w:val="num" w:pos="4320"/>
        </w:tabs>
        <w:ind w:left="4320" w:hanging="360"/>
      </w:pPr>
      <w:rPr>
        <w:rFonts w:ascii="Symbol" w:hAnsi="Symbol" w:hint="default"/>
      </w:rPr>
    </w:lvl>
    <w:lvl w:ilvl="6" w:tplc="196A6E4E" w:tentative="1">
      <w:start w:val="1"/>
      <w:numFmt w:val="bullet"/>
      <w:lvlText w:val=""/>
      <w:lvlJc w:val="left"/>
      <w:pPr>
        <w:tabs>
          <w:tab w:val="num" w:pos="5040"/>
        </w:tabs>
        <w:ind w:left="5040" w:hanging="360"/>
      </w:pPr>
      <w:rPr>
        <w:rFonts w:ascii="Symbol" w:hAnsi="Symbol" w:hint="default"/>
      </w:rPr>
    </w:lvl>
    <w:lvl w:ilvl="7" w:tplc="42EE116A" w:tentative="1">
      <w:start w:val="1"/>
      <w:numFmt w:val="bullet"/>
      <w:lvlText w:val=""/>
      <w:lvlJc w:val="left"/>
      <w:pPr>
        <w:tabs>
          <w:tab w:val="num" w:pos="5760"/>
        </w:tabs>
        <w:ind w:left="5760" w:hanging="360"/>
      </w:pPr>
      <w:rPr>
        <w:rFonts w:ascii="Symbol" w:hAnsi="Symbol" w:hint="default"/>
      </w:rPr>
    </w:lvl>
    <w:lvl w:ilvl="8" w:tplc="6F86CA6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66D7B6F"/>
    <w:multiLevelType w:val="hybridMultilevel"/>
    <w:tmpl w:val="5FAE1A8C"/>
    <w:lvl w:ilvl="0" w:tplc="EAECEC48">
      <w:start w:val="1"/>
      <w:numFmt w:val="bullet"/>
      <w:lvlText w:val=""/>
      <w:lvlJc w:val="left"/>
      <w:pPr>
        <w:tabs>
          <w:tab w:val="num" w:pos="720"/>
        </w:tabs>
        <w:ind w:left="720" w:hanging="360"/>
      </w:pPr>
      <w:rPr>
        <w:rFonts w:ascii="Symbol" w:hAnsi="Symbol" w:hint="default"/>
      </w:rPr>
    </w:lvl>
    <w:lvl w:ilvl="1" w:tplc="27AEC582" w:tentative="1">
      <w:start w:val="1"/>
      <w:numFmt w:val="bullet"/>
      <w:lvlText w:val=""/>
      <w:lvlJc w:val="left"/>
      <w:pPr>
        <w:tabs>
          <w:tab w:val="num" w:pos="1440"/>
        </w:tabs>
        <w:ind w:left="1440" w:hanging="360"/>
      </w:pPr>
      <w:rPr>
        <w:rFonts w:ascii="Symbol" w:hAnsi="Symbol" w:hint="default"/>
      </w:rPr>
    </w:lvl>
    <w:lvl w:ilvl="2" w:tplc="839C70E4" w:tentative="1">
      <w:start w:val="1"/>
      <w:numFmt w:val="bullet"/>
      <w:lvlText w:val=""/>
      <w:lvlJc w:val="left"/>
      <w:pPr>
        <w:tabs>
          <w:tab w:val="num" w:pos="2160"/>
        </w:tabs>
        <w:ind w:left="2160" w:hanging="360"/>
      </w:pPr>
      <w:rPr>
        <w:rFonts w:ascii="Symbol" w:hAnsi="Symbol" w:hint="default"/>
      </w:rPr>
    </w:lvl>
    <w:lvl w:ilvl="3" w:tplc="758284C2" w:tentative="1">
      <w:start w:val="1"/>
      <w:numFmt w:val="bullet"/>
      <w:lvlText w:val=""/>
      <w:lvlJc w:val="left"/>
      <w:pPr>
        <w:tabs>
          <w:tab w:val="num" w:pos="2880"/>
        </w:tabs>
        <w:ind w:left="2880" w:hanging="360"/>
      </w:pPr>
      <w:rPr>
        <w:rFonts w:ascii="Symbol" w:hAnsi="Symbol" w:hint="default"/>
      </w:rPr>
    </w:lvl>
    <w:lvl w:ilvl="4" w:tplc="6FF6B1AC" w:tentative="1">
      <w:start w:val="1"/>
      <w:numFmt w:val="bullet"/>
      <w:lvlText w:val=""/>
      <w:lvlJc w:val="left"/>
      <w:pPr>
        <w:tabs>
          <w:tab w:val="num" w:pos="3600"/>
        </w:tabs>
        <w:ind w:left="3600" w:hanging="360"/>
      </w:pPr>
      <w:rPr>
        <w:rFonts w:ascii="Symbol" w:hAnsi="Symbol" w:hint="default"/>
      </w:rPr>
    </w:lvl>
    <w:lvl w:ilvl="5" w:tplc="A3B61EF6" w:tentative="1">
      <w:start w:val="1"/>
      <w:numFmt w:val="bullet"/>
      <w:lvlText w:val=""/>
      <w:lvlJc w:val="left"/>
      <w:pPr>
        <w:tabs>
          <w:tab w:val="num" w:pos="4320"/>
        </w:tabs>
        <w:ind w:left="4320" w:hanging="360"/>
      </w:pPr>
      <w:rPr>
        <w:rFonts w:ascii="Symbol" w:hAnsi="Symbol" w:hint="default"/>
      </w:rPr>
    </w:lvl>
    <w:lvl w:ilvl="6" w:tplc="44D04CA2" w:tentative="1">
      <w:start w:val="1"/>
      <w:numFmt w:val="bullet"/>
      <w:lvlText w:val=""/>
      <w:lvlJc w:val="left"/>
      <w:pPr>
        <w:tabs>
          <w:tab w:val="num" w:pos="5040"/>
        </w:tabs>
        <w:ind w:left="5040" w:hanging="360"/>
      </w:pPr>
      <w:rPr>
        <w:rFonts w:ascii="Symbol" w:hAnsi="Symbol" w:hint="default"/>
      </w:rPr>
    </w:lvl>
    <w:lvl w:ilvl="7" w:tplc="3F8065B8" w:tentative="1">
      <w:start w:val="1"/>
      <w:numFmt w:val="bullet"/>
      <w:lvlText w:val=""/>
      <w:lvlJc w:val="left"/>
      <w:pPr>
        <w:tabs>
          <w:tab w:val="num" w:pos="5760"/>
        </w:tabs>
        <w:ind w:left="5760" w:hanging="360"/>
      </w:pPr>
      <w:rPr>
        <w:rFonts w:ascii="Symbol" w:hAnsi="Symbol" w:hint="default"/>
      </w:rPr>
    </w:lvl>
    <w:lvl w:ilvl="8" w:tplc="D9CAAF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E665475"/>
    <w:multiLevelType w:val="hybridMultilevel"/>
    <w:tmpl w:val="C402F7B0"/>
    <w:lvl w:ilvl="0" w:tplc="C11AA252">
      <w:start w:val="1"/>
      <w:numFmt w:val="bullet"/>
      <w:lvlText w:val=""/>
      <w:lvlJc w:val="left"/>
      <w:pPr>
        <w:tabs>
          <w:tab w:val="num" w:pos="720"/>
        </w:tabs>
        <w:ind w:left="720" w:hanging="360"/>
      </w:pPr>
      <w:rPr>
        <w:rFonts w:ascii="Symbol" w:hAnsi="Symbol" w:hint="default"/>
      </w:rPr>
    </w:lvl>
    <w:lvl w:ilvl="1" w:tplc="8E388B5A" w:tentative="1">
      <w:start w:val="1"/>
      <w:numFmt w:val="bullet"/>
      <w:lvlText w:val=""/>
      <w:lvlJc w:val="left"/>
      <w:pPr>
        <w:tabs>
          <w:tab w:val="num" w:pos="1440"/>
        </w:tabs>
        <w:ind w:left="1440" w:hanging="360"/>
      </w:pPr>
      <w:rPr>
        <w:rFonts w:ascii="Symbol" w:hAnsi="Symbol" w:hint="default"/>
      </w:rPr>
    </w:lvl>
    <w:lvl w:ilvl="2" w:tplc="A30A43B8" w:tentative="1">
      <w:start w:val="1"/>
      <w:numFmt w:val="bullet"/>
      <w:lvlText w:val=""/>
      <w:lvlJc w:val="left"/>
      <w:pPr>
        <w:tabs>
          <w:tab w:val="num" w:pos="2160"/>
        </w:tabs>
        <w:ind w:left="2160" w:hanging="360"/>
      </w:pPr>
      <w:rPr>
        <w:rFonts w:ascii="Symbol" w:hAnsi="Symbol" w:hint="default"/>
      </w:rPr>
    </w:lvl>
    <w:lvl w:ilvl="3" w:tplc="57DE458A" w:tentative="1">
      <w:start w:val="1"/>
      <w:numFmt w:val="bullet"/>
      <w:lvlText w:val=""/>
      <w:lvlJc w:val="left"/>
      <w:pPr>
        <w:tabs>
          <w:tab w:val="num" w:pos="2880"/>
        </w:tabs>
        <w:ind w:left="2880" w:hanging="360"/>
      </w:pPr>
      <w:rPr>
        <w:rFonts w:ascii="Symbol" w:hAnsi="Symbol" w:hint="default"/>
      </w:rPr>
    </w:lvl>
    <w:lvl w:ilvl="4" w:tplc="410CFEE4" w:tentative="1">
      <w:start w:val="1"/>
      <w:numFmt w:val="bullet"/>
      <w:lvlText w:val=""/>
      <w:lvlJc w:val="left"/>
      <w:pPr>
        <w:tabs>
          <w:tab w:val="num" w:pos="3600"/>
        </w:tabs>
        <w:ind w:left="3600" w:hanging="360"/>
      </w:pPr>
      <w:rPr>
        <w:rFonts w:ascii="Symbol" w:hAnsi="Symbol" w:hint="default"/>
      </w:rPr>
    </w:lvl>
    <w:lvl w:ilvl="5" w:tplc="0952E104" w:tentative="1">
      <w:start w:val="1"/>
      <w:numFmt w:val="bullet"/>
      <w:lvlText w:val=""/>
      <w:lvlJc w:val="left"/>
      <w:pPr>
        <w:tabs>
          <w:tab w:val="num" w:pos="4320"/>
        </w:tabs>
        <w:ind w:left="4320" w:hanging="360"/>
      </w:pPr>
      <w:rPr>
        <w:rFonts w:ascii="Symbol" w:hAnsi="Symbol" w:hint="default"/>
      </w:rPr>
    </w:lvl>
    <w:lvl w:ilvl="6" w:tplc="F98AABEE" w:tentative="1">
      <w:start w:val="1"/>
      <w:numFmt w:val="bullet"/>
      <w:lvlText w:val=""/>
      <w:lvlJc w:val="left"/>
      <w:pPr>
        <w:tabs>
          <w:tab w:val="num" w:pos="5040"/>
        </w:tabs>
        <w:ind w:left="5040" w:hanging="360"/>
      </w:pPr>
      <w:rPr>
        <w:rFonts w:ascii="Symbol" w:hAnsi="Symbol" w:hint="default"/>
      </w:rPr>
    </w:lvl>
    <w:lvl w:ilvl="7" w:tplc="5EF42AA4" w:tentative="1">
      <w:start w:val="1"/>
      <w:numFmt w:val="bullet"/>
      <w:lvlText w:val=""/>
      <w:lvlJc w:val="left"/>
      <w:pPr>
        <w:tabs>
          <w:tab w:val="num" w:pos="5760"/>
        </w:tabs>
        <w:ind w:left="5760" w:hanging="360"/>
      </w:pPr>
      <w:rPr>
        <w:rFonts w:ascii="Symbol" w:hAnsi="Symbol" w:hint="default"/>
      </w:rPr>
    </w:lvl>
    <w:lvl w:ilvl="8" w:tplc="240A205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A76295F"/>
    <w:multiLevelType w:val="hybridMultilevel"/>
    <w:tmpl w:val="A8AEB424"/>
    <w:lvl w:ilvl="0" w:tplc="7C4E623C">
      <w:start w:val="1"/>
      <w:numFmt w:val="bullet"/>
      <w:lvlText w:val=""/>
      <w:lvlJc w:val="left"/>
      <w:pPr>
        <w:tabs>
          <w:tab w:val="num" w:pos="720"/>
        </w:tabs>
        <w:ind w:left="720" w:hanging="360"/>
      </w:pPr>
      <w:rPr>
        <w:rFonts w:ascii="Symbol" w:hAnsi="Symbol" w:hint="default"/>
      </w:rPr>
    </w:lvl>
    <w:lvl w:ilvl="1" w:tplc="02363CE2" w:tentative="1">
      <w:start w:val="1"/>
      <w:numFmt w:val="bullet"/>
      <w:lvlText w:val=""/>
      <w:lvlJc w:val="left"/>
      <w:pPr>
        <w:tabs>
          <w:tab w:val="num" w:pos="1440"/>
        </w:tabs>
        <w:ind w:left="1440" w:hanging="360"/>
      </w:pPr>
      <w:rPr>
        <w:rFonts w:ascii="Symbol" w:hAnsi="Symbol" w:hint="default"/>
      </w:rPr>
    </w:lvl>
    <w:lvl w:ilvl="2" w:tplc="2F02B7BA" w:tentative="1">
      <w:start w:val="1"/>
      <w:numFmt w:val="bullet"/>
      <w:lvlText w:val=""/>
      <w:lvlJc w:val="left"/>
      <w:pPr>
        <w:tabs>
          <w:tab w:val="num" w:pos="2160"/>
        </w:tabs>
        <w:ind w:left="2160" w:hanging="360"/>
      </w:pPr>
      <w:rPr>
        <w:rFonts w:ascii="Symbol" w:hAnsi="Symbol" w:hint="default"/>
      </w:rPr>
    </w:lvl>
    <w:lvl w:ilvl="3" w:tplc="FC7CAFDA" w:tentative="1">
      <w:start w:val="1"/>
      <w:numFmt w:val="bullet"/>
      <w:lvlText w:val=""/>
      <w:lvlJc w:val="left"/>
      <w:pPr>
        <w:tabs>
          <w:tab w:val="num" w:pos="2880"/>
        </w:tabs>
        <w:ind w:left="2880" w:hanging="360"/>
      </w:pPr>
      <w:rPr>
        <w:rFonts w:ascii="Symbol" w:hAnsi="Symbol" w:hint="default"/>
      </w:rPr>
    </w:lvl>
    <w:lvl w:ilvl="4" w:tplc="D982E700" w:tentative="1">
      <w:start w:val="1"/>
      <w:numFmt w:val="bullet"/>
      <w:lvlText w:val=""/>
      <w:lvlJc w:val="left"/>
      <w:pPr>
        <w:tabs>
          <w:tab w:val="num" w:pos="3600"/>
        </w:tabs>
        <w:ind w:left="3600" w:hanging="360"/>
      </w:pPr>
      <w:rPr>
        <w:rFonts w:ascii="Symbol" w:hAnsi="Symbol" w:hint="default"/>
      </w:rPr>
    </w:lvl>
    <w:lvl w:ilvl="5" w:tplc="7AC42140" w:tentative="1">
      <w:start w:val="1"/>
      <w:numFmt w:val="bullet"/>
      <w:lvlText w:val=""/>
      <w:lvlJc w:val="left"/>
      <w:pPr>
        <w:tabs>
          <w:tab w:val="num" w:pos="4320"/>
        </w:tabs>
        <w:ind w:left="4320" w:hanging="360"/>
      </w:pPr>
      <w:rPr>
        <w:rFonts w:ascii="Symbol" w:hAnsi="Symbol" w:hint="default"/>
      </w:rPr>
    </w:lvl>
    <w:lvl w:ilvl="6" w:tplc="F568617A" w:tentative="1">
      <w:start w:val="1"/>
      <w:numFmt w:val="bullet"/>
      <w:lvlText w:val=""/>
      <w:lvlJc w:val="left"/>
      <w:pPr>
        <w:tabs>
          <w:tab w:val="num" w:pos="5040"/>
        </w:tabs>
        <w:ind w:left="5040" w:hanging="360"/>
      </w:pPr>
      <w:rPr>
        <w:rFonts w:ascii="Symbol" w:hAnsi="Symbol" w:hint="default"/>
      </w:rPr>
    </w:lvl>
    <w:lvl w:ilvl="7" w:tplc="0326175A" w:tentative="1">
      <w:start w:val="1"/>
      <w:numFmt w:val="bullet"/>
      <w:lvlText w:val=""/>
      <w:lvlJc w:val="left"/>
      <w:pPr>
        <w:tabs>
          <w:tab w:val="num" w:pos="5760"/>
        </w:tabs>
        <w:ind w:left="5760" w:hanging="360"/>
      </w:pPr>
      <w:rPr>
        <w:rFonts w:ascii="Symbol" w:hAnsi="Symbol" w:hint="default"/>
      </w:rPr>
    </w:lvl>
    <w:lvl w:ilvl="8" w:tplc="56AA4AA0"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BA43EF6"/>
    <w:multiLevelType w:val="hybridMultilevel"/>
    <w:tmpl w:val="709EE2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BAE378F"/>
    <w:multiLevelType w:val="hybridMultilevel"/>
    <w:tmpl w:val="410A7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8E3E8C"/>
    <w:multiLevelType w:val="multilevel"/>
    <w:tmpl w:val="6D3C30FC"/>
    <w:lvl w:ilvl="0">
      <w:start w:val="3"/>
      <w:numFmt w:val="decimal"/>
      <w:lvlText w:val="%1"/>
      <w:lvlJc w:val="left"/>
      <w:pPr>
        <w:ind w:left="380" w:hanging="3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B04797E"/>
    <w:multiLevelType w:val="hybridMultilevel"/>
    <w:tmpl w:val="411E70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BB32CF7"/>
    <w:multiLevelType w:val="multilevel"/>
    <w:tmpl w:val="F330208E"/>
    <w:lvl w:ilvl="0">
      <w:start w:val="1"/>
      <w:numFmt w:val="decimal"/>
      <w:lvlText w:val="%1."/>
      <w:lvlJc w:val="left"/>
      <w:pPr>
        <w:ind w:left="720" w:hanging="360"/>
      </w:pPr>
      <w:rPr>
        <w:rFonts w:hint="default"/>
      </w:rPr>
    </w:lvl>
    <w:lvl w:ilvl="1">
      <w:start w:val="1"/>
      <w:numFmt w:val="decimal"/>
      <w:isLgl/>
      <w:lvlText w:val="%1.%2"/>
      <w:lvlJc w:val="left"/>
      <w:pPr>
        <w:ind w:left="1180" w:hanging="4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FD45FE9"/>
    <w:multiLevelType w:val="hybridMultilevel"/>
    <w:tmpl w:val="F0941046"/>
    <w:lvl w:ilvl="0" w:tplc="B2DA0BB6">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A2A766C"/>
    <w:multiLevelType w:val="hybridMultilevel"/>
    <w:tmpl w:val="C2CA54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6"/>
  </w:num>
  <w:num w:numId="4">
    <w:abstractNumId w:val="8"/>
  </w:num>
  <w:num w:numId="5">
    <w:abstractNumId w:val="9"/>
  </w:num>
  <w:num w:numId="6">
    <w:abstractNumId w:val="2"/>
  </w:num>
  <w:num w:numId="7">
    <w:abstractNumId w:val="10"/>
  </w:num>
  <w:num w:numId="8">
    <w:abstractNumId w:val="1"/>
  </w:num>
  <w:num w:numId="9">
    <w:abstractNumId w:val="15"/>
  </w:num>
  <w:num w:numId="10">
    <w:abstractNumId w:val="3"/>
  </w:num>
  <w:num w:numId="11">
    <w:abstractNumId w:val="4"/>
  </w:num>
  <w:num w:numId="12">
    <w:abstractNumId w:val="13"/>
  </w:num>
  <w:num w:numId="13">
    <w:abstractNumId w:val="17"/>
  </w:num>
  <w:num w:numId="14">
    <w:abstractNumId w:val="16"/>
  </w:num>
  <w:num w:numId="15">
    <w:abstractNumId w:val="11"/>
  </w:num>
  <w:num w:numId="16">
    <w:abstractNumId w:val="14"/>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E2F"/>
    <w:rsid w:val="00066063"/>
    <w:rsid w:val="000714B6"/>
    <w:rsid w:val="001E28E4"/>
    <w:rsid w:val="00316300"/>
    <w:rsid w:val="003A06FF"/>
    <w:rsid w:val="00426E60"/>
    <w:rsid w:val="004A2DC1"/>
    <w:rsid w:val="00584C4B"/>
    <w:rsid w:val="0058573D"/>
    <w:rsid w:val="005A7188"/>
    <w:rsid w:val="005D1946"/>
    <w:rsid w:val="005F0918"/>
    <w:rsid w:val="00683ED6"/>
    <w:rsid w:val="00770455"/>
    <w:rsid w:val="007846C1"/>
    <w:rsid w:val="009B3512"/>
    <w:rsid w:val="009D53A7"/>
    <w:rsid w:val="00AF4452"/>
    <w:rsid w:val="00B04DAD"/>
    <w:rsid w:val="00C26449"/>
    <w:rsid w:val="00D10902"/>
    <w:rsid w:val="00E10CC6"/>
    <w:rsid w:val="00E64E2F"/>
    <w:rsid w:val="00E96A3B"/>
  </w:rsids>
  <m:mathPr>
    <m:mathFont m:val="Cambria Math"/>
    <m:brkBin m:val="before"/>
    <m:brkBinSub m:val="--"/>
    <m:smallFrac m:val="0"/>
    <m:dispDef/>
    <m:lMargin m:val="0"/>
    <m:rMargin m:val="0"/>
    <m:defJc m:val="centerGroup"/>
    <m:wrapIndent m:val="1440"/>
    <m:intLim m:val="subSup"/>
    <m:naryLim m:val="undOvr"/>
  </m:mathPr>
  <w:themeFontLang w:val="en-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8C556"/>
  <w15:chartTrackingRefBased/>
  <w15:docId w15:val="{DE9A37C8-CD5D-084A-BDC4-C4460FB04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Heading1">
    <w:name w:val="heading 1"/>
    <w:basedOn w:val="Normal"/>
    <w:next w:val="Normal"/>
    <w:link w:val="Heading1Char"/>
    <w:uiPriority w:val="9"/>
    <w:qFormat/>
    <w:rsid w:val="00316300"/>
    <w:pPr>
      <w:keepNext/>
      <w:keepLines/>
      <w:spacing w:before="480"/>
      <w:outlineLvl w:val="0"/>
    </w:pPr>
    <w:rPr>
      <w:rFonts w:ascii="Times New Roman" w:eastAsiaTheme="majorEastAsia" w:hAnsi="Times New Roman" w:cstheme="majorBidi"/>
      <w:b/>
      <w:bCs/>
      <w:color w:val="E4192B"/>
      <w:sz w:val="28"/>
      <w:szCs w:val="32"/>
      <w:lang w:val="es-CO" w:eastAsia="en-GB"/>
    </w:rPr>
  </w:style>
  <w:style w:type="paragraph" w:styleId="Heading2">
    <w:name w:val="heading 2"/>
    <w:basedOn w:val="Normal"/>
    <w:next w:val="Normal"/>
    <w:link w:val="Heading2Char"/>
    <w:uiPriority w:val="9"/>
    <w:unhideWhenUsed/>
    <w:qFormat/>
    <w:rsid w:val="00316300"/>
    <w:pPr>
      <w:keepNext/>
      <w:keepLines/>
      <w:spacing w:before="200"/>
      <w:outlineLvl w:val="1"/>
    </w:pPr>
    <w:rPr>
      <w:rFonts w:ascii="Times New Roman" w:eastAsiaTheme="majorEastAsia" w:hAnsi="Times New Roman" w:cstheme="majorBidi"/>
      <w:b/>
      <w:bCs/>
      <w:color w:val="E4192B"/>
      <w:sz w:val="28"/>
      <w:szCs w:val="26"/>
      <w:lang w:val="es-CO" w:eastAsia="en-GB"/>
    </w:rPr>
  </w:style>
  <w:style w:type="paragraph" w:styleId="Heading3">
    <w:name w:val="heading 3"/>
    <w:basedOn w:val="Normal"/>
    <w:next w:val="Normal"/>
    <w:link w:val="Heading3Char"/>
    <w:uiPriority w:val="9"/>
    <w:unhideWhenUsed/>
    <w:qFormat/>
    <w:rsid w:val="00316300"/>
    <w:pPr>
      <w:keepNext/>
      <w:keepLines/>
      <w:spacing w:before="200"/>
      <w:outlineLvl w:val="2"/>
    </w:pPr>
    <w:rPr>
      <w:rFonts w:ascii="Times New Roman" w:eastAsiaTheme="majorEastAsia" w:hAnsi="Times New Roman" w:cstheme="majorBidi"/>
      <w:b/>
      <w:bCs/>
      <w:color w:val="E4192B"/>
      <w:sz w:val="28"/>
      <w:lang w:val="es-C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300"/>
    <w:rPr>
      <w:rFonts w:ascii="Times New Roman" w:eastAsiaTheme="majorEastAsia" w:hAnsi="Times New Roman" w:cstheme="majorBidi"/>
      <w:b/>
      <w:bCs/>
      <w:color w:val="E4192B"/>
      <w:sz w:val="28"/>
      <w:szCs w:val="32"/>
      <w:lang w:val="es-CO" w:eastAsia="en-GB"/>
    </w:rPr>
  </w:style>
  <w:style w:type="character" w:customStyle="1" w:styleId="Heading2Char">
    <w:name w:val="Heading 2 Char"/>
    <w:basedOn w:val="DefaultParagraphFont"/>
    <w:link w:val="Heading2"/>
    <w:uiPriority w:val="9"/>
    <w:rsid w:val="00316300"/>
    <w:rPr>
      <w:rFonts w:ascii="Times New Roman" w:eastAsiaTheme="majorEastAsia" w:hAnsi="Times New Roman" w:cstheme="majorBidi"/>
      <w:b/>
      <w:bCs/>
      <w:color w:val="E4192B"/>
      <w:sz w:val="28"/>
      <w:szCs w:val="26"/>
      <w:lang w:val="es-CO" w:eastAsia="en-GB"/>
    </w:rPr>
  </w:style>
  <w:style w:type="character" w:customStyle="1" w:styleId="Heading3Char">
    <w:name w:val="Heading 3 Char"/>
    <w:basedOn w:val="DefaultParagraphFont"/>
    <w:link w:val="Heading3"/>
    <w:uiPriority w:val="9"/>
    <w:rsid w:val="00316300"/>
    <w:rPr>
      <w:rFonts w:ascii="Times New Roman" w:eastAsiaTheme="majorEastAsia" w:hAnsi="Times New Roman" w:cstheme="majorBidi"/>
      <w:b/>
      <w:bCs/>
      <w:color w:val="E4192B"/>
      <w:sz w:val="28"/>
      <w:lang w:val="es-CO" w:eastAsia="en-GB"/>
    </w:rPr>
  </w:style>
  <w:style w:type="paragraph" w:styleId="ListParagraph">
    <w:name w:val="List Paragraph"/>
    <w:aliases w:val="Párrafo de lista1,EITI list,Lista vistosa - Énfasis 11,titulo 3,Bullets,Cuadrícula media 1 - Énfasis 21,Ha,Pбrrafo de lista,VIÑETA,VIÑETAS,Párrafo de lista2,Viñetas,List Paragraph1,Betulia Título 1,Fluvial1,Bolita,Listas,HOJA,BOLADEF"/>
    <w:basedOn w:val="Normal"/>
    <w:link w:val="ListParagraphChar"/>
    <w:uiPriority w:val="34"/>
    <w:qFormat/>
    <w:rsid w:val="00E64E2F"/>
    <w:pPr>
      <w:ind w:left="720"/>
      <w:contextualSpacing/>
    </w:pPr>
    <w:rPr>
      <w:rFonts w:ascii="Times New Roman" w:eastAsia="Times New Roman" w:hAnsi="Times New Roman" w:cs="Times New Roman"/>
      <w:lang w:val="es-CO" w:eastAsia="en-GB"/>
    </w:rPr>
  </w:style>
  <w:style w:type="character" w:customStyle="1" w:styleId="ListParagraphChar">
    <w:name w:val="List Paragraph Char"/>
    <w:aliases w:val="Párrafo de lista1 Char,EITI list Char,Lista vistosa - Énfasis 11 Char,titulo 3 Char,Bullets Char,Cuadrícula media 1 - Énfasis 21 Char,Ha Char,Pбrrafo de lista Char,VIÑETA Char,VIÑETAS Char,Párrafo de lista2 Char,Viñetas Char"/>
    <w:link w:val="ListParagraph"/>
    <w:uiPriority w:val="34"/>
    <w:qFormat/>
    <w:rsid w:val="00E64E2F"/>
    <w:rPr>
      <w:rFonts w:ascii="Times New Roman" w:eastAsia="Times New Roman" w:hAnsi="Times New Roman" w:cs="Times New Roman"/>
      <w:lang w:val="es-CO" w:eastAsia="en-GB"/>
    </w:rPr>
  </w:style>
  <w:style w:type="paragraph" w:styleId="Caption">
    <w:name w:val="caption"/>
    <w:basedOn w:val="Normal"/>
    <w:next w:val="Normal"/>
    <w:uiPriority w:val="35"/>
    <w:unhideWhenUsed/>
    <w:qFormat/>
    <w:rsid w:val="00E64E2F"/>
    <w:pPr>
      <w:spacing w:after="200"/>
    </w:pPr>
    <w:rPr>
      <w:i/>
      <w:iCs/>
      <w:color w:val="44546A" w:themeColor="text2"/>
      <w:sz w:val="18"/>
      <w:szCs w:val="18"/>
    </w:rPr>
  </w:style>
  <w:style w:type="character" w:customStyle="1" w:styleId="BalloonTextChar">
    <w:name w:val="Balloon Text Char"/>
    <w:basedOn w:val="DefaultParagraphFont"/>
    <w:link w:val="BalloonText"/>
    <w:uiPriority w:val="99"/>
    <w:semiHidden/>
    <w:rsid w:val="00316300"/>
    <w:rPr>
      <w:rFonts w:ascii="Lucida Grande" w:eastAsia="Times New Roman" w:hAnsi="Lucida Grande" w:cs="Lucida Grande"/>
      <w:sz w:val="18"/>
      <w:szCs w:val="18"/>
      <w:lang w:val="es-CO" w:eastAsia="en-GB"/>
    </w:rPr>
  </w:style>
  <w:style w:type="paragraph" w:styleId="BalloonText">
    <w:name w:val="Balloon Text"/>
    <w:basedOn w:val="Normal"/>
    <w:link w:val="BalloonTextChar"/>
    <w:uiPriority w:val="99"/>
    <w:semiHidden/>
    <w:unhideWhenUsed/>
    <w:rsid w:val="00316300"/>
    <w:rPr>
      <w:rFonts w:ascii="Lucida Grande" w:eastAsia="Times New Roman" w:hAnsi="Lucida Grande" w:cs="Lucida Grande"/>
      <w:sz w:val="18"/>
      <w:szCs w:val="18"/>
      <w:lang w:val="es-CO" w:eastAsia="en-GB"/>
    </w:rPr>
  </w:style>
  <w:style w:type="paragraph" w:styleId="Header">
    <w:name w:val="header"/>
    <w:basedOn w:val="Normal"/>
    <w:link w:val="HeaderChar"/>
    <w:uiPriority w:val="99"/>
    <w:unhideWhenUsed/>
    <w:rsid w:val="00316300"/>
    <w:pPr>
      <w:tabs>
        <w:tab w:val="center" w:pos="4252"/>
        <w:tab w:val="right" w:pos="8504"/>
      </w:tabs>
    </w:pPr>
    <w:rPr>
      <w:rFonts w:ascii="Times New Roman" w:eastAsia="Times New Roman" w:hAnsi="Times New Roman" w:cs="Times New Roman"/>
      <w:lang w:val="es-CO" w:eastAsia="en-GB"/>
    </w:rPr>
  </w:style>
  <w:style w:type="character" w:customStyle="1" w:styleId="HeaderChar">
    <w:name w:val="Header Char"/>
    <w:basedOn w:val="DefaultParagraphFont"/>
    <w:link w:val="Header"/>
    <w:uiPriority w:val="99"/>
    <w:rsid w:val="00316300"/>
    <w:rPr>
      <w:rFonts w:ascii="Times New Roman" w:eastAsia="Times New Roman" w:hAnsi="Times New Roman" w:cs="Times New Roman"/>
      <w:lang w:val="es-CO" w:eastAsia="en-GB"/>
    </w:rPr>
  </w:style>
  <w:style w:type="paragraph" w:styleId="Footer">
    <w:name w:val="footer"/>
    <w:basedOn w:val="Normal"/>
    <w:link w:val="FooterChar"/>
    <w:uiPriority w:val="99"/>
    <w:unhideWhenUsed/>
    <w:rsid w:val="00316300"/>
    <w:pPr>
      <w:tabs>
        <w:tab w:val="center" w:pos="4252"/>
        <w:tab w:val="right" w:pos="8504"/>
      </w:tabs>
    </w:pPr>
    <w:rPr>
      <w:rFonts w:ascii="Times New Roman" w:eastAsia="Times New Roman" w:hAnsi="Times New Roman" w:cs="Times New Roman"/>
      <w:lang w:val="es-CO" w:eastAsia="en-GB"/>
    </w:rPr>
  </w:style>
  <w:style w:type="character" w:customStyle="1" w:styleId="FooterChar">
    <w:name w:val="Footer Char"/>
    <w:basedOn w:val="DefaultParagraphFont"/>
    <w:link w:val="Footer"/>
    <w:uiPriority w:val="99"/>
    <w:rsid w:val="00316300"/>
    <w:rPr>
      <w:rFonts w:ascii="Times New Roman" w:eastAsia="Times New Roman" w:hAnsi="Times New Roman" w:cs="Times New Roman"/>
      <w:lang w:val="es-CO" w:eastAsia="en-GB"/>
    </w:rPr>
  </w:style>
  <w:style w:type="paragraph" w:customStyle="1" w:styleId="Prrafobsico">
    <w:name w:val="[Párrafo básico]"/>
    <w:basedOn w:val="Normal"/>
    <w:uiPriority w:val="99"/>
    <w:rsid w:val="00316300"/>
    <w:pPr>
      <w:widowControl w:val="0"/>
      <w:suppressAutoHyphens/>
      <w:autoSpaceDE w:val="0"/>
      <w:autoSpaceDN w:val="0"/>
      <w:adjustRightInd w:val="0"/>
      <w:spacing w:line="280" w:lineRule="atLeast"/>
      <w:textAlignment w:val="center"/>
    </w:pPr>
    <w:rPr>
      <w:rFonts w:ascii="ArialMT" w:eastAsia="Times New Roman" w:hAnsi="ArialMT" w:cs="ArialMT"/>
      <w:color w:val="6F6F6E"/>
      <w:sz w:val="20"/>
      <w:szCs w:val="20"/>
      <w:lang w:val="es-CO" w:eastAsia="es-CO"/>
    </w:rPr>
  </w:style>
  <w:style w:type="paragraph" w:styleId="TOCHeading">
    <w:name w:val="TOC Heading"/>
    <w:basedOn w:val="Heading1"/>
    <w:next w:val="Normal"/>
    <w:uiPriority w:val="39"/>
    <w:unhideWhenUsed/>
    <w:qFormat/>
    <w:rsid w:val="00316300"/>
    <w:pPr>
      <w:spacing w:line="276" w:lineRule="auto"/>
      <w:outlineLvl w:val="9"/>
    </w:pPr>
    <w:rPr>
      <w:szCs w:val="28"/>
    </w:rPr>
  </w:style>
  <w:style w:type="paragraph" w:styleId="TOC1">
    <w:name w:val="toc 1"/>
    <w:basedOn w:val="Normal"/>
    <w:next w:val="Normal"/>
    <w:autoRedefine/>
    <w:uiPriority w:val="39"/>
    <w:unhideWhenUsed/>
    <w:rsid w:val="00316300"/>
    <w:pPr>
      <w:spacing w:before="120"/>
    </w:pPr>
    <w:rPr>
      <w:rFonts w:eastAsia="Times New Roman" w:cs="Times New Roman"/>
      <w:b/>
      <w:lang w:val="es-CO" w:eastAsia="en-GB"/>
    </w:rPr>
  </w:style>
  <w:style w:type="paragraph" w:styleId="TOC2">
    <w:name w:val="toc 2"/>
    <w:basedOn w:val="Normal"/>
    <w:next w:val="Normal"/>
    <w:autoRedefine/>
    <w:uiPriority w:val="39"/>
    <w:unhideWhenUsed/>
    <w:rsid w:val="00316300"/>
    <w:pPr>
      <w:ind w:left="240"/>
    </w:pPr>
    <w:rPr>
      <w:rFonts w:eastAsia="Times New Roman" w:cs="Times New Roman"/>
      <w:b/>
      <w:sz w:val="22"/>
      <w:szCs w:val="22"/>
      <w:lang w:val="es-CO" w:eastAsia="en-GB"/>
    </w:rPr>
  </w:style>
  <w:style w:type="paragraph" w:styleId="TOC3">
    <w:name w:val="toc 3"/>
    <w:basedOn w:val="Normal"/>
    <w:next w:val="Normal"/>
    <w:autoRedefine/>
    <w:uiPriority w:val="39"/>
    <w:unhideWhenUsed/>
    <w:rsid w:val="00316300"/>
    <w:pPr>
      <w:ind w:left="480"/>
    </w:pPr>
    <w:rPr>
      <w:rFonts w:eastAsia="Times New Roman" w:cs="Times New Roman"/>
      <w:sz w:val="22"/>
      <w:szCs w:val="22"/>
      <w:lang w:val="es-CO" w:eastAsia="en-GB"/>
    </w:rPr>
  </w:style>
  <w:style w:type="paragraph" w:styleId="NoSpacing">
    <w:name w:val="No Spacing"/>
    <w:link w:val="NoSpacingChar"/>
    <w:qFormat/>
    <w:rsid w:val="00316300"/>
    <w:rPr>
      <w:rFonts w:ascii="PMingLiU" w:eastAsiaTheme="minorEastAsia" w:hAnsi="PMingLiU"/>
      <w:sz w:val="22"/>
      <w:szCs w:val="22"/>
      <w:lang w:val="es-ES_tradnl" w:eastAsia="es-ES"/>
    </w:rPr>
  </w:style>
  <w:style w:type="character" w:customStyle="1" w:styleId="NoSpacingChar">
    <w:name w:val="No Spacing Char"/>
    <w:basedOn w:val="DefaultParagraphFont"/>
    <w:link w:val="NoSpacing"/>
    <w:rsid w:val="00316300"/>
    <w:rPr>
      <w:rFonts w:ascii="PMingLiU" w:eastAsiaTheme="minorEastAsia" w:hAnsi="PMingLiU"/>
      <w:sz w:val="22"/>
      <w:szCs w:val="22"/>
      <w:lang w:val="es-ES_tradnl" w:eastAsia="es-ES"/>
    </w:rPr>
  </w:style>
  <w:style w:type="paragraph" w:customStyle="1" w:styleId="Normaal">
    <w:name w:val="Normaal"/>
    <w:qFormat/>
    <w:rsid w:val="00316300"/>
    <w:pPr>
      <w:spacing w:after="200" w:line="276" w:lineRule="auto"/>
    </w:pPr>
    <w:rPr>
      <w:rFonts w:ascii="Calibri" w:eastAsia="Calibri" w:hAnsi="Calibri" w:cs="Times New Roman"/>
      <w:sz w:val="22"/>
      <w:szCs w:val="22"/>
      <w:lang w:val="fr-BE"/>
    </w:rPr>
  </w:style>
  <w:style w:type="character" w:styleId="Hyperlink">
    <w:name w:val="Hyperlink"/>
    <w:basedOn w:val="DefaultParagraphFont"/>
    <w:uiPriority w:val="99"/>
    <w:unhideWhenUsed/>
    <w:rsid w:val="00316300"/>
    <w:rPr>
      <w:color w:val="0563C1" w:themeColor="hyperlink"/>
      <w:u w:val="single"/>
    </w:rPr>
  </w:style>
  <w:style w:type="paragraph" w:styleId="CommentText">
    <w:name w:val="annotation text"/>
    <w:basedOn w:val="Normal"/>
    <w:link w:val="CommentTextChar"/>
    <w:uiPriority w:val="99"/>
    <w:unhideWhenUsed/>
    <w:rsid w:val="00316300"/>
    <w:rPr>
      <w:rFonts w:ascii="Times New Roman" w:eastAsia="Times New Roman" w:hAnsi="Times New Roman" w:cs="Times New Roman"/>
      <w:sz w:val="20"/>
      <w:szCs w:val="20"/>
      <w:lang w:val="es-CO" w:eastAsia="en-GB"/>
    </w:rPr>
  </w:style>
  <w:style w:type="character" w:customStyle="1" w:styleId="CommentTextChar">
    <w:name w:val="Comment Text Char"/>
    <w:basedOn w:val="DefaultParagraphFont"/>
    <w:link w:val="CommentText"/>
    <w:uiPriority w:val="99"/>
    <w:rsid w:val="00316300"/>
    <w:rPr>
      <w:rFonts w:ascii="Times New Roman" w:eastAsia="Times New Roman" w:hAnsi="Times New Roman" w:cs="Times New Roman"/>
      <w:sz w:val="20"/>
      <w:szCs w:val="20"/>
      <w:lang w:val="es-CO" w:eastAsia="en-GB"/>
    </w:rPr>
  </w:style>
  <w:style w:type="character" w:customStyle="1" w:styleId="CommentSubjectChar">
    <w:name w:val="Comment Subject Char"/>
    <w:basedOn w:val="CommentTextChar"/>
    <w:link w:val="CommentSubject"/>
    <w:uiPriority w:val="99"/>
    <w:semiHidden/>
    <w:rsid w:val="00316300"/>
    <w:rPr>
      <w:rFonts w:ascii="Times New Roman" w:eastAsia="Times New Roman" w:hAnsi="Times New Roman" w:cs="Times New Roman"/>
      <w:b/>
      <w:bCs/>
      <w:sz w:val="20"/>
      <w:szCs w:val="20"/>
      <w:lang w:val="es-CO" w:eastAsia="en-GB"/>
    </w:rPr>
  </w:style>
  <w:style w:type="paragraph" w:styleId="CommentSubject">
    <w:name w:val="annotation subject"/>
    <w:basedOn w:val="CommentText"/>
    <w:next w:val="CommentText"/>
    <w:link w:val="CommentSubjectChar"/>
    <w:uiPriority w:val="99"/>
    <w:semiHidden/>
    <w:unhideWhenUsed/>
    <w:rsid w:val="00316300"/>
    <w:rPr>
      <w:b/>
      <w:bCs/>
    </w:rPr>
  </w:style>
  <w:style w:type="paragraph" w:customStyle="1" w:styleId="msonormal0">
    <w:name w:val="msonormal"/>
    <w:basedOn w:val="Normal"/>
    <w:rsid w:val="00316300"/>
    <w:pPr>
      <w:spacing w:before="100" w:beforeAutospacing="1" w:after="100" w:afterAutospacing="1"/>
    </w:pPr>
    <w:rPr>
      <w:rFonts w:ascii="Times New Roman" w:eastAsia="Times New Roman" w:hAnsi="Times New Roman" w:cs="Times New Roman"/>
      <w:lang w:val="es-CO" w:eastAsia="en-GB"/>
    </w:rPr>
  </w:style>
  <w:style w:type="paragraph" w:customStyle="1" w:styleId="xl66">
    <w:name w:val="xl66"/>
    <w:basedOn w:val="Normal"/>
    <w:rsid w:val="003163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s-CO" w:eastAsia="en-GB"/>
    </w:rPr>
  </w:style>
  <w:style w:type="paragraph" w:customStyle="1" w:styleId="xl67">
    <w:name w:val="xl67"/>
    <w:basedOn w:val="Normal"/>
    <w:rsid w:val="00316300"/>
    <w:pPr>
      <w:spacing w:before="100" w:beforeAutospacing="1" w:after="100" w:afterAutospacing="1"/>
      <w:jc w:val="center"/>
      <w:textAlignment w:val="center"/>
    </w:pPr>
    <w:rPr>
      <w:rFonts w:ascii="Times New Roman" w:eastAsia="Times New Roman" w:hAnsi="Times New Roman" w:cs="Times New Roman"/>
      <w:lang w:val="es-CO" w:eastAsia="en-GB"/>
    </w:rPr>
  </w:style>
  <w:style w:type="paragraph" w:customStyle="1" w:styleId="xl68">
    <w:name w:val="xl68"/>
    <w:basedOn w:val="Normal"/>
    <w:rsid w:val="003163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s-CO" w:eastAsia="en-GB"/>
    </w:rPr>
  </w:style>
  <w:style w:type="paragraph" w:customStyle="1" w:styleId="xl69">
    <w:name w:val="xl69"/>
    <w:basedOn w:val="Normal"/>
    <w:rsid w:val="00316300"/>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eastAsia="Times New Roman" w:hAnsi="Times New Roman" w:cs="Times New Roman"/>
      <w:b/>
      <w:bCs/>
      <w:lang w:val="es-CO" w:eastAsia="en-GB"/>
    </w:rPr>
  </w:style>
  <w:style w:type="paragraph" w:customStyle="1" w:styleId="xl70">
    <w:name w:val="xl70"/>
    <w:basedOn w:val="Normal"/>
    <w:rsid w:val="00316300"/>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eastAsia="Times New Roman" w:hAnsi="Times New Roman" w:cs="Times New Roman"/>
      <w:b/>
      <w:bCs/>
      <w:lang w:val="es-CO" w:eastAsia="en-GB"/>
    </w:rPr>
  </w:style>
  <w:style w:type="paragraph" w:customStyle="1" w:styleId="xl71">
    <w:name w:val="xl71"/>
    <w:basedOn w:val="Normal"/>
    <w:rsid w:val="00316300"/>
    <w:pPr>
      <w:spacing w:before="100" w:beforeAutospacing="1" w:after="100" w:afterAutospacing="1"/>
      <w:textAlignment w:val="center"/>
    </w:pPr>
    <w:rPr>
      <w:rFonts w:ascii="Times New Roman" w:eastAsia="Times New Roman" w:hAnsi="Times New Roman" w:cs="Times New Roman"/>
      <w:lang w:val="es-CO" w:eastAsia="en-GB"/>
    </w:rPr>
  </w:style>
  <w:style w:type="paragraph" w:customStyle="1" w:styleId="xl72">
    <w:name w:val="xl72"/>
    <w:basedOn w:val="Normal"/>
    <w:rsid w:val="003163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lang w:val="es-CO" w:eastAsia="en-GB"/>
    </w:rPr>
  </w:style>
  <w:style w:type="paragraph" w:customStyle="1" w:styleId="xl73">
    <w:name w:val="xl73"/>
    <w:basedOn w:val="Normal"/>
    <w:rsid w:val="003163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s-CO" w:eastAsia="en-GB"/>
    </w:rPr>
  </w:style>
  <w:style w:type="paragraph" w:customStyle="1" w:styleId="xl74">
    <w:name w:val="xl74"/>
    <w:basedOn w:val="Normal"/>
    <w:rsid w:val="003163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s-CO" w:eastAsia="en-GB"/>
    </w:rPr>
  </w:style>
  <w:style w:type="paragraph" w:customStyle="1" w:styleId="xl75">
    <w:name w:val="xl75"/>
    <w:basedOn w:val="Normal"/>
    <w:rsid w:val="00316300"/>
    <w:pPr>
      <w:spacing w:before="100" w:beforeAutospacing="1" w:after="100" w:afterAutospacing="1"/>
      <w:textAlignment w:val="center"/>
    </w:pPr>
    <w:rPr>
      <w:rFonts w:ascii="Times New Roman" w:eastAsia="Times New Roman" w:hAnsi="Times New Roman" w:cs="Times New Roman"/>
      <w:lang w:val="es-CO" w:eastAsia="en-GB"/>
    </w:rPr>
  </w:style>
  <w:style w:type="paragraph" w:customStyle="1" w:styleId="xl76">
    <w:name w:val="xl76"/>
    <w:basedOn w:val="Normal"/>
    <w:rsid w:val="003163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s-CO" w:eastAsia="en-GB"/>
    </w:rPr>
  </w:style>
  <w:style w:type="paragraph" w:customStyle="1" w:styleId="xl77">
    <w:name w:val="xl77"/>
    <w:basedOn w:val="Normal"/>
    <w:rsid w:val="00316300"/>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s-CO" w:eastAsia="en-GB"/>
    </w:rPr>
  </w:style>
  <w:style w:type="paragraph" w:customStyle="1" w:styleId="xl78">
    <w:name w:val="xl78"/>
    <w:basedOn w:val="Normal"/>
    <w:rsid w:val="003163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s-CO" w:eastAsia="en-GB"/>
    </w:rPr>
  </w:style>
  <w:style w:type="paragraph" w:customStyle="1" w:styleId="xl79">
    <w:name w:val="xl79"/>
    <w:basedOn w:val="Normal"/>
    <w:rsid w:val="00316300"/>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s-CO" w:eastAsia="en-GB"/>
    </w:rPr>
  </w:style>
  <w:style w:type="paragraph" w:customStyle="1" w:styleId="xl80">
    <w:name w:val="xl80"/>
    <w:basedOn w:val="Normal"/>
    <w:rsid w:val="003163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s-CO" w:eastAsia="en-GB"/>
    </w:rPr>
  </w:style>
  <w:style w:type="paragraph" w:customStyle="1" w:styleId="xl81">
    <w:name w:val="xl81"/>
    <w:basedOn w:val="Normal"/>
    <w:rsid w:val="00316300"/>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s-CO" w:eastAsia="en-GB"/>
    </w:rPr>
  </w:style>
  <w:style w:type="paragraph" w:customStyle="1" w:styleId="xl82">
    <w:name w:val="xl82"/>
    <w:basedOn w:val="Normal"/>
    <w:rsid w:val="00316300"/>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s-CO" w:eastAsia="en-GB"/>
    </w:rPr>
  </w:style>
  <w:style w:type="paragraph" w:customStyle="1" w:styleId="xl83">
    <w:name w:val="xl83"/>
    <w:basedOn w:val="Normal"/>
    <w:rsid w:val="003163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lang w:val="es-CO" w:eastAsia="en-GB"/>
    </w:rPr>
  </w:style>
  <w:style w:type="paragraph" w:customStyle="1" w:styleId="xl84">
    <w:name w:val="xl84"/>
    <w:basedOn w:val="Normal"/>
    <w:rsid w:val="003163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s-CO" w:eastAsia="en-GB"/>
    </w:rPr>
  </w:style>
  <w:style w:type="paragraph" w:customStyle="1" w:styleId="xl85">
    <w:name w:val="xl85"/>
    <w:basedOn w:val="Normal"/>
    <w:rsid w:val="003163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s-CO" w:eastAsia="en-GB"/>
    </w:rPr>
  </w:style>
  <w:style w:type="paragraph" w:customStyle="1" w:styleId="xl86">
    <w:name w:val="xl86"/>
    <w:basedOn w:val="Normal"/>
    <w:rsid w:val="003163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s-CO" w:eastAsia="en-GB"/>
    </w:rPr>
  </w:style>
  <w:style w:type="character" w:customStyle="1" w:styleId="FootnoteTextChar">
    <w:name w:val="Footnote Text Char"/>
    <w:basedOn w:val="DefaultParagraphFont"/>
    <w:link w:val="FootnoteText"/>
    <w:uiPriority w:val="99"/>
    <w:semiHidden/>
    <w:rsid w:val="00316300"/>
    <w:rPr>
      <w:rFonts w:ascii="Times New Roman" w:eastAsia="Times New Roman" w:hAnsi="Times New Roman" w:cs="Times New Roman"/>
      <w:sz w:val="20"/>
      <w:szCs w:val="20"/>
      <w:lang w:val="es-CO" w:eastAsia="en-GB"/>
    </w:rPr>
  </w:style>
  <w:style w:type="paragraph" w:styleId="FootnoteText">
    <w:name w:val="footnote text"/>
    <w:basedOn w:val="Normal"/>
    <w:link w:val="FootnoteTextChar"/>
    <w:uiPriority w:val="99"/>
    <w:semiHidden/>
    <w:unhideWhenUsed/>
    <w:rsid w:val="00316300"/>
    <w:rPr>
      <w:rFonts w:ascii="Times New Roman" w:eastAsia="Times New Roman" w:hAnsi="Times New Roman" w:cs="Times New Roman"/>
      <w:sz w:val="20"/>
      <w:szCs w:val="20"/>
      <w:lang w:val="es-CO" w:eastAsia="en-GB"/>
    </w:rPr>
  </w:style>
  <w:style w:type="paragraph" w:styleId="NormalWeb">
    <w:name w:val="Normal (Web)"/>
    <w:basedOn w:val="Normal"/>
    <w:uiPriority w:val="99"/>
    <w:semiHidden/>
    <w:unhideWhenUsed/>
    <w:rsid w:val="00E10CC6"/>
    <w:pPr>
      <w:spacing w:before="100" w:beforeAutospacing="1" w:after="100" w:afterAutospacing="1"/>
    </w:pPr>
    <w:rPr>
      <w:rFonts w:ascii="Times New Roman" w:eastAsia="Times New Roman" w:hAnsi="Times New Roman" w:cs="Times New Roman"/>
      <w:lang w:val="en-CO" w:eastAsia="en-GB"/>
    </w:rPr>
  </w:style>
  <w:style w:type="character" w:customStyle="1" w:styleId="apple-converted-space">
    <w:name w:val="apple-converted-space"/>
    <w:basedOn w:val="DefaultParagraphFont"/>
    <w:rsid w:val="00E10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33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204C7-441B-934C-93D7-61DACF863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21</Pages>
  <Words>5242</Words>
  <Characters>29883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Mora Moreo</dc:creator>
  <cp:keywords/>
  <dc:description/>
  <cp:lastModifiedBy>Laura Mora Moreo</cp:lastModifiedBy>
  <cp:revision>9</cp:revision>
  <dcterms:created xsi:type="dcterms:W3CDTF">2022-01-11T19:10:00Z</dcterms:created>
  <dcterms:modified xsi:type="dcterms:W3CDTF">2022-01-22T00:10:00Z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