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7A2" w:rsidRDefault="00246C00">
      <w:pPr>
        <w:rPr>
          <w:b/>
          <w:kern w:val="0"/>
          <w:sz w:val="24"/>
          <w:szCs w:val="24"/>
        </w:rPr>
      </w:pPr>
      <w:bookmarkStart w:id="0" w:name="_GoBack"/>
      <w:bookmarkEnd w:id="0"/>
      <w:r>
        <w:rPr>
          <w:rFonts w:hint="eastAsia"/>
          <w:b/>
          <w:kern w:val="0"/>
          <w:sz w:val="24"/>
          <w:szCs w:val="24"/>
        </w:rPr>
        <w:t>S</w:t>
      </w:r>
      <w:r>
        <w:rPr>
          <w:b/>
          <w:kern w:val="0"/>
          <w:sz w:val="24"/>
          <w:szCs w:val="24"/>
        </w:rPr>
        <w:t>eparate analysis result</w:t>
      </w:r>
      <w:r>
        <w:rPr>
          <w:b/>
          <w:kern w:val="0"/>
          <w:sz w:val="24"/>
          <w:szCs w:val="24"/>
        </w:rPr>
        <w:t>s</w:t>
      </w:r>
      <w:r>
        <w:rPr>
          <w:b/>
          <w:kern w:val="0"/>
          <w:sz w:val="24"/>
          <w:szCs w:val="24"/>
        </w:rPr>
        <w:t xml:space="preserve"> </w:t>
      </w:r>
      <w:r>
        <w:rPr>
          <w:b/>
          <w:kern w:val="0"/>
          <w:sz w:val="24"/>
          <w:szCs w:val="24"/>
        </w:rPr>
        <w:t>for all</w:t>
      </w:r>
      <w:r>
        <w:rPr>
          <w:b/>
          <w:kern w:val="0"/>
          <w:sz w:val="24"/>
          <w:szCs w:val="24"/>
        </w:rPr>
        <w:t xml:space="preserve"> four nasal symptoms </w:t>
      </w:r>
    </w:p>
    <w:p w:rsidR="00B207A2" w:rsidRDefault="00B207A2">
      <w:pPr>
        <w:rPr>
          <w:kern w:val="0"/>
          <w:sz w:val="24"/>
          <w:szCs w:val="24"/>
        </w:rPr>
      </w:pPr>
    </w:p>
    <w:p w:rsidR="00B207A2" w:rsidRDefault="00246C00">
      <w:pPr>
        <w:spacing w:line="480" w:lineRule="auto"/>
        <w:rPr>
          <w:kern w:val="0"/>
          <w:sz w:val="24"/>
          <w:szCs w:val="24"/>
        </w:rPr>
      </w:pPr>
      <w:r>
        <w:rPr>
          <w:kern w:val="0"/>
          <w:sz w:val="24"/>
        </w:rPr>
        <w:t>Regarding the sneezing score, the difference in baseline scores was statistically significant (</w:t>
      </w:r>
      <w:r>
        <w:rPr>
          <w:i/>
          <w:kern w:val="0"/>
          <w:sz w:val="24"/>
        </w:rPr>
        <w:t>P</w:t>
      </w:r>
      <w:r>
        <w:rPr>
          <w:kern w:val="0"/>
          <w:sz w:val="24"/>
        </w:rPr>
        <w:t>&lt;0.05). After covariance analysis, there were no significant differences in the sneezing score</w:t>
      </w:r>
      <w:r>
        <w:rPr>
          <w:kern w:val="0"/>
          <w:sz w:val="24"/>
        </w:rPr>
        <w:t>s</w:t>
      </w:r>
      <w:r>
        <w:rPr>
          <w:kern w:val="0"/>
          <w:sz w:val="24"/>
        </w:rPr>
        <w:t xml:space="preserve"> between the two groups during </w:t>
      </w:r>
      <w:r>
        <w:rPr>
          <w:kern w:val="0"/>
          <w:sz w:val="24"/>
        </w:rPr>
        <w:t xml:space="preserve">the </w:t>
      </w:r>
      <w:r>
        <w:rPr>
          <w:kern w:val="0"/>
          <w:sz w:val="24"/>
        </w:rPr>
        <w:t xml:space="preserve">follow-up and after treatment. There was a significant difference </w:t>
      </w:r>
      <w:r>
        <w:rPr>
          <w:kern w:val="0"/>
          <w:sz w:val="24"/>
        </w:rPr>
        <w:t xml:space="preserve">between the two groups </w:t>
      </w:r>
      <w:r>
        <w:rPr>
          <w:kern w:val="0"/>
          <w:sz w:val="24"/>
        </w:rPr>
        <w:t>for the change form</w:t>
      </w:r>
      <w:r>
        <w:rPr>
          <w:kern w:val="0"/>
          <w:sz w:val="24"/>
        </w:rPr>
        <w:t xml:space="preserve"> baseline </w:t>
      </w:r>
      <w:r>
        <w:rPr>
          <w:kern w:val="0"/>
          <w:sz w:val="24"/>
        </w:rPr>
        <w:t>to</w:t>
      </w:r>
      <w:r>
        <w:rPr>
          <w:kern w:val="0"/>
          <w:sz w:val="24"/>
        </w:rPr>
        <w:t xml:space="preserve"> after treatment (</w:t>
      </w:r>
      <w:r>
        <w:rPr>
          <w:i/>
          <w:kern w:val="0"/>
          <w:sz w:val="24"/>
        </w:rPr>
        <w:t>P</w:t>
      </w:r>
      <w:r>
        <w:rPr>
          <w:kern w:val="0"/>
          <w:sz w:val="24"/>
        </w:rPr>
        <w:t>&lt;0.05) (</w:t>
      </w:r>
      <w:r>
        <w:rPr>
          <w:sz w:val="24"/>
        </w:rPr>
        <w:t xml:space="preserve">Table </w:t>
      </w:r>
      <w:r>
        <w:rPr>
          <w:rFonts w:cs="Tahoma"/>
          <w:sz w:val="24"/>
          <w:szCs w:val="24"/>
        </w:rPr>
        <w:t>1</w:t>
      </w:r>
      <w:r>
        <w:rPr>
          <w:kern w:val="0"/>
          <w:sz w:val="24"/>
          <w:szCs w:val="24"/>
        </w:rPr>
        <w:t>). For the rhinorrhea, nasal congestion a</w:t>
      </w:r>
      <w:r>
        <w:rPr>
          <w:kern w:val="0"/>
          <w:sz w:val="24"/>
          <w:szCs w:val="24"/>
        </w:rPr>
        <w:t>nd nasal dryness scores, there were no significant differences between the two groups at baseline, follow-up, or after treatment or between baseline and after treatment (</w:t>
      </w:r>
      <w:r>
        <w:rPr>
          <w:rFonts w:cs="Tahoma"/>
          <w:sz w:val="24"/>
          <w:szCs w:val="24"/>
        </w:rPr>
        <w:t xml:space="preserve">Tables </w:t>
      </w:r>
      <w:r>
        <w:rPr>
          <w:rFonts w:cs="Tahoma" w:hint="eastAsia"/>
          <w:sz w:val="24"/>
          <w:szCs w:val="24"/>
        </w:rPr>
        <w:t>2</w:t>
      </w:r>
      <w:r>
        <w:rPr>
          <w:rFonts w:cs="Tahoma"/>
          <w:sz w:val="24"/>
          <w:szCs w:val="24"/>
        </w:rPr>
        <w:t>-</w:t>
      </w:r>
      <w:r>
        <w:rPr>
          <w:rFonts w:cs="Tahoma" w:hint="eastAsia"/>
          <w:sz w:val="24"/>
          <w:szCs w:val="24"/>
        </w:rPr>
        <w:t>4</w:t>
      </w:r>
      <w:r>
        <w:rPr>
          <w:kern w:val="0"/>
          <w:sz w:val="24"/>
          <w:szCs w:val="24"/>
        </w:rPr>
        <w:t>).</w:t>
      </w:r>
    </w:p>
    <w:p w:rsidR="00B207A2" w:rsidRDefault="00246C00">
      <w:pPr>
        <w:spacing w:line="480" w:lineRule="auto"/>
        <w:rPr>
          <w:kern w:val="44"/>
          <w:szCs w:val="21"/>
        </w:rPr>
      </w:pPr>
      <w:r>
        <w:rPr>
          <w:b/>
          <w:bCs/>
          <w:kern w:val="0"/>
          <w:szCs w:val="21"/>
        </w:rPr>
        <w:t xml:space="preserve">Table 1 </w:t>
      </w:r>
      <w:r>
        <w:rPr>
          <w:kern w:val="44"/>
          <w:szCs w:val="21"/>
        </w:rPr>
        <w:t xml:space="preserve">Comparison of </w:t>
      </w:r>
      <w:r>
        <w:rPr>
          <w:kern w:val="44"/>
          <w:szCs w:val="21"/>
        </w:rPr>
        <w:t xml:space="preserve">the </w:t>
      </w:r>
      <w:r>
        <w:rPr>
          <w:kern w:val="44"/>
          <w:szCs w:val="21"/>
        </w:rPr>
        <w:t>sneezing scores between the two groups (</w:t>
      </w:r>
      <w:r>
        <w:rPr>
          <w:szCs w:val="21"/>
        </w:rPr>
        <w:t xml:space="preserve">ITT </w:t>
      </w:r>
      <w:r>
        <w:rPr>
          <w:szCs w:val="21"/>
        </w:rPr>
        <w:t>analysis</w:t>
      </w:r>
      <w:r>
        <w:rPr>
          <w:kern w:val="44"/>
          <w:szCs w:val="21"/>
        </w:rPr>
        <w:t>)</w:t>
      </w:r>
    </w:p>
    <w:tbl>
      <w:tblPr>
        <w:tblW w:w="8437" w:type="dxa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6"/>
        <w:gridCol w:w="1398"/>
        <w:gridCol w:w="509"/>
        <w:gridCol w:w="1271"/>
        <w:gridCol w:w="2034"/>
        <w:gridCol w:w="864"/>
        <w:gridCol w:w="27"/>
        <w:gridCol w:w="838"/>
      </w:tblGrid>
      <w:tr w:rsidR="00B207A2">
        <w:trPr>
          <w:trHeight w:val="616"/>
        </w:trPr>
        <w:tc>
          <w:tcPr>
            <w:tcW w:w="14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Item</w:t>
            </w:r>
          </w:p>
        </w:tc>
        <w:tc>
          <w:tcPr>
            <w:tcW w:w="139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Group</w:t>
            </w:r>
          </w:p>
        </w:tc>
        <w:tc>
          <w:tcPr>
            <w:tcW w:w="5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N</w:t>
            </w:r>
          </w:p>
        </w:tc>
        <w:tc>
          <w:tcPr>
            <w:tcW w:w="12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noProof/>
                <w:szCs w:val="21"/>
              </w:rPr>
              <w:drawing>
                <wp:inline distT="0" distB="0" distL="114300" distR="114300" wp14:anchorId="3BEFCA27" wp14:editId="792AFDAD">
                  <wp:extent cx="438150" cy="206375"/>
                  <wp:effectExtent l="0" t="0" r="0" b="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20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Difference (95% CI)</w:t>
            </w:r>
          </w:p>
        </w:tc>
        <w:tc>
          <w:tcPr>
            <w:tcW w:w="86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t</w:t>
            </w:r>
          </w:p>
        </w:tc>
        <w:tc>
          <w:tcPr>
            <w:tcW w:w="865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p</w:t>
            </w: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Baseline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  <w:tc>
          <w:tcPr>
            <w:tcW w:w="1271" w:type="dxa"/>
            <w:vAlign w:val="center"/>
          </w:tcPr>
          <w:p w:rsidR="00B207A2" w:rsidRDefault="00246C00" w:rsidP="007E7202">
            <w:pPr>
              <w:spacing w:after="120"/>
              <w:ind w:firstLineChars="8" w:firstLine="17"/>
              <w:jc w:val="center"/>
              <w:rPr>
                <w:szCs w:val="21"/>
              </w:rPr>
            </w:pPr>
            <w:r>
              <w:rPr>
                <w:szCs w:val="21"/>
              </w:rPr>
              <w:t>1.49±0.80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0.27 (0.03,0.52)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ind w:firstLineChars="31" w:firstLine="65"/>
              <w:jc w:val="center"/>
              <w:rPr>
                <w:szCs w:val="21"/>
              </w:rPr>
            </w:pPr>
            <w:r>
              <w:rPr>
                <w:szCs w:val="21"/>
              </w:rPr>
              <w:t>2.246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ind w:firstLineChars="32" w:firstLine="67"/>
              <w:jc w:val="center"/>
              <w:rPr>
                <w:szCs w:val="21"/>
              </w:rPr>
            </w:pPr>
            <w:r>
              <w:rPr>
                <w:szCs w:val="21"/>
              </w:rPr>
              <w:t>0.026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</w:t>
            </w:r>
          </w:p>
        </w:tc>
        <w:tc>
          <w:tcPr>
            <w:tcW w:w="1271" w:type="dxa"/>
            <w:vAlign w:val="center"/>
          </w:tcPr>
          <w:p w:rsidR="00B207A2" w:rsidRDefault="00246C00" w:rsidP="007E7202">
            <w:pPr>
              <w:spacing w:after="120"/>
              <w:ind w:firstLineChars="8" w:firstLine="17"/>
              <w:jc w:val="center"/>
              <w:rPr>
                <w:szCs w:val="21"/>
              </w:rPr>
            </w:pPr>
            <w:r>
              <w:rPr>
                <w:szCs w:val="21"/>
              </w:rPr>
              <w:t>1.21±0.63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V1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  <w:tc>
          <w:tcPr>
            <w:tcW w:w="1271" w:type="dxa"/>
            <w:vAlign w:val="center"/>
          </w:tcPr>
          <w:p w:rsidR="00B207A2" w:rsidRDefault="00246C00" w:rsidP="007E7202">
            <w:pPr>
              <w:spacing w:after="120"/>
              <w:ind w:firstLineChars="8" w:firstLine="17"/>
              <w:jc w:val="center"/>
              <w:rPr>
                <w:szCs w:val="21"/>
              </w:rPr>
            </w:pPr>
            <w:r>
              <w:rPr>
                <w:szCs w:val="21"/>
              </w:rPr>
              <w:t>0.59±0.72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0.04 (-0.18,0.25)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ind w:firstLineChars="31" w:firstLine="65"/>
              <w:jc w:val="center"/>
              <w:rPr>
                <w:szCs w:val="21"/>
              </w:rPr>
            </w:pPr>
            <w:r>
              <w:rPr>
                <w:szCs w:val="21"/>
              </w:rPr>
              <w:t>0.359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ind w:firstLineChars="32" w:firstLine="67"/>
              <w:jc w:val="center"/>
              <w:rPr>
                <w:szCs w:val="21"/>
              </w:rPr>
            </w:pPr>
            <w:r>
              <w:rPr>
                <w:szCs w:val="21"/>
              </w:rPr>
              <w:t>0.720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</w:t>
            </w:r>
          </w:p>
        </w:tc>
        <w:tc>
          <w:tcPr>
            <w:tcW w:w="1271" w:type="dxa"/>
            <w:vAlign w:val="center"/>
          </w:tcPr>
          <w:p w:rsidR="00B207A2" w:rsidRDefault="00246C00" w:rsidP="007E7202">
            <w:pPr>
              <w:spacing w:after="120"/>
              <w:ind w:firstLineChars="8" w:firstLine="17"/>
              <w:jc w:val="center"/>
              <w:rPr>
                <w:szCs w:val="21"/>
              </w:rPr>
            </w:pPr>
            <w:r>
              <w:rPr>
                <w:szCs w:val="21"/>
              </w:rPr>
              <w:t>0.55±0.56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V2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61</w:t>
            </w:r>
          </w:p>
        </w:tc>
        <w:tc>
          <w:tcPr>
            <w:tcW w:w="1271" w:type="dxa"/>
            <w:vAlign w:val="center"/>
          </w:tcPr>
          <w:p w:rsidR="00B207A2" w:rsidRDefault="00246C00" w:rsidP="007E7202">
            <w:pPr>
              <w:spacing w:after="120"/>
              <w:ind w:firstLineChars="8" w:firstLine="17"/>
              <w:jc w:val="center"/>
              <w:rPr>
                <w:szCs w:val="21"/>
              </w:rPr>
            </w:pPr>
            <w:r>
              <w:rPr>
                <w:szCs w:val="21"/>
              </w:rPr>
              <w:t>0.21±0.45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-0.02 (-0.18,0.13)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ind w:leftChars="-24" w:left="-6" w:hangingChars="21" w:hanging="44"/>
              <w:jc w:val="center"/>
              <w:rPr>
                <w:szCs w:val="21"/>
              </w:rPr>
            </w:pPr>
            <w:r>
              <w:rPr>
                <w:szCs w:val="21"/>
              </w:rPr>
              <w:t>-0.271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ind w:firstLineChars="32" w:firstLine="67"/>
              <w:jc w:val="center"/>
              <w:rPr>
                <w:szCs w:val="21"/>
              </w:rPr>
            </w:pPr>
            <w:r>
              <w:rPr>
                <w:szCs w:val="21"/>
              </w:rPr>
              <w:t>0.787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64</w:t>
            </w:r>
          </w:p>
        </w:tc>
        <w:tc>
          <w:tcPr>
            <w:tcW w:w="1271" w:type="dxa"/>
            <w:vAlign w:val="center"/>
          </w:tcPr>
          <w:p w:rsidR="00B207A2" w:rsidRDefault="00246C00" w:rsidP="007E7202">
            <w:pPr>
              <w:spacing w:after="120"/>
              <w:ind w:firstLineChars="8" w:firstLine="17"/>
              <w:jc w:val="center"/>
              <w:rPr>
                <w:szCs w:val="21"/>
              </w:rPr>
            </w:pPr>
            <w:r>
              <w:rPr>
                <w:szCs w:val="21"/>
              </w:rPr>
              <w:t>0.23±0.43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V2</w:t>
            </w:r>
          </w:p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(Data filling*)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  <w:tc>
          <w:tcPr>
            <w:tcW w:w="1271" w:type="dxa"/>
            <w:vAlign w:val="center"/>
          </w:tcPr>
          <w:p w:rsidR="00B207A2" w:rsidRDefault="00246C00" w:rsidP="007E7202">
            <w:pPr>
              <w:spacing w:after="120"/>
              <w:ind w:firstLineChars="8" w:firstLine="17"/>
              <w:jc w:val="center"/>
              <w:rPr>
                <w:szCs w:val="21"/>
              </w:rPr>
            </w:pPr>
            <w:r>
              <w:rPr>
                <w:szCs w:val="21"/>
              </w:rPr>
              <w:t>0.19±0.43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-0.02 (-0.16,0.12)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ind w:leftChars="-24" w:left="-6" w:hangingChars="21" w:hanging="44"/>
              <w:jc w:val="center"/>
              <w:rPr>
                <w:szCs w:val="21"/>
              </w:rPr>
            </w:pPr>
            <w:r>
              <w:rPr>
                <w:szCs w:val="21"/>
              </w:rPr>
              <w:t>-0.281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ind w:firstLineChars="32" w:firstLine="67"/>
              <w:jc w:val="center"/>
              <w:rPr>
                <w:szCs w:val="21"/>
              </w:rPr>
            </w:pPr>
            <w:r>
              <w:rPr>
                <w:szCs w:val="21"/>
              </w:rPr>
              <w:t>0.779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</w:t>
            </w:r>
          </w:p>
        </w:tc>
        <w:tc>
          <w:tcPr>
            <w:tcW w:w="1271" w:type="dxa"/>
            <w:vAlign w:val="center"/>
          </w:tcPr>
          <w:p w:rsidR="00B207A2" w:rsidRDefault="00246C00" w:rsidP="007E7202">
            <w:pPr>
              <w:spacing w:after="120"/>
              <w:ind w:firstLineChars="8" w:firstLine="17"/>
              <w:jc w:val="center"/>
              <w:rPr>
                <w:szCs w:val="21"/>
              </w:rPr>
            </w:pPr>
            <w:r>
              <w:rPr>
                <w:szCs w:val="21"/>
              </w:rPr>
              <w:t>0.21±0.41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V2-baseline</w:t>
            </w:r>
          </w:p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(Data filling*)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  <w:tc>
          <w:tcPr>
            <w:tcW w:w="1271" w:type="dxa"/>
            <w:vAlign w:val="center"/>
          </w:tcPr>
          <w:p w:rsidR="00B207A2" w:rsidRDefault="00246C00" w:rsidP="007E7202">
            <w:pPr>
              <w:spacing w:after="120"/>
              <w:ind w:firstLineChars="8" w:firstLine="17"/>
              <w:jc w:val="center"/>
              <w:rPr>
                <w:szCs w:val="21"/>
              </w:rPr>
            </w:pPr>
            <w:r>
              <w:rPr>
                <w:szCs w:val="21"/>
              </w:rPr>
              <w:t>-1.29±0.86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0.29 (-0.56, 0.03)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-2.186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ind w:firstLineChars="32" w:firstLine="67"/>
              <w:jc w:val="center"/>
              <w:rPr>
                <w:szCs w:val="21"/>
              </w:rPr>
            </w:pPr>
            <w:r>
              <w:rPr>
                <w:szCs w:val="21"/>
              </w:rPr>
              <w:t>0.030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</w:t>
            </w:r>
          </w:p>
        </w:tc>
        <w:tc>
          <w:tcPr>
            <w:tcW w:w="1271" w:type="dxa"/>
            <w:vAlign w:val="center"/>
          </w:tcPr>
          <w:p w:rsidR="00B207A2" w:rsidRDefault="00246C00" w:rsidP="007E7202">
            <w:pPr>
              <w:spacing w:after="120"/>
              <w:ind w:firstLineChars="8" w:firstLine="17"/>
              <w:jc w:val="center"/>
              <w:rPr>
                <w:szCs w:val="21"/>
              </w:rPr>
            </w:pPr>
            <w:r>
              <w:rPr>
                <w:position w:val="-6"/>
                <w:szCs w:val="21"/>
              </w:rPr>
              <w:t>-1.00±0.72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924"/>
        </w:trPr>
        <w:tc>
          <w:tcPr>
            <w:tcW w:w="8437" w:type="dxa"/>
            <w:gridSpan w:val="8"/>
            <w:tcBorders>
              <w:top w:val="single" w:sz="12" w:space="0" w:color="auto"/>
            </w:tcBorders>
            <w:vAlign w:val="center"/>
          </w:tcPr>
          <w:p w:rsidR="00B207A2" w:rsidRDefault="00246C00">
            <w:pPr>
              <w:rPr>
                <w:szCs w:val="21"/>
              </w:rPr>
            </w:pPr>
            <w:r>
              <w:rPr>
                <w:szCs w:val="21"/>
              </w:rPr>
              <w:t>*Data filling: Some patients ended the study after V1, and their scores at V1 were used to fill their V2 scores.</w:t>
            </w:r>
          </w:p>
          <w:p w:rsidR="00B207A2" w:rsidRDefault="00B207A2">
            <w:pPr>
              <w:rPr>
                <w:szCs w:val="21"/>
              </w:rPr>
            </w:pPr>
          </w:p>
        </w:tc>
      </w:tr>
    </w:tbl>
    <w:p w:rsidR="00B207A2" w:rsidRDefault="00246C00">
      <w:pPr>
        <w:spacing w:line="480" w:lineRule="auto"/>
        <w:rPr>
          <w:kern w:val="44"/>
          <w:szCs w:val="21"/>
        </w:rPr>
      </w:pPr>
      <w:r>
        <w:rPr>
          <w:b/>
          <w:bCs/>
          <w:kern w:val="0"/>
          <w:szCs w:val="21"/>
        </w:rPr>
        <w:t xml:space="preserve">Table </w:t>
      </w:r>
      <w:r>
        <w:rPr>
          <w:rFonts w:hint="eastAsia"/>
          <w:b/>
          <w:bCs/>
          <w:kern w:val="0"/>
          <w:szCs w:val="21"/>
        </w:rPr>
        <w:t>2</w:t>
      </w:r>
      <w:r>
        <w:rPr>
          <w:b/>
          <w:bCs/>
          <w:kern w:val="0"/>
          <w:szCs w:val="21"/>
        </w:rPr>
        <w:t xml:space="preserve"> </w:t>
      </w:r>
      <w:r>
        <w:rPr>
          <w:kern w:val="44"/>
          <w:szCs w:val="21"/>
        </w:rPr>
        <w:t xml:space="preserve">Comparison of </w:t>
      </w:r>
      <w:r>
        <w:rPr>
          <w:kern w:val="44"/>
          <w:szCs w:val="21"/>
        </w:rPr>
        <w:t xml:space="preserve">the </w:t>
      </w:r>
      <w:r>
        <w:rPr>
          <w:kern w:val="44"/>
          <w:szCs w:val="21"/>
        </w:rPr>
        <w:t>rhinorrhea scores between the two groups (</w:t>
      </w:r>
      <w:r>
        <w:rPr>
          <w:szCs w:val="21"/>
        </w:rPr>
        <w:t>ITT analysis</w:t>
      </w:r>
      <w:r>
        <w:rPr>
          <w:kern w:val="44"/>
          <w:szCs w:val="21"/>
        </w:rPr>
        <w:t>)</w:t>
      </w:r>
    </w:p>
    <w:tbl>
      <w:tblPr>
        <w:tblW w:w="8437" w:type="dxa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6"/>
        <w:gridCol w:w="1398"/>
        <w:gridCol w:w="509"/>
        <w:gridCol w:w="1271"/>
        <w:gridCol w:w="2034"/>
        <w:gridCol w:w="864"/>
        <w:gridCol w:w="27"/>
        <w:gridCol w:w="838"/>
      </w:tblGrid>
      <w:tr w:rsidR="00B207A2">
        <w:trPr>
          <w:trHeight w:val="616"/>
        </w:trPr>
        <w:tc>
          <w:tcPr>
            <w:tcW w:w="14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Item</w:t>
            </w:r>
          </w:p>
        </w:tc>
        <w:tc>
          <w:tcPr>
            <w:tcW w:w="139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Group</w:t>
            </w:r>
          </w:p>
        </w:tc>
        <w:tc>
          <w:tcPr>
            <w:tcW w:w="5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N</w:t>
            </w:r>
          </w:p>
        </w:tc>
        <w:tc>
          <w:tcPr>
            <w:tcW w:w="12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noProof/>
                <w:szCs w:val="21"/>
              </w:rPr>
              <w:drawing>
                <wp:inline distT="0" distB="0" distL="114300" distR="114300" wp14:anchorId="79B1DDD9" wp14:editId="3798C6C4">
                  <wp:extent cx="438150" cy="206375"/>
                  <wp:effectExtent l="0" t="0" r="0" b="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20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Difference (95% </w:t>
            </w:r>
            <w:r>
              <w:rPr>
                <w:szCs w:val="21"/>
              </w:rPr>
              <w:t>CI)</w:t>
            </w:r>
          </w:p>
        </w:tc>
        <w:tc>
          <w:tcPr>
            <w:tcW w:w="86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t</w:t>
            </w:r>
          </w:p>
        </w:tc>
        <w:tc>
          <w:tcPr>
            <w:tcW w:w="865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p</w:t>
            </w: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Baseline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1.65±0.64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0.07 (-0.17,0.31)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0.570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0.569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1.58±0.79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V1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0.74±0.68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0.10 (-0.12,0.32)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0.906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0.367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0.63±0.64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V2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61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0.33±0.54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0.05 (-0.14,0.23)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0.508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0.613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64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position w:val="-6"/>
                <w:szCs w:val="21"/>
              </w:rPr>
              <w:t>0.28±0.49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V2</w:t>
            </w:r>
          </w:p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(Data filling*)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position w:val="-6"/>
                <w:szCs w:val="21"/>
              </w:rPr>
              <w:t>0.29±0.52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0.04 (-0.13,0.21)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0.483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0.630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position w:val="-6"/>
                <w:szCs w:val="21"/>
              </w:rPr>
              <w:t>0.25±0.47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V2-baseline</w:t>
            </w:r>
          </w:p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(Data filling*)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ind w:rightChars="-77" w:right="-162"/>
              <w:jc w:val="center"/>
              <w:rPr>
                <w:szCs w:val="21"/>
              </w:rPr>
            </w:pPr>
            <w:r>
              <w:rPr>
                <w:szCs w:val="21"/>
              </w:rPr>
              <w:t>-1.35±0.66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-0.03 (-0.29,0.23)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-0.222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0.825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ind w:rightChars="-77" w:right="-162"/>
              <w:jc w:val="center"/>
              <w:rPr>
                <w:szCs w:val="21"/>
              </w:rPr>
            </w:pPr>
            <w:r>
              <w:rPr>
                <w:position w:val="-6"/>
                <w:szCs w:val="21"/>
              </w:rPr>
              <w:t>-1.32±0.86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922"/>
        </w:trPr>
        <w:tc>
          <w:tcPr>
            <w:tcW w:w="8437" w:type="dxa"/>
            <w:gridSpan w:val="8"/>
            <w:tcBorders>
              <w:top w:val="single" w:sz="12" w:space="0" w:color="auto"/>
            </w:tcBorders>
            <w:vAlign w:val="center"/>
          </w:tcPr>
          <w:p w:rsidR="00B207A2" w:rsidRDefault="00246C00">
            <w:pPr>
              <w:rPr>
                <w:szCs w:val="21"/>
              </w:rPr>
            </w:pPr>
            <w:r>
              <w:rPr>
                <w:szCs w:val="21"/>
              </w:rPr>
              <w:t xml:space="preserve">*Data filling: Some </w:t>
            </w:r>
            <w:r>
              <w:rPr>
                <w:szCs w:val="21"/>
              </w:rPr>
              <w:t>patients ended the study after V1, and their scores at V1 were used to fill their V2 scores.</w:t>
            </w:r>
          </w:p>
          <w:p w:rsidR="00B207A2" w:rsidRDefault="00B207A2">
            <w:pPr>
              <w:rPr>
                <w:szCs w:val="21"/>
              </w:rPr>
            </w:pPr>
          </w:p>
        </w:tc>
      </w:tr>
    </w:tbl>
    <w:p w:rsidR="00B207A2" w:rsidRDefault="00246C00">
      <w:pPr>
        <w:spacing w:line="480" w:lineRule="auto"/>
        <w:rPr>
          <w:kern w:val="44"/>
          <w:szCs w:val="21"/>
        </w:rPr>
      </w:pPr>
      <w:r>
        <w:rPr>
          <w:b/>
          <w:bCs/>
          <w:kern w:val="0"/>
          <w:szCs w:val="21"/>
        </w:rPr>
        <w:t xml:space="preserve">Table </w:t>
      </w:r>
      <w:r>
        <w:rPr>
          <w:rFonts w:hint="eastAsia"/>
          <w:b/>
          <w:bCs/>
          <w:kern w:val="0"/>
          <w:szCs w:val="21"/>
        </w:rPr>
        <w:t>3</w:t>
      </w:r>
      <w:r>
        <w:rPr>
          <w:b/>
          <w:bCs/>
          <w:kern w:val="0"/>
          <w:szCs w:val="21"/>
        </w:rPr>
        <w:t xml:space="preserve"> </w:t>
      </w:r>
      <w:r>
        <w:rPr>
          <w:kern w:val="44"/>
          <w:szCs w:val="21"/>
        </w:rPr>
        <w:t xml:space="preserve">Comparison of </w:t>
      </w:r>
      <w:r>
        <w:rPr>
          <w:kern w:val="44"/>
          <w:szCs w:val="21"/>
        </w:rPr>
        <w:t xml:space="preserve">the </w:t>
      </w:r>
      <w:r>
        <w:rPr>
          <w:kern w:val="44"/>
          <w:szCs w:val="21"/>
        </w:rPr>
        <w:t>nasal congestion scores between the two groups (</w:t>
      </w:r>
      <w:r>
        <w:rPr>
          <w:szCs w:val="21"/>
        </w:rPr>
        <w:t>ITT analysis</w:t>
      </w:r>
      <w:r>
        <w:rPr>
          <w:kern w:val="44"/>
          <w:szCs w:val="21"/>
        </w:rPr>
        <w:t>)</w:t>
      </w:r>
    </w:p>
    <w:tbl>
      <w:tblPr>
        <w:tblW w:w="8437" w:type="dxa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6"/>
        <w:gridCol w:w="1398"/>
        <w:gridCol w:w="509"/>
        <w:gridCol w:w="1271"/>
        <w:gridCol w:w="2034"/>
        <w:gridCol w:w="864"/>
        <w:gridCol w:w="27"/>
        <w:gridCol w:w="838"/>
      </w:tblGrid>
      <w:tr w:rsidR="00B207A2">
        <w:trPr>
          <w:trHeight w:val="616"/>
        </w:trPr>
        <w:tc>
          <w:tcPr>
            <w:tcW w:w="14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Item</w:t>
            </w:r>
          </w:p>
        </w:tc>
        <w:tc>
          <w:tcPr>
            <w:tcW w:w="139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Group</w:t>
            </w:r>
          </w:p>
        </w:tc>
        <w:tc>
          <w:tcPr>
            <w:tcW w:w="5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N</w:t>
            </w:r>
          </w:p>
        </w:tc>
        <w:tc>
          <w:tcPr>
            <w:tcW w:w="12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noProof/>
                <w:szCs w:val="21"/>
              </w:rPr>
              <w:drawing>
                <wp:inline distT="0" distB="0" distL="114300" distR="114300" wp14:anchorId="4FA469AA" wp14:editId="71767E37">
                  <wp:extent cx="438150" cy="206375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20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Difference (95% CI)</w:t>
            </w:r>
          </w:p>
        </w:tc>
        <w:tc>
          <w:tcPr>
            <w:tcW w:w="86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t</w:t>
            </w:r>
          </w:p>
        </w:tc>
        <w:tc>
          <w:tcPr>
            <w:tcW w:w="865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p</w:t>
            </w: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Baseline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1.57±0.72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-0.15 (-0.38,0.09)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-1.220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0.225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1.72±0.68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V1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0.81±0.61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-0.08 (-0.30,0.14)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-0.701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0.484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0.89±0.71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V2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61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0.30±0.53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-0.11 (-0.32,0.10)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-1.037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0.302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64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position w:val="-6"/>
                <w:szCs w:val="21"/>
              </w:rPr>
              <w:t>0.41±0.66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V2</w:t>
            </w:r>
          </w:p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(Data </w:t>
            </w:r>
            <w:r>
              <w:rPr>
                <w:szCs w:val="21"/>
              </w:rPr>
              <w:t>filling*)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position w:val="-6"/>
                <w:szCs w:val="21"/>
              </w:rPr>
              <w:t>0.27±0.51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-0.10 (-0.30,0.09)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-1.035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0.302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position w:val="-6"/>
                <w:szCs w:val="21"/>
              </w:rPr>
              <w:t>0.37±0.64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V2-baseline</w:t>
            </w:r>
          </w:p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(Data filling*)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-1.31±0.87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0.04 (-0.24,0.33)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0.301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0.764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position w:val="-6"/>
                <w:szCs w:val="21"/>
              </w:rPr>
              <w:t>-1.35±0.83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922"/>
        </w:trPr>
        <w:tc>
          <w:tcPr>
            <w:tcW w:w="8437" w:type="dxa"/>
            <w:gridSpan w:val="8"/>
            <w:tcBorders>
              <w:top w:val="single" w:sz="12" w:space="0" w:color="auto"/>
            </w:tcBorders>
            <w:vAlign w:val="center"/>
          </w:tcPr>
          <w:p w:rsidR="00B207A2" w:rsidRDefault="00246C00">
            <w:pPr>
              <w:rPr>
                <w:szCs w:val="21"/>
              </w:rPr>
            </w:pPr>
            <w:r>
              <w:rPr>
                <w:szCs w:val="21"/>
              </w:rPr>
              <w:t xml:space="preserve">*Data filling: Some patients ended the study </w:t>
            </w:r>
            <w:r>
              <w:rPr>
                <w:szCs w:val="21"/>
              </w:rPr>
              <w:t>after V1, and their scores at V1 were used to fill their V2 scores.</w:t>
            </w:r>
          </w:p>
          <w:p w:rsidR="00B207A2" w:rsidRDefault="00B207A2">
            <w:pPr>
              <w:rPr>
                <w:szCs w:val="21"/>
              </w:rPr>
            </w:pPr>
          </w:p>
        </w:tc>
      </w:tr>
    </w:tbl>
    <w:p w:rsidR="00B207A2" w:rsidRDefault="00246C00">
      <w:pPr>
        <w:spacing w:line="480" w:lineRule="auto"/>
        <w:rPr>
          <w:kern w:val="44"/>
          <w:szCs w:val="21"/>
        </w:rPr>
      </w:pPr>
      <w:r>
        <w:rPr>
          <w:b/>
          <w:bCs/>
          <w:kern w:val="0"/>
          <w:szCs w:val="21"/>
        </w:rPr>
        <w:t xml:space="preserve">Table </w:t>
      </w:r>
      <w:r>
        <w:rPr>
          <w:rFonts w:hint="eastAsia"/>
          <w:b/>
          <w:bCs/>
          <w:kern w:val="0"/>
          <w:szCs w:val="21"/>
        </w:rPr>
        <w:t>4</w:t>
      </w:r>
      <w:r>
        <w:rPr>
          <w:b/>
          <w:bCs/>
          <w:kern w:val="0"/>
          <w:szCs w:val="21"/>
        </w:rPr>
        <w:t xml:space="preserve"> </w:t>
      </w:r>
      <w:r>
        <w:rPr>
          <w:kern w:val="44"/>
          <w:szCs w:val="21"/>
        </w:rPr>
        <w:t xml:space="preserve">Comparison of </w:t>
      </w:r>
      <w:r>
        <w:rPr>
          <w:kern w:val="44"/>
          <w:szCs w:val="21"/>
        </w:rPr>
        <w:t xml:space="preserve">the </w:t>
      </w:r>
      <w:r>
        <w:rPr>
          <w:kern w:val="44"/>
          <w:szCs w:val="21"/>
        </w:rPr>
        <w:t>nasal dryness scores between the two groups (</w:t>
      </w:r>
      <w:r>
        <w:rPr>
          <w:szCs w:val="21"/>
        </w:rPr>
        <w:t>ITT analysis</w:t>
      </w:r>
      <w:r>
        <w:rPr>
          <w:kern w:val="44"/>
          <w:szCs w:val="21"/>
        </w:rPr>
        <w:t>)</w:t>
      </w:r>
    </w:p>
    <w:tbl>
      <w:tblPr>
        <w:tblW w:w="8437" w:type="dxa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6"/>
        <w:gridCol w:w="1398"/>
        <w:gridCol w:w="509"/>
        <w:gridCol w:w="1271"/>
        <w:gridCol w:w="2034"/>
        <w:gridCol w:w="864"/>
        <w:gridCol w:w="27"/>
        <w:gridCol w:w="838"/>
      </w:tblGrid>
      <w:tr w:rsidR="00B207A2">
        <w:trPr>
          <w:trHeight w:val="616"/>
        </w:trPr>
        <w:tc>
          <w:tcPr>
            <w:tcW w:w="14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Item</w:t>
            </w:r>
          </w:p>
        </w:tc>
        <w:tc>
          <w:tcPr>
            <w:tcW w:w="139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Group</w:t>
            </w:r>
          </w:p>
        </w:tc>
        <w:tc>
          <w:tcPr>
            <w:tcW w:w="5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N</w:t>
            </w:r>
          </w:p>
        </w:tc>
        <w:tc>
          <w:tcPr>
            <w:tcW w:w="12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noProof/>
                <w:szCs w:val="21"/>
              </w:rPr>
              <w:drawing>
                <wp:inline distT="0" distB="0" distL="114300" distR="114300" wp14:anchorId="5B8ECD92" wp14:editId="10712F03">
                  <wp:extent cx="438150" cy="206375"/>
                  <wp:effectExtent l="0" t="0" r="0" b="0"/>
                  <wp:docPr id="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20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Difference (95% CI)</w:t>
            </w:r>
          </w:p>
        </w:tc>
        <w:tc>
          <w:tcPr>
            <w:tcW w:w="86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t</w:t>
            </w:r>
          </w:p>
        </w:tc>
        <w:tc>
          <w:tcPr>
            <w:tcW w:w="865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p</w:t>
            </w: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Baseline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1.04±0.87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-0.10 (-0.38,0.19)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-0.669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0.505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1.14±0.83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V1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0.46±0.56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-0.18 (-0.40,0.04)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-1.621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0.107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0.63±0.72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V2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61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0.21±0.45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-0.18 (-0.37,0.02)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-1.798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0.075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64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0.39±0.63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V2</w:t>
            </w:r>
          </w:p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(Data filling*)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0.21±0.44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-0.16 (-0.34,0.02)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-1.757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0.081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0.37±0.62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308"/>
        </w:trPr>
        <w:tc>
          <w:tcPr>
            <w:tcW w:w="1496" w:type="dxa"/>
            <w:vMerge w:val="restart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V2-baseline</w:t>
            </w:r>
          </w:p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(Data filling*)</w:t>
            </w: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Experimental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68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0.84±0.86</w:t>
            </w:r>
          </w:p>
        </w:tc>
        <w:tc>
          <w:tcPr>
            <w:tcW w:w="2034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-0.06 (-0.35,0.22)</w:t>
            </w:r>
          </w:p>
        </w:tc>
        <w:tc>
          <w:tcPr>
            <w:tcW w:w="891" w:type="dxa"/>
            <w:gridSpan w:val="2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0.439</w:t>
            </w:r>
          </w:p>
        </w:tc>
        <w:tc>
          <w:tcPr>
            <w:tcW w:w="838" w:type="dxa"/>
            <w:vMerge w:val="restart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rPr>
                <w:szCs w:val="21"/>
              </w:rPr>
              <w:t>0.661</w:t>
            </w:r>
          </w:p>
        </w:tc>
      </w:tr>
      <w:tr w:rsidR="00B207A2">
        <w:trPr>
          <w:trHeight w:val="143"/>
        </w:trPr>
        <w:tc>
          <w:tcPr>
            <w:tcW w:w="1496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1398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Control</w:t>
            </w:r>
          </w:p>
        </w:tc>
        <w:tc>
          <w:tcPr>
            <w:tcW w:w="509" w:type="dxa"/>
            <w:vAlign w:val="center"/>
          </w:tcPr>
          <w:p w:rsidR="00B207A2" w:rsidRDefault="00246C0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71</w:t>
            </w:r>
          </w:p>
        </w:tc>
        <w:tc>
          <w:tcPr>
            <w:tcW w:w="1271" w:type="dxa"/>
            <w:vAlign w:val="center"/>
          </w:tcPr>
          <w:p w:rsidR="00B207A2" w:rsidRDefault="00246C00">
            <w:pPr>
              <w:spacing w:after="120"/>
              <w:jc w:val="center"/>
              <w:rPr>
                <w:szCs w:val="21"/>
              </w:rPr>
            </w:pPr>
            <w:r>
              <w:t>0.77±0.85</w:t>
            </w:r>
          </w:p>
        </w:tc>
        <w:tc>
          <w:tcPr>
            <w:tcW w:w="2034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91" w:type="dxa"/>
            <w:gridSpan w:val="2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Merge/>
            <w:vAlign w:val="center"/>
          </w:tcPr>
          <w:p w:rsidR="00B207A2" w:rsidRDefault="00B207A2">
            <w:pPr>
              <w:jc w:val="center"/>
              <w:rPr>
                <w:szCs w:val="21"/>
              </w:rPr>
            </w:pPr>
          </w:p>
        </w:tc>
      </w:tr>
      <w:tr w:rsidR="00B207A2">
        <w:trPr>
          <w:trHeight w:val="922"/>
        </w:trPr>
        <w:tc>
          <w:tcPr>
            <w:tcW w:w="8437" w:type="dxa"/>
            <w:gridSpan w:val="8"/>
            <w:tcBorders>
              <w:top w:val="single" w:sz="12" w:space="0" w:color="auto"/>
            </w:tcBorders>
            <w:vAlign w:val="center"/>
          </w:tcPr>
          <w:p w:rsidR="00B207A2" w:rsidRDefault="00246C00">
            <w:pPr>
              <w:rPr>
                <w:szCs w:val="21"/>
              </w:rPr>
            </w:pPr>
            <w:r>
              <w:rPr>
                <w:szCs w:val="21"/>
              </w:rPr>
              <w:t xml:space="preserve">*Data filling: Some patients ended the study after V1, and their scores at V1 were </w:t>
            </w:r>
            <w:r>
              <w:rPr>
                <w:szCs w:val="21"/>
              </w:rPr>
              <w:t>used to fill their V2 scores.</w:t>
            </w:r>
          </w:p>
        </w:tc>
      </w:tr>
    </w:tbl>
    <w:p w:rsidR="00B207A2" w:rsidRDefault="00B207A2">
      <w:pPr>
        <w:spacing w:line="480" w:lineRule="auto"/>
        <w:rPr>
          <w:kern w:val="0"/>
          <w:sz w:val="24"/>
        </w:rPr>
      </w:pPr>
    </w:p>
    <w:p w:rsidR="00B207A2" w:rsidRDefault="00B207A2"/>
    <w:p w:rsidR="00B207A2" w:rsidRDefault="00B207A2"/>
    <w:sectPr w:rsidR="00B207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uthor">
    <w15:presenceInfo w15:providerId="None" w15:userId="Author"/>
  </w15:person>
  <w15:person w15:author="Editor">
    <w15:presenceInfo w15:providerId="None" w15:userId="Edi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616E2A"/>
    <w:rsid w:val="00246C00"/>
    <w:rsid w:val="00341C61"/>
    <w:rsid w:val="007E7202"/>
    <w:rsid w:val="00B207A2"/>
    <w:rsid w:val="7B616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7E7202"/>
    <w:rPr>
      <w:sz w:val="18"/>
      <w:szCs w:val="18"/>
    </w:rPr>
  </w:style>
  <w:style w:type="character" w:customStyle="1" w:styleId="Char">
    <w:name w:val="批注框文本 Char"/>
    <w:basedOn w:val="a0"/>
    <w:link w:val="a3"/>
    <w:rsid w:val="007E720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7E7202"/>
    <w:rPr>
      <w:sz w:val="18"/>
      <w:szCs w:val="18"/>
    </w:rPr>
  </w:style>
  <w:style w:type="character" w:customStyle="1" w:styleId="Char">
    <w:name w:val="批注框文本 Char"/>
    <w:basedOn w:val="a0"/>
    <w:link w:val="a3"/>
    <w:rsid w:val="007E720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530</Words>
  <Characters>3025</Characters>
  <Application>Microsoft Office Word</Application>
  <DocSecurity>0</DocSecurity>
  <Lines>25</Lines>
  <Paragraphs>7</Paragraphs>
  <ScaleCrop>false</ScaleCrop>
  <Company>china</Company>
  <LinksUpToDate>false</LinksUpToDate>
  <CharactersWithSpaces>3548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53548</dc:creator>
  <cp:lastModifiedBy>Luo Qiulan</cp:lastModifiedBy>
  <cp:revision>3</cp:revision>
  <dcterms:created xsi:type="dcterms:W3CDTF">2020-09-25T00:56:00Z</dcterms:created>
  <dcterms:modified xsi:type="dcterms:W3CDTF">2020-09-25T00:56:00Z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