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53" w:rsidRDefault="00F73A53" w:rsidP="00F73A53">
      <w:pPr>
        <w:spacing w:line="480" w:lineRule="auto"/>
      </w:pPr>
      <w:r w:rsidRPr="0077318E">
        <w:rPr>
          <w:b/>
          <w:bCs/>
        </w:rPr>
        <w:t>Appendix</w:t>
      </w:r>
      <w:r>
        <w:t>:</w:t>
      </w:r>
    </w:p>
    <w:p w:rsidR="00F73A53" w:rsidRPr="00F65549" w:rsidRDefault="00F73A53" w:rsidP="00F73A53">
      <w:pPr>
        <w:spacing w:line="360" w:lineRule="auto"/>
      </w:pPr>
      <w:r w:rsidRPr="00F65549">
        <w:t xml:space="preserve">The </w:t>
      </w:r>
      <w:r>
        <w:t>mathematical</w:t>
      </w:r>
      <w:r w:rsidRPr="00F65549">
        <w:t xml:space="preserve"> description of the RICE</w:t>
      </w:r>
      <w:r>
        <w:t>2020</w:t>
      </w:r>
      <w:r w:rsidRPr="00F65549">
        <w:t xml:space="preserve"> model </w:t>
      </w:r>
      <w:r>
        <w:t>in discrete form.</w:t>
      </w:r>
    </w:p>
    <w:p w:rsidR="00F73A53" w:rsidRPr="00F65549" w:rsidRDefault="00F73A53" w:rsidP="00F73A53">
      <w:pPr>
        <w:spacing w:line="360" w:lineRule="auto"/>
      </w:pPr>
      <w:r>
        <w:t>I</w:t>
      </w:r>
      <w:r w:rsidRPr="00F65549">
        <w:t>.</w:t>
      </w:r>
      <w:r w:rsidRPr="00F65549">
        <w:tab/>
        <w:t>The RICE</w:t>
      </w:r>
      <w:r>
        <w:t>2020</w:t>
      </w:r>
      <w:r w:rsidRPr="00F65549">
        <w:t xml:space="preserve"> model as a social planner’s problem (efficient solutions fully internalize climate externality):</w:t>
      </w:r>
    </w:p>
    <w:p w:rsidR="00F73A53" w:rsidRPr="00F65549" w:rsidRDefault="00F73A53" w:rsidP="00F73A53">
      <w:pPr>
        <w:spacing w:line="360" w:lineRule="auto"/>
      </w:pPr>
      <w:r>
        <w:t xml:space="preserve">1. </w:t>
      </w:r>
      <w:r w:rsidRPr="00F65549">
        <w:t>The objective function of the social planner that is subject to the constraints (</w:t>
      </w:r>
      <w:r>
        <w:t>A-</w:t>
      </w:r>
      <w:r w:rsidRPr="00F65549">
        <w:t>2) to (</w:t>
      </w:r>
      <w:r>
        <w:t>A-</w:t>
      </w:r>
      <w:r w:rsidRPr="00F65549">
        <w:t>17):</w:t>
      </w:r>
    </w:p>
    <w:p w:rsidR="00F73A53" w:rsidRPr="00F65549" w:rsidRDefault="00F73A53" w:rsidP="00F73A53">
      <w:pPr>
        <w:pStyle w:val="MTDisplayEquation"/>
      </w:pPr>
      <w:r w:rsidRPr="00F65549">
        <w:t xml:space="preserve">          </w:t>
      </w:r>
      <w:r w:rsidRPr="00F65549">
        <w:rPr>
          <w:position w:val="-28"/>
        </w:rPr>
        <w:object w:dxaOrig="73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pt;height:33.75pt" o:ole="">
            <v:imagedata r:id="rId5" o:title=""/>
          </v:shape>
          <o:OLEObject Type="Embed" ProgID="Equation.DSMT4" ShapeID="_x0000_i1025" DrawAspect="Content" ObjectID="_1706448379" r:id="rId6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>
        <w:t xml:space="preserve">2. </w:t>
      </w:r>
      <w:r w:rsidRPr="00F65549">
        <w:t>The economic module (regional Solow growth model with embedded economy-climate interaction):</w:t>
      </w:r>
    </w:p>
    <w:p w:rsidR="00F73A53" w:rsidRPr="00F65549" w:rsidRDefault="00F73A53" w:rsidP="00F73A53">
      <w:pPr>
        <w:spacing w:line="360" w:lineRule="auto"/>
      </w:pPr>
      <w:r w:rsidRPr="00F65549">
        <w:tab/>
        <w:t>Definition of utility function:</w:t>
      </w:r>
    </w:p>
    <w:p w:rsidR="00F73A53" w:rsidRPr="00F65549" w:rsidRDefault="00F73A53" w:rsidP="00F73A53">
      <w:pPr>
        <w:pStyle w:val="MTDisplayEquation"/>
      </w:pPr>
      <w:r w:rsidRPr="00F65549">
        <w:t xml:space="preserve">           </w:t>
      </w:r>
      <w:r w:rsidRPr="00F65549">
        <w:rPr>
          <w:position w:val="-62"/>
        </w:rPr>
        <w:object w:dxaOrig="4700" w:dyaOrig="1359">
          <v:shape id="_x0000_i1026" type="#_x0000_t75" style="width:235.5pt;height:68.25pt" o:ole="">
            <v:imagedata r:id="rId7" o:title=""/>
          </v:shape>
          <o:OLEObject Type="Embed" ProgID="Equation.DSMT4" ShapeID="_x0000_i1026" DrawAspect="Content" ObjectID="_1706448380" r:id="rId8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 w:rsidRPr="00F65549">
        <w:tab/>
        <w:t>Definition of per capita consumption: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28"/>
        </w:rPr>
        <w:object w:dxaOrig="3360" w:dyaOrig="660">
          <v:shape id="_x0000_i1027" type="#_x0000_t75" style="width:168pt;height:34.5pt" o:ole="">
            <v:imagedata r:id="rId9" o:title=""/>
          </v:shape>
          <o:OLEObject Type="Embed" ProgID="Equation.DSMT4" ShapeID="_x0000_i1027" DrawAspect="Content" ObjectID="_1706448381" r:id="rId10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 w:rsidRPr="00F65549">
        <w:tab/>
        <w:t>Aggregate production function without climate damage and mitigation cost: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0"/>
        </w:rPr>
        <w:object w:dxaOrig="5000" w:dyaOrig="360">
          <v:shape id="_x0000_i1028" type="#_x0000_t75" style="width:252.75pt;height:18.75pt" o:ole="">
            <v:imagedata r:id="rId11" o:title=""/>
          </v:shape>
          <o:OLEObject Type="Embed" ProgID="Equation.DSMT4" ShapeID="_x0000_i1028" DrawAspect="Content" ObjectID="_1706448382" r:id="rId12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 w:rsidRPr="00F65549">
        <w:tab/>
        <w:t>Aggregate production function including climate damage and mitigation costs: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0"/>
        </w:rPr>
        <w:object w:dxaOrig="4020" w:dyaOrig="320">
          <v:shape id="_x0000_i1029" type="#_x0000_t75" style="width:201pt;height:15.75pt" o:ole="">
            <v:imagedata r:id="rId13" o:title=""/>
          </v:shape>
          <o:OLEObject Type="Embed" ProgID="Equation.DSMT4" ShapeID="_x0000_i1029" DrawAspect="Content" ObjectID="_1706448383" r:id="rId14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 w:rsidRPr="00F65549">
        <w:tab/>
        <w:t>Net GDP identity: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0"/>
        </w:rPr>
        <w:object w:dxaOrig="4160" w:dyaOrig="320">
          <v:shape id="_x0000_i1030" type="#_x0000_t75" style="width:207.75pt;height:15.75pt" o:ole="">
            <v:imagedata r:id="rId15" o:title=""/>
          </v:shape>
          <o:OLEObject Type="Embed" ProgID="Equation.DSMT4" ShapeID="_x0000_i1030" DrawAspect="Content" ObjectID="_1706448384" r:id="rId16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 w:rsidRPr="00F65549">
        <w:tab/>
        <w:t>The motion equation of Capital formation: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4"/>
        </w:rPr>
        <w:object w:dxaOrig="7920" w:dyaOrig="380">
          <v:shape id="_x0000_i1031" type="#_x0000_t75" style="width:398.25pt;height:19.5pt" o:ole="">
            <v:imagedata r:id="rId17" o:title=""/>
          </v:shape>
          <o:OLEObject Type="Embed" ProgID="Equation.DSMT4" ShapeID="_x0000_i1031" DrawAspect="Content" ObjectID="_1706448385" r:id="rId18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>
        <w:t xml:space="preserve">3 </w:t>
      </w:r>
      <w:r w:rsidRPr="00F65549">
        <w:t>Carbon emission and economy-climate linkage module:</w:t>
      </w:r>
    </w:p>
    <w:p w:rsidR="00F73A53" w:rsidRPr="00F65549" w:rsidRDefault="00F73A53" w:rsidP="00F73A53">
      <w:pPr>
        <w:spacing w:line="360" w:lineRule="auto"/>
      </w:pPr>
      <w:r w:rsidRPr="00F65549">
        <w:tab/>
        <w:t>Industrial carbon emission equation: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2"/>
        </w:rPr>
        <w:object w:dxaOrig="6580" w:dyaOrig="360">
          <v:shape id="_x0000_i1032" type="#_x0000_t75" style="width:330pt;height:18.75pt" o:ole="">
            <v:imagedata r:id="rId19" o:title=""/>
          </v:shape>
          <o:OLEObject Type="Embed" ProgID="Equation.DSMT4" ShapeID="_x0000_i1032" DrawAspect="Content" ObjectID="_1706448386" r:id="rId20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 w:rsidRPr="00F65549">
        <w:tab/>
        <w:t>Total regional carbon emission:</w:t>
      </w:r>
    </w:p>
    <w:p w:rsidR="00F73A53" w:rsidRPr="00F65549" w:rsidRDefault="00F73A53" w:rsidP="00F73A53">
      <w:pPr>
        <w:spacing w:line="360" w:lineRule="auto"/>
      </w:pPr>
      <w:r w:rsidRPr="00F65549">
        <w:lastRenderedPageBreak/>
        <w:tab/>
      </w:r>
      <w:r w:rsidRPr="00F65549">
        <w:rPr>
          <w:position w:val="-12"/>
        </w:rPr>
        <w:object w:dxaOrig="4520" w:dyaOrig="360">
          <v:shape id="_x0000_i1033" type="#_x0000_t75" style="width:225.75pt;height:18.75pt" o:ole="">
            <v:imagedata r:id="rId21" o:title=""/>
          </v:shape>
          <o:OLEObject Type="Embed" ProgID="Equation.DSMT4" ShapeID="_x0000_i1033" DrawAspect="Content" ObjectID="_1706448387" r:id="rId22"/>
        </w:object>
      </w:r>
      <w:r w:rsidRPr="00F65549">
        <w:t xml:space="preserve">  </w:t>
      </w:r>
    </w:p>
    <w:p w:rsidR="00F73A53" w:rsidRPr="00F65549" w:rsidRDefault="00F73A53" w:rsidP="00F73A53">
      <w:pPr>
        <w:spacing w:line="360" w:lineRule="auto"/>
      </w:pPr>
      <w:r w:rsidRPr="00F65549">
        <w:tab/>
        <w:t>Global carbon stock constraint: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28"/>
        </w:rPr>
        <w:object w:dxaOrig="4020" w:dyaOrig="680">
          <v:shape id="_x0000_i1034" type="#_x0000_t75" style="width:201pt;height:33.75pt" o:ole="">
            <v:imagedata r:id="rId23" o:title=""/>
          </v:shape>
          <o:OLEObject Type="Embed" ProgID="Equation.DSMT4" ShapeID="_x0000_i1034" DrawAspect="Content" ObjectID="_1706448388" r:id="rId24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 w:rsidRPr="00F65549">
        <w:tab/>
        <w:t>Climate to economy adjustment function: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30"/>
        </w:rPr>
        <w:object w:dxaOrig="6060" w:dyaOrig="720">
          <v:shape id="_x0000_i1035" type="#_x0000_t75" style="width:302.25pt;height:38.25pt" o:ole="">
            <v:imagedata r:id="rId25" o:title=""/>
          </v:shape>
          <o:OLEObject Type="Embed" ProgID="Equation.DSMT4" ShapeID="_x0000_i1035" DrawAspect="Content" ObjectID="_1706448389" r:id="rId26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>
        <w:t xml:space="preserve">4 </w:t>
      </w:r>
      <w:r w:rsidRPr="00F65549">
        <w:t>Carbon cycle module: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28"/>
        </w:rPr>
        <w:object w:dxaOrig="6160" w:dyaOrig="680">
          <v:shape id="_x0000_i1036" type="#_x0000_t75" style="width:308.25pt;height:33.75pt" o:ole="">
            <v:imagedata r:id="rId27" o:title=""/>
          </v:shape>
          <o:OLEObject Type="Embed" ProgID="Equation.DSMT4" ShapeID="_x0000_i1036" DrawAspect="Content" ObjectID="_1706448390" r:id="rId28"/>
        </w:object>
      </w:r>
      <w:r w:rsidRPr="00F65549">
        <w:t xml:space="preserve"> 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2"/>
        </w:rPr>
        <w:object w:dxaOrig="6759" w:dyaOrig="340">
          <v:shape id="_x0000_i1037" type="#_x0000_t75" style="width:339.75pt;height:17.25pt" o:ole="">
            <v:imagedata r:id="rId29" o:title=""/>
          </v:shape>
          <o:OLEObject Type="Embed" ProgID="Equation.DSMT4" ShapeID="_x0000_i1037" DrawAspect="Content" ObjectID="_1706448391" r:id="rId30"/>
        </w:objec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2"/>
        </w:rPr>
        <w:object w:dxaOrig="5539" w:dyaOrig="340">
          <v:shape id="_x0000_i1038" type="#_x0000_t75" style="width:281.25pt;height:17.25pt" o:ole="">
            <v:imagedata r:id="rId31" o:title=""/>
          </v:shape>
          <o:OLEObject Type="Embed" ProgID="Equation.DSMT4" ShapeID="_x0000_i1038" DrawAspect="Content" ObjectID="_1706448392" r:id="rId32"/>
        </w:objec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2"/>
        </w:rPr>
        <w:object w:dxaOrig="6540" w:dyaOrig="340">
          <v:shape id="_x0000_i1039" type="#_x0000_t75" style="width:327.75pt;height:17.25pt" o:ole="">
            <v:imagedata r:id="rId33" o:title=""/>
          </v:shape>
          <o:OLEObject Type="Embed" ProgID="Equation.DSMT4" ShapeID="_x0000_i1039" DrawAspect="Content" ObjectID="_1706448393" r:id="rId34"/>
        </w:objec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2"/>
        </w:rPr>
        <w:object w:dxaOrig="7699" w:dyaOrig="340">
          <v:shape id="_x0000_i1040" type="#_x0000_t75" style="width:374.25pt;height:17.25pt" o:ole="">
            <v:imagedata r:id="rId35" o:title=""/>
          </v:shape>
          <o:OLEObject Type="Embed" ProgID="Equation.DSMT4" ShapeID="_x0000_i1040" DrawAspect="Content" ObjectID="_1706448394" r:id="rId36"/>
        </w:objec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2"/>
        </w:rPr>
        <w:object w:dxaOrig="6000" w:dyaOrig="340">
          <v:shape id="_x0000_i1041" type="#_x0000_t75" style="width:297.75pt;height:17.25pt" o:ole="">
            <v:imagedata r:id="rId37" o:title=""/>
          </v:shape>
          <o:OLEObject Type="Embed" ProgID="Equation.DSMT4" ShapeID="_x0000_i1041" DrawAspect="Content" ObjectID="_1706448395" r:id="rId38"/>
        </w:object>
      </w:r>
    </w:p>
    <w:p w:rsidR="00F73A53" w:rsidRPr="00F65549" w:rsidRDefault="00F73A53" w:rsidP="00F73A53">
      <w:pPr>
        <w:spacing w:line="360" w:lineRule="auto"/>
      </w:pPr>
      <w:r>
        <w:t>II</w:t>
      </w:r>
      <w:r w:rsidRPr="00F65549">
        <w:t>.</w:t>
      </w:r>
      <w:r w:rsidRPr="00F65549">
        <w:tab/>
        <w:t>The RICE</w:t>
      </w:r>
      <w:r>
        <w:t>2020</w:t>
      </w:r>
      <w:r w:rsidRPr="00F65549">
        <w:t xml:space="preserve"> model as a non-cooperative Cournot-Nash game (inefficient and unique Cournot-Nash equilibrium):          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28"/>
        </w:rPr>
        <w:object w:dxaOrig="6840" w:dyaOrig="680">
          <v:shape id="_x0000_i1042" type="#_x0000_t75" style="width:342pt;height:33.75pt" o:ole="">
            <v:imagedata r:id="rId39" o:title=""/>
          </v:shape>
          <o:OLEObject Type="Embed" ProgID="Equation.DSMT4" ShapeID="_x0000_i1042" DrawAspect="Content" ObjectID="_1706448396" r:id="rId40"/>
        </w:object>
      </w:r>
    </w:p>
    <w:p w:rsidR="00F73A53" w:rsidRPr="00F65549" w:rsidRDefault="00F73A53" w:rsidP="00F73A53">
      <w:pPr>
        <w:spacing w:line="360" w:lineRule="auto"/>
        <w:ind w:left="720"/>
      </w:pPr>
      <w:r w:rsidRPr="00F65549">
        <w:t>s.t. constraints (</w:t>
      </w:r>
      <w:r>
        <w:t>A-</w:t>
      </w:r>
      <w:r w:rsidRPr="00F65549">
        <w:t>2) to (</w:t>
      </w:r>
      <w:r>
        <w:t>A-</w:t>
      </w:r>
      <w:r w:rsidRPr="00F65549">
        <w:t>17) except for (</w:t>
      </w:r>
      <w:r>
        <w:t>A-</w:t>
      </w:r>
      <w:r w:rsidRPr="00F65549">
        <w:t>12)</w:t>
      </w:r>
      <w:r>
        <w:t xml:space="preserve"> that</w:t>
      </w:r>
      <w:r w:rsidRPr="00F65549">
        <w:t xml:space="preserve"> is revised as:</w:t>
      </w:r>
    </w:p>
    <w:p w:rsidR="00F73A53" w:rsidRDefault="00F73A53" w:rsidP="00F73A53">
      <w:pPr>
        <w:spacing w:line="360" w:lineRule="auto"/>
      </w:pPr>
      <w:r w:rsidRPr="00F65549">
        <w:tab/>
      </w:r>
      <w:r w:rsidRPr="00F65549">
        <w:rPr>
          <w:position w:val="-30"/>
        </w:rPr>
        <w:object w:dxaOrig="7060" w:dyaOrig="700">
          <v:shape id="_x0000_i1043" type="#_x0000_t75" style="width:351.75pt;height:35.25pt" o:ole="">
            <v:imagedata r:id="rId41" o:title=""/>
          </v:shape>
          <o:OLEObject Type="Embed" ProgID="Equation.DSMT4" ShapeID="_x0000_i1043" DrawAspect="Content" ObjectID="_1706448397" r:id="rId42"/>
        </w:object>
      </w:r>
      <w:r w:rsidRPr="00E51D14">
        <w:t xml:space="preserve"> </w:t>
      </w:r>
    </w:p>
    <w:p w:rsidR="00F73A53" w:rsidRDefault="00F73A53" w:rsidP="00F73A53">
      <w:pPr>
        <w:spacing w:line="360" w:lineRule="auto"/>
      </w:pPr>
      <w:r>
        <w:t xml:space="preserve">III. </w:t>
      </w:r>
      <w:r>
        <w:tab/>
        <w:t>The RICE2020 model’s Nash bargaining problem and the determination of the Lindahl social welfare weights:</w:t>
      </w:r>
    </w:p>
    <w:p w:rsidR="00F73A53" w:rsidRDefault="00F73A53" w:rsidP="00F73A53">
      <w:pPr>
        <w:spacing w:line="480" w:lineRule="auto"/>
        <w:ind w:left="720" w:firstLine="720"/>
      </w:pPr>
      <w:r w:rsidRPr="00F65549">
        <w:rPr>
          <w:position w:val="-28"/>
        </w:rPr>
        <w:object w:dxaOrig="4680" w:dyaOrig="680">
          <v:shape id="_x0000_i1044" type="#_x0000_t75" style="width:234pt;height:33.75pt" o:ole="">
            <v:imagedata r:id="rId43" o:title=""/>
          </v:shape>
          <o:OLEObject Type="Embed" ProgID="Equation.DSMT4" ShapeID="_x0000_i1044" DrawAspect="Content" ObjectID="_1706448398" r:id="rId44"/>
        </w:object>
      </w:r>
    </w:p>
    <w:p w:rsidR="00F73A53" w:rsidRDefault="00F73A53" w:rsidP="00F73A53">
      <w:pPr>
        <w:spacing w:line="480" w:lineRule="auto"/>
        <w:ind w:left="720" w:firstLine="720"/>
      </w:pPr>
      <w:r w:rsidRPr="00F65549">
        <w:rPr>
          <w:position w:val="-28"/>
        </w:rPr>
        <w:object w:dxaOrig="4680" w:dyaOrig="680">
          <v:shape id="_x0000_i1045" type="#_x0000_t75" style="width:234pt;height:33.75pt" o:ole="">
            <v:imagedata r:id="rId45" o:title=""/>
          </v:shape>
          <o:OLEObject Type="Embed" ProgID="Equation.DSMT4" ShapeID="_x0000_i1045" DrawAspect="Content" ObjectID="_1706448399" r:id="rId46"/>
        </w:object>
      </w:r>
    </w:p>
    <w:p w:rsidR="00F73A53" w:rsidRDefault="00F73A53" w:rsidP="00F73A53">
      <w:pPr>
        <w:spacing w:line="360" w:lineRule="auto"/>
      </w:pPr>
      <w:r>
        <w:tab/>
        <w:t xml:space="preserve">s.t.  (A-2) to (A-17).  </w:t>
      </w:r>
    </w:p>
    <w:p w:rsidR="00F73A53" w:rsidRDefault="00F73A53" w:rsidP="00F73A53">
      <w:pPr>
        <w:spacing w:line="360" w:lineRule="auto"/>
      </w:pPr>
      <w:r>
        <w:lastRenderedPageBreak/>
        <w:tab/>
      </w:r>
      <w:bookmarkStart w:id="0" w:name="MTBlankEqn"/>
      <w:r w:rsidRPr="007648FF">
        <w:rPr>
          <w:position w:val="-6"/>
        </w:rPr>
        <w:object w:dxaOrig="320" w:dyaOrig="320">
          <v:shape id="_x0000_i1046" type="#_x0000_t75" style="width:15.75pt;height:15.75pt" o:ole="">
            <v:imagedata r:id="rId47" o:title=""/>
          </v:shape>
          <o:OLEObject Type="Embed" ProgID="Equation.DSMT4" ShapeID="_x0000_i1046" DrawAspect="Content" ObjectID="_1706448400" r:id="rId48"/>
        </w:object>
      </w:r>
      <w:bookmarkEnd w:id="0"/>
      <w:r>
        <w:t xml:space="preserve"> is the payoff of problem II. </w:t>
      </w:r>
    </w:p>
    <w:p w:rsidR="00F73A53" w:rsidRDefault="00F73A53" w:rsidP="00F73A53">
      <w:pPr>
        <w:spacing w:line="360" w:lineRule="auto"/>
      </w:pPr>
      <w:r>
        <w:tab/>
        <w:t>Calculation of the Lindahl weights:</w:t>
      </w:r>
    </w:p>
    <w:p w:rsidR="00F73A53" w:rsidRDefault="00F73A53" w:rsidP="00F73A53">
      <w:pPr>
        <w:spacing w:line="360" w:lineRule="auto"/>
        <w:jc w:val="center"/>
      </w:pPr>
      <w:r w:rsidRPr="00065AB9">
        <w:rPr>
          <w:position w:val="-68"/>
        </w:rPr>
        <w:object w:dxaOrig="6900" w:dyaOrig="1480">
          <v:shape id="_x0000_i1047" type="#_x0000_t75" style="width:345pt;height:74.25pt" o:ole="">
            <v:imagedata r:id="rId49" o:title=""/>
          </v:shape>
          <o:OLEObject Type="Embed" ProgID="Equation.DSMT4" ShapeID="_x0000_i1047" DrawAspect="Content" ObjectID="_1706448401" r:id="rId50"/>
        </w:object>
      </w:r>
    </w:p>
    <w:p w:rsidR="00F73A53" w:rsidRDefault="00F73A53" w:rsidP="00F73A53">
      <w:pPr>
        <w:spacing w:line="360" w:lineRule="auto"/>
      </w:pPr>
      <w:r>
        <w:tab/>
        <w:t>W*(n) is the regional payoff of problem III.</w:t>
      </w:r>
    </w:p>
    <w:p w:rsidR="00F73A53" w:rsidRDefault="00F73A53" w:rsidP="00F73A53">
      <w:pPr>
        <w:spacing w:line="360" w:lineRule="auto"/>
      </w:pPr>
    </w:p>
    <w:p w:rsidR="00F73A53" w:rsidRPr="00F65549" w:rsidRDefault="00F73A53" w:rsidP="00F73A53">
      <w:pPr>
        <w:spacing w:line="360" w:lineRule="auto"/>
      </w:pPr>
      <w:r>
        <w:tab/>
      </w:r>
      <w:r w:rsidRPr="00F65549">
        <w:t xml:space="preserve">The Definition of notations and symbols in </w:t>
      </w:r>
      <w:r>
        <w:t>I</w:t>
      </w:r>
      <w:r w:rsidRPr="00F65549">
        <w:t xml:space="preserve"> and </w:t>
      </w:r>
      <w:r>
        <w:t>II</w:t>
      </w:r>
      <w:r w:rsidRPr="00F65549">
        <w:t>:</w:t>
      </w:r>
    </w:p>
    <w:p w:rsidR="00F73A53" w:rsidRPr="00F65549" w:rsidRDefault="00F73A53" w:rsidP="00F73A53">
      <w:pPr>
        <w:spacing w:line="360" w:lineRule="auto"/>
      </w:pPr>
      <w:r w:rsidRPr="00F65549">
        <w:t>Definitions of sets:</w:t>
      </w:r>
    </w:p>
    <w:p w:rsidR="00F73A53" w:rsidRPr="00F65549" w:rsidRDefault="00F73A53" w:rsidP="00F73A53">
      <w:pPr>
        <w:spacing w:line="360" w:lineRule="auto"/>
      </w:pPr>
      <w:r w:rsidRPr="00F65549">
        <w:tab/>
        <w:t xml:space="preserve">n --- regions; </w:t>
      </w:r>
      <w:r w:rsidRPr="00F65549">
        <w:tab/>
        <w:t>t --- time (in discrete steps, 5-year a period).</w:t>
      </w:r>
    </w:p>
    <w:p w:rsidR="00F73A53" w:rsidRPr="00F65549" w:rsidRDefault="00F73A53" w:rsidP="00F73A53">
      <w:pPr>
        <w:spacing w:line="360" w:lineRule="auto"/>
      </w:pPr>
      <w:r w:rsidRPr="00F65549">
        <w:t>Definition of the objective functions:</w:t>
      </w:r>
    </w:p>
    <w:p w:rsidR="00F73A53" w:rsidRPr="00F65549" w:rsidRDefault="00F73A53" w:rsidP="00F73A53">
      <w:pPr>
        <w:spacing w:line="360" w:lineRule="auto"/>
      </w:pPr>
      <w:r w:rsidRPr="00F65549">
        <w:tab/>
        <w:t>W, V</w:t>
      </w:r>
      <w:r w:rsidRPr="00F65549">
        <w:rPr>
          <w:vertAlign w:val="superscript"/>
        </w:rPr>
        <w:t>n</w:t>
      </w:r>
      <w:r>
        <w:t xml:space="preserve">, V </w:t>
      </w:r>
      <w:r w:rsidRPr="00F65549">
        <w:t xml:space="preserve">--- in </w:t>
      </w:r>
      <w:r>
        <w:t xml:space="preserve">I, </w:t>
      </w:r>
      <w:r w:rsidRPr="00F65549">
        <w:t xml:space="preserve"> </w:t>
      </w:r>
      <w:r>
        <w:t>II, III</w:t>
      </w:r>
      <w:r w:rsidRPr="00F65549">
        <w:t xml:space="preserve"> respectively.</w:t>
      </w:r>
    </w:p>
    <w:p w:rsidR="00F73A53" w:rsidRPr="00F65549" w:rsidRDefault="00F73A53" w:rsidP="00F73A53">
      <w:pPr>
        <w:spacing w:line="360" w:lineRule="auto"/>
      </w:pPr>
      <w:r w:rsidRPr="00F65549">
        <w:t>Definitions of control variables and state variables:</w:t>
      </w:r>
    </w:p>
    <w:p w:rsidR="00F73A53" w:rsidRPr="00F65549" w:rsidRDefault="00F73A53" w:rsidP="00F73A53">
      <w:pPr>
        <w:numPr>
          <w:ilvl w:val="0"/>
          <w:numId w:val="1"/>
        </w:numPr>
        <w:spacing w:after="160" w:line="360" w:lineRule="auto"/>
      </w:pPr>
      <w:r w:rsidRPr="00F65549">
        <w:t>Control variables (underneath “Max” in (</w:t>
      </w:r>
      <w:r>
        <w:t>A-</w:t>
      </w:r>
      <w:r w:rsidRPr="00F65549">
        <w:t>1) and (</w:t>
      </w:r>
      <w:r>
        <w:t>A-</w:t>
      </w:r>
      <w:r w:rsidRPr="00F65549">
        <w:t>18)):</w:t>
      </w:r>
    </w:p>
    <w:p w:rsidR="00F73A53" w:rsidRPr="00F65549" w:rsidRDefault="00F73A53" w:rsidP="00F73A53">
      <w:pPr>
        <w:spacing w:line="360" w:lineRule="auto"/>
      </w:pPr>
      <w:r w:rsidRPr="00F65549">
        <w:tab/>
        <w:t>I(n,t) --- investment of regions; (trillions of 2015 U.S. dollars)</w:t>
      </w:r>
    </w:p>
    <w:p w:rsidR="00F73A53" w:rsidRDefault="00F73A53" w:rsidP="00F73A53">
      <w:pPr>
        <w:spacing w:line="360" w:lineRule="auto"/>
      </w:pPr>
      <w:r w:rsidRPr="00F65549">
        <w:tab/>
        <w:t>μ(n,t) --- carbon control rates of regions. (in percentage, maybe greater than 1 if carbon sequestration technology is allowed</w:t>
      </w:r>
      <w:r>
        <w:t>)</w:t>
      </w:r>
    </w:p>
    <w:p w:rsidR="00F73A53" w:rsidRPr="00F65549" w:rsidRDefault="00F73A53" w:rsidP="00F73A53">
      <w:pPr>
        <w:spacing w:line="360" w:lineRule="auto"/>
      </w:pPr>
      <w:r w:rsidRPr="00F65549">
        <w:t>State variables:</w:t>
      </w:r>
    </w:p>
    <w:p w:rsidR="00F73A53" w:rsidRPr="00F65549" w:rsidRDefault="00F73A53" w:rsidP="00F73A53">
      <w:pPr>
        <w:spacing w:line="360" w:lineRule="auto"/>
      </w:pPr>
      <w:r w:rsidRPr="00F65549">
        <w:tab/>
        <w:t>U(c(n,t)) --- instantaneous payoff functions of regions; (in scalable and nontransferable “utils”)</w:t>
      </w:r>
    </w:p>
    <w:p w:rsidR="00F73A53" w:rsidRPr="00F65549" w:rsidRDefault="00F73A53" w:rsidP="00F73A53">
      <w:pPr>
        <w:spacing w:line="360" w:lineRule="auto"/>
      </w:pPr>
      <w:r w:rsidRPr="00F65549">
        <w:tab/>
        <w:t>C(n,t) --- consumptions  of goods and services of regions; (trillions of 2015 U.S. dollars)</w:t>
      </w:r>
    </w:p>
    <w:p w:rsidR="00F73A53" w:rsidRPr="00F65549" w:rsidRDefault="00F73A53" w:rsidP="00F73A53">
      <w:pPr>
        <w:spacing w:line="360" w:lineRule="auto"/>
      </w:pPr>
      <w:r w:rsidRPr="00F65549">
        <w:tab/>
        <w:t>c(n,t) ---  per capita consumptions; (thousands of U.S. dollars per person)</w:t>
      </w:r>
    </w:p>
    <w:p w:rsidR="00F73A53" w:rsidRPr="00F65549" w:rsidRDefault="00F73A53" w:rsidP="00F73A53">
      <w:pPr>
        <w:spacing w:line="360" w:lineRule="auto"/>
      </w:pPr>
      <w:r w:rsidRPr="00F65549">
        <w:tab/>
        <w:t>K(n,t) --- capital stocks of regions; (trillions of 2015 U.S. dollars)</w:t>
      </w:r>
    </w:p>
    <w:p w:rsidR="00F73A53" w:rsidRPr="00F65549" w:rsidRDefault="00F73A53" w:rsidP="00F73A53">
      <w:pPr>
        <w:spacing w:line="360" w:lineRule="auto"/>
      </w:pPr>
      <w:r w:rsidRPr="00F65549">
        <w:tab/>
        <w:t>Q(n,t) --- output of goods and services of regions, gross of abatement and damages; (trillions of 2015 U.S. dollars)</w:t>
      </w:r>
    </w:p>
    <w:p w:rsidR="00F73A53" w:rsidRPr="00F65549" w:rsidRDefault="00F73A53" w:rsidP="00F73A53">
      <w:pPr>
        <w:spacing w:line="360" w:lineRule="auto"/>
      </w:pPr>
      <w:r w:rsidRPr="00F65549">
        <w:tab/>
        <w:t>Y(n,t) ---  output of goods and services of regions, net of abatement and</w:t>
      </w:r>
      <w:r>
        <w:t xml:space="preserve"> </w:t>
      </w:r>
      <w:r w:rsidRPr="00F65549">
        <w:t>damages; (trillions of 2015 U.S. dollars)</w:t>
      </w:r>
    </w:p>
    <w:p w:rsidR="00F73A53" w:rsidRPr="00F65549" w:rsidRDefault="00F73A53" w:rsidP="00F73A53">
      <w:pPr>
        <w:spacing w:line="360" w:lineRule="auto"/>
      </w:pPr>
      <w:r w:rsidRPr="00F65549">
        <w:tab/>
        <w:t>E</w:t>
      </w:r>
      <w:r w:rsidRPr="00F65549">
        <w:rPr>
          <w:vertAlign w:val="subscript"/>
        </w:rPr>
        <w:t>Ind</w:t>
      </w:r>
      <w:r w:rsidRPr="00F65549">
        <w:t>(n,t) --- industrial carbon emissions by regions; ( billions of metric tons C per period)</w:t>
      </w:r>
    </w:p>
    <w:p w:rsidR="00F73A53" w:rsidRPr="00F65549" w:rsidRDefault="00F73A53" w:rsidP="00F73A53">
      <w:pPr>
        <w:spacing w:line="360" w:lineRule="auto"/>
      </w:pPr>
      <w:r w:rsidRPr="00F65549">
        <w:tab/>
        <w:t>E(n,t) --- total carbon emissions by regions; (billions of metric tons C per period)</w:t>
      </w:r>
    </w:p>
    <w:p w:rsidR="00F73A53" w:rsidRPr="00F65549" w:rsidRDefault="00F73A53" w:rsidP="00F73A53">
      <w:pPr>
        <w:spacing w:line="360" w:lineRule="auto"/>
      </w:pPr>
      <w:r w:rsidRPr="00F65549">
        <w:tab/>
      </w:r>
    </w:p>
    <w:p w:rsidR="00F73A53" w:rsidRPr="00F65549" w:rsidRDefault="00F73A53" w:rsidP="00F73A53">
      <w:pPr>
        <w:spacing w:line="360" w:lineRule="auto"/>
      </w:pPr>
      <w:r w:rsidRPr="00F65549">
        <w:lastRenderedPageBreak/>
        <w:tab/>
        <w:t>Ω(n,t) --- gross-net output converting factor</w:t>
      </w:r>
    </w:p>
    <w:p w:rsidR="00F73A53" w:rsidRPr="00F65549" w:rsidRDefault="00F73A53" w:rsidP="00F73A53">
      <w:pPr>
        <w:spacing w:line="360" w:lineRule="auto"/>
      </w:pPr>
      <w:r w:rsidRPr="00F65549">
        <w:tab/>
        <w:t>M</w:t>
      </w:r>
      <w:r w:rsidRPr="00F65549">
        <w:rPr>
          <w:vertAlign w:val="subscript"/>
        </w:rPr>
        <w:t>AT</w:t>
      </w:r>
      <w:r w:rsidRPr="00F65549">
        <w:t>(t), M</w:t>
      </w:r>
      <w:r w:rsidRPr="00F65549">
        <w:rPr>
          <w:vertAlign w:val="subscript"/>
        </w:rPr>
        <w:t>UP</w:t>
      </w:r>
      <w:r w:rsidRPr="00F65549">
        <w:t>(t), M</w:t>
      </w:r>
      <w:r w:rsidRPr="00F65549">
        <w:rPr>
          <w:vertAlign w:val="subscript"/>
        </w:rPr>
        <w:t>LO</w:t>
      </w:r>
      <w:r w:rsidRPr="00F65549">
        <w:t xml:space="preserve">(t) --- carbon concentration in atmosphere, upper oceans and deep oceans respectively; (billions of metric tons C at the beginning of each period) </w:t>
      </w:r>
    </w:p>
    <w:p w:rsidR="00F73A53" w:rsidRPr="00F65549" w:rsidRDefault="00F73A53" w:rsidP="00F73A53">
      <w:pPr>
        <w:spacing w:line="360" w:lineRule="auto"/>
      </w:pPr>
      <w:r w:rsidRPr="00F65549">
        <w:tab/>
        <w:t>T</w:t>
      </w:r>
      <w:r w:rsidRPr="00F65549">
        <w:rPr>
          <w:vertAlign w:val="subscript"/>
        </w:rPr>
        <w:t>AT</w:t>
      </w:r>
      <w:r w:rsidRPr="00F65549">
        <w:t>(t), T</w:t>
      </w:r>
      <w:r w:rsidRPr="00F65549">
        <w:rPr>
          <w:vertAlign w:val="subscript"/>
        </w:rPr>
        <w:t>LO</w:t>
      </w:r>
      <w:r w:rsidRPr="00F65549">
        <w:t>(t) --- global mean surface temperature and temperature of upper oceans (°C from 1900)</w:t>
      </w:r>
    </w:p>
    <w:p w:rsidR="00F73A53" w:rsidRPr="00F65549" w:rsidRDefault="00F73A53" w:rsidP="00F73A53">
      <w:pPr>
        <w:spacing w:line="360" w:lineRule="auto"/>
      </w:pPr>
      <w:r w:rsidRPr="00F65549">
        <w:tab/>
        <w:t>F(t) --- total radiative forcing; (watts per m</w:t>
      </w:r>
      <w:r w:rsidRPr="00F65549">
        <w:rPr>
          <w:vertAlign w:val="superscript"/>
        </w:rPr>
        <w:t>2</w:t>
      </w:r>
      <w:r w:rsidRPr="00F65549">
        <w:t xml:space="preserve"> from 1900)</w:t>
      </w:r>
    </w:p>
    <w:p w:rsidR="00F73A53" w:rsidRPr="00F65549" w:rsidRDefault="00F73A53" w:rsidP="00F73A53">
      <w:pPr>
        <w:spacing w:line="360" w:lineRule="auto"/>
      </w:pPr>
      <w:r w:rsidRPr="00F65549">
        <w:t>Definitions of exogenous trends:</w:t>
      </w:r>
    </w:p>
    <w:p w:rsidR="00F73A53" w:rsidRPr="00F65549" w:rsidRDefault="00F73A53" w:rsidP="00F73A53">
      <w:pPr>
        <w:spacing w:line="360" w:lineRule="auto"/>
      </w:pPr>
      <w:r w:rsidRPr="00F65549">
        <w:tab/>
        <w:t>A(n,t) --- total factor productivity of regions; (productivity units)</w:t>
      </w:r>
    </w:p>
    <w:p w:rsidR="00F73A53" w:rsidRPr="00F65549" w:rsidRDefault="00F73A53" w:rsidP="00F73A53">
      <w:pPr>
        <w:spacing w:line="360" w:lineRule="auto"/>
      </w:pPr>
      <w:r w:rsidRPr="00F65549">
        <w:tab/>
        <w:t>L(n,t)</w:t>
      </w:r>
      <w:r w:rsidRPr="00F65549">
        <w:rPr>
          <w:i/>
        </w:rPr>
        <w:t xml:space="preserve"> </w:t>
      </w:r>
      <w:r w:rsidRPr="00F65549">
        <w:t>--- population and proportional to labor inputs of regions; (billions)</w:t>
      </w:r>
    </w:p>
    <w:p w:rsidR="00F73A53" w:rsidRPr="00F65549" w:rsidRDefault="00F73A53" w:rsidP="00F73A53">
      <w:pPr>
        <w:spacing w:line="360" w:lineRule="auto"/>
      </w:pPr>
      <w:r w:rsidRPr="00F65549">
        <w:tab/>
        <w:t>E</w:t>
      </w:r>
      <w:r w:rsidRPr="00F65549">
        <w:rPr>
          <w:vertAlign w:val="subscript"/>
        </w:rPr>
        <w:t>Land</w:t>
      </w:r>
      <w:r w:rsidRPr="00F65549">
        <w:t>(n,t) --- carbon emissions from land use; (billions of metric tons C per period)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0"/>
        </w:rPr>
        <w:object w:dxaOrig="499" w:dyaOrig="320">
          <v:shape id="_x0000_i1048" type="#_x0000_t75" style="width:25.5pt;height:15pt" o:ole="">
            <v:imagedata r:id="rId51" o:title=""/>
          </v:shape>
          <o:OLEObject Type="Embed" ProgID="Equation.DSMT4" ShapeID="_x0000_i1048" DrawAspect="Content" ObjectID="_1706448402" r:id="rId52"/>
        </w:object>
      </w:r>
      <w:r w:rsidRPr="00F65549">
        <w:t xml:space="preserve"> --- ratio of uncontrolled industrial emissions to output; (a proxy for AEEI)</w:t>
      </w:r>
    </w:p>
    <w:p w:rsidR="00F73A53" w:rsidRPr="00F65549" w:rsidRDefault="00F73A53" w:rsidP="00F73A53">
      <w:pPr>
        <w:spacing w:line="360" w:lineRule="auto"/>
      </w:pPr>
      <w:r w:rsidRPr="00F65549">
        <w:tab/>
        <w:t>F</w:t>
      </w:r>
      <w:r w:rsidRPr="00F65549">
        <w:rPr>
          <w:vertAlign w:val="subscript"/>
        </w:rPr>
        <w:t>EX</w:t>
      </w:r>
      <w:r w:rsidRPr="00F65549">
        <w:t>(t) --- exogenous radiative forcing; (watts per m</w:t>
      </w:r>
      <w:r w:rsidRPr="00F65549">
        <w:rPr>
          <w:vertAlign w:val="superscript"/>
        </w:rPr>
        <w:t>2</w:t>
      </w:r>
      <w:r w:rsidRPr="00F65549">
        <w:t xml:space="preserve"> from 1900)</w:t>
      </w:r>
    </w:p>
    <w:p w:rsidR="00F73A53" w:rsidRPr="00F65549" w:rsidRDefault="00F73A53" w:rsidP="00F73A53">
      <w:pPr>
        <w:spacing w:line="360" w:lineRule="auto"/>
      </w:pPr>
      <w:r w:rsidRPr="00F65549">
        <w:t>Definitions of parameters:</w:t>
      </w:r>
    </w:p>
    <w:p w:rsidR="00F73A53" w:rsidRPr="00F65549" w:rsidRDefault="00F73A53" w:rsidP="00F73A53">
      <w:pPr>
        <w:spacing w:line="360" w:lineRule="auto"/>
      </w:pPr>
      <w:r w:rsidRPr="00F65549">
        <w:tab/>
        <w:t>φ</w:t>
      </w:r>
      <w:r w:rsidRPr="00F65549">
        <w:rPr>
          <w:vertAlign w:val="subscript"/>
        </w:rPr>
        <w:t>n</w:t>
      </w:r>
      <w:r w:rsidRPr="00F65549">
        <w:t xml:space="preserve"> --- social welfare weights;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6"/>
        </w:rPr>
        <w:object w:dxaOrig="240" w:dyaOrig="220">
          <v:shape id="_x0000_i1049" type="#_x0000_t75" style="width:12.75pt;height:9.75pt" o:ole="">
            <v:imagedata r:id="rId53" o:title=""/>
          </v:shape>
          <o:OLEObject Type="Embed" ProgID="Equation.DSMT4" ShapeID="_x0000_i1049" DrawAspect="Content" ObjectID="_1706448403" r:id="rId54"/>
        </w:object>
      </w:r>
      <w:r w:rsidRPr="00F65549">
        <w:t>--- elasticity of marginal utility of consumption; (pure number)</w:t>
      </w:r>
    </w:p>
    <w:p w:rsidR="00F73A53" w:rsidRPr="00F65549" w:rsidRDefault="00F73A53" w:rsidP="00F73A53">
      <w:pPr>
        <w:spacing w:line="360" w:lineRule="auto"/>
      </w:pPr>
      <w:r w:rsidRPr="00F65549">
        <w:tab/>
        <w:t>ρ --- pure rate of social time preference (per year)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6"/>
        </w:rPr>
        <w:object w:dxaOrig="700" w:dyaOrig="279">
          <v:shape id="_x0000_i1050" type="#_x0000_t75" style="width:35.25pt;height:12.75pt" o:ole="">
            <v:imagedata r:id="rId55" o:title=""/>
          </v:shape>
          <o:OLEObject Type="Embed" ProgID="Equation.DSMT4" ShapeID="_x0000_i1050" DrawAspect="Content" ObjectID="_1706448404" r:id="rId56"/>
        </w:object>
      </w:r>
      <w:r w:rsidRPr="00F65549">
        <w:t xml:space="preserve"> --- maximum consumption of fossil fuels (billions metric tons carbon)</w:t>
      </w:r>
    </w:p>
    <w:p w:rsidR="00F73A53" w:rsidRPr="00F65549" w:rsidRDefault="00F73A53" w:rsidP="00F73A53">
      <w:pPr>
        <w:spacing w:line="360" w:lineRule="auto"/>
      </w:pPr>
      <w:r w:rsidRPr="00F65549">
        <w:tab/>
      </w:r>
      <w:r w:rsidRPr="00F65549">
        <w:rPr>
          <w:position w:val="-10"/>
        </w:rPr>
        <w:object w:dxaOrig="200" w:dyaOrig="260">
          <v:shape id="_x0000_i1051" type="#_x0000_t75" style="width:9pt;height:12pt" o:ole="">
            <v:imagedata r:id="rId57" o:title=""/>
          </v:shape>
          <o:OLEObject Type="Embed" ProgID="Equation.DSMT4" ShapeID="_x0000_i1051" DrawAspect="Content" ObjectID="_1706448405" r:id="rId58"/>
        </w:object>
      </w:r>
      <w:r w:rsidRPr="00F65549">
        <w:t xml:space="preserve"> --- elasticity of output with respect to capita (pure number)</w:t>
      </w:r>
    </w:p>
    <w:p w:rsidR="00F73A53" w:rsidRPr="00F65549" w:rsidRDefault="00F73A53" w:rsidP="00F73A53">
      <w:pPr>
        <w:spacing w:line="360" w:lineRule="auto"/>
      </w:pPr>
      <w:r w:rsidRPr="00F65549">
        <w:tab/>
        <w:t>δ</w:t>
      </w:r>
      <w:r w:rsidRPr="00F65549">
        <w:rPr>
          <w:vertAlign w:val="subscript"/>
        </w:rPr>
        <w:t>K</w:t>
      </w:r>
      <w:r w:rsidRPr="00F65549">
        <w:t xml:space="preserve"> --- rate of depreciation of capital (per period)</w:t>
      </w:r>
    </w:p>
    <w:p w:rsidR="00F73A53" w:rsidRPr="00F65549" w:rsidRDefault="00F73A53" w:rsidP="00F73A53">
      <w:pPr>
        <w:tabs>
          <w:tab w:val="left" w:pos="505"/>
          <w:tab w:val="left" w:pos="808"/>
        </w:tabs>
        <w:ind w:left="505"/>
      </w:pPr>
      <w:r w:rsidRPr="00F65549">
        <w:tab/>
      </w:r>
      <w:r w:rsidRPr="00F65549">
        <w:rPr>
          <w:position w:val="-10"/>
        </w:rPr>
        <w:object w:dxaOrig="200" w:dyaOrig="260">
          <v:shape id="_x0000_i1052" type="#_x0000_t75" style="width:9pt;height:12pt" o:ole="">
            <v:imagedata r:id="rId59" o:title=""/>
          </v:shape>
          <o:OLEObject Type="Embed" ProgID="Equation.DSMT4" ShapeID="_x0000_i1052" DrawAspect="Content" ObjectID="_1706448406" r:id="rId60"/>
        </w:object>
      </w:r>
      <w:r w:rsidRPr="00F65549">
        <w:t xml:space="preserve"> --- temperature-forcing parameter (°C per watts per meter squared)</w:t>
      </w:r>
    </w:p>
    <w:p w:rsidR="00F73A53" w:rsidRPr="00F65549" w:rsidRDefault="00F73A53" w:rsidP="00F73A53">
      <w:pPr>
        <w:tabs>
          <w:tab w:val="left" w:pos="505"/>
          <w:tab w:val="left" w:pos="808"/>
        </w:tabs>
        <w:ind w:left="505"/>
      </w:pPr>
      <w:r w:rsidRPr="00F65549">
        <w:tab/>
        <w:t xml:space="preserve"> </w:t>
      </w:r>
      <w:r w:rsidRPr="00F65549">
        <w:rPr>
          <w:position w:val="-12"/>
        </w:rPr>
        <w:object w:dxaOrig="2540" w:dyaOrig="340">
          <v:shape id="_x0000_i1053" type="#_x0000_t75" style="width:128.25pt;height:17.25pt" o:ole="">
            <v:imagedata r:id="rId61" o:title=""/>
          </v:shape>
          <o:OLEObject Type="Embed" ProgID="Equation.DSMT4" ShapeID="_x0000_i1053" DrawAspect="Content" ObjectID="_1706448407" r:id="rId62"/>
        </w:object>
      </w:r>
      <w:r w:rsidRPr="00F65549">
        <w:t xml:space="preserve"> --- parameters of the carbon cycle (flows per period)</w:t>
      </w:r>
    </w:p>
    <w:p w:rsidR="00F73A53" w:rsidRPr="00F65549" w:rsidRDefault="00F73A53" w:rsidP="00F73A53">
      <w:pPr>
        <w:tabs>
          <w:tab w:val="left" w:pos="505"/>
          <w:tab w:val="left" w:pos="808"/>
        </w:tabs>
        <w:ind w:left="505"/>
      </w:pPr>
      <w:r w:rsidRPr="00F65549">
        <w:tab/>
        <w:t xml:space="preserve"> </w:t>
      </w:r>
      <w:r w:rsidRPr="00F65549">
        <w:rPr>
          <w:position w:val="-12"/>
        </w:rPr>
        <w:object w:dxaOrig="1180" w:dyaOrig="340">
          <v:shape id="_x0000_i1054" type="#_x0000_t75" style="width:60pt;height:17.25pt" o:ole="">
            <v:imagedata r:id="rId63" o:title=""/>
          </v:shape>
          <o:OLEObject Type="Embed" ProgID="Equation.DSMT4" ShapeID="_x0000_i1054" DrawAspect="Content" ObjectID="_1706448408" r:id="rId64"/>
        </w:object>
      </w:r>
      <w:r w:rsidRPr="00F65549">
        <w:t xml:space="preserve"> --- parameters of climate equations (flows per period)</w:t>
      </w:r>
    </w:p>
    <w:p w:rsidR="00F73A53" w:rsidRPr="00EA5017" w:rsidRDefault="00F73A53" w:rsidP="00F73A53">
      <w:pPr>
        <w:tabs>
          <w:tab w:val="left" w:pos="505"/>
          <w:tab w:val="left" w:pos="808"/>
        </w:tabs>
        <w:ind w:left="505"/>
      </w:pPr>
      <w:r w:rsidRPr="00F65549">
        <w:t xml:space="preserve"> </w:t>
      </w:r>
      <w:r w:rsidRPr="00F65549">
        <w:tab/>
      </w:r>
      <w:r w:rsidRPr="00F65549">
        <w:rPr>
          <w:position w:val="-10"/>
        </w:rPr>
        <w:object w:dxaOrig="660" w:dyaOrig="320">
          <v:shape id="_x0000_i1055" type="#_x0000_t75" style="width:34.5pt;height:15pt" o:ole="">
            <v:imagedata r:id="rId65" o:title=""/>
          </v:shape>
          <o:OLEObject Type="Embed" ProgID="Equation.DSMT4" ShapeID="_x0000_i1055" DrawAspect="Content" ObjectID="_1706448409" r:id="rId66"/>
        </w:object>
      </w:r>
      <w:r w:rsidRPr="00F65549">
        <w:t xml:space="preserve"> = parameters of damage function </w:t>
      </w:r>
    </w:p>
    <w:p w:rsidR="00000F57" w:rsidRDefault="00F73A53">
      <w:bookmarkStart w:id="1" w:name="_GoBack"/>
      <w:bookmarkEnd w:id="1"/>
    </w:p>
    <w:sectPr w:rsidR="00000F57" w:rsidSect="00EA5017">
      <w:footerReference w:type="default" r:id="rId6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75311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4BED" w:rsidRDefault="00F73A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34BED" w:rsidRDefault="00F73A5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41A04"/>
    <w:multiLevelType w:val="hybridMultilevel"/>
    <w:tmpl w:val="B9822C14"/>
    <w:lvl w:ilvl="0" w:tplc="53F4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53"/>
    <w:rsid w:val="0007695B"/>
    <w:rsid w:val="005615C6"/>
    <w:rsid w:val="005E078B"/>
    <w:rsid w:val="007D4061"/>
    <w:rsid w:val="008B4EED"/>
    <w:rsid w:val="00B03778"/>
    <w:rsid w:val="00CD1A17"/>
    <w:rsid w:val="00EE3FE5"/>
    <w:rsid w:val="00EF5283"/>
    <w:rsid w:val="00F7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C309AA-15F9-4119-9CFC-1282C321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3A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A53"/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Normal"/>
    <w:next w:val="Normal"/>
    <w:link w:val="MTDisplayEquationChar"/>
    <w:rsid w:val="00F73A53"/>
    <w:pPr>
      <w:tabs>
        <w:tab w:val="center" w:pos="4680"/>
        <w:tab w:val="right" w:pos="9360"/>
      </w:tabs>
      <w:spacing w:after="160" w:line="480" w:lineRule="auto"/>
      <w:ind w:firstLine="720"/>
    </w:pPr>
  </w:style>
  <w:style w:type="character" w:customStyle="1" w:styleId="MTDisplayEquationChar">
    <w:name w:val="MTDisplayEquation Char"/>
    <w:basedOn w:val="DefaultParagraphFont"/>
    <w:link w:val="MTDisplayEquation"/>
    <w:rsid w:val="00F73A53"/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F73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footer" Target="footer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2022-02-15T11:09:00Z</dcterms:created>
  <dcterms:modified xsi:type="dcterms:W3CDTF">2022-02-15T11:09:00Z</dcterms:modified>
</cp:coreProperties>
</file>