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0A075" w14:textId="77777777" w:rsidR="004E1202" w:rsidRDefault="004E1202" w:rsidP="004E1202">
      <w:pPr>
        <w:spacing w:line="48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Title: </w:t>
      </w:r>
      <w:r w:rsidRPr="00FE69C6">
        <w:rPr>
          <w:rFonts w:asciiTheme="majorBidi" w:hAnsiTheme="majorBidi" w:cstheme="majorBidi"/>
          <w:sz w:val="24"/>
          <w:szCs w:val="24"/>
        </w:rPr>
        <w:t>Therapeutic effects of mesenchymal stem cells-conditioned medium derived from suspension cultivation or Silymarin on liver failure mice</w:t>
      </w:r>
    </w:p>
    <w:p w14:paraId="4538B0A6" w14:textId="77777777" w:rsidR="004E1202" w:rsidRDefault="004E1202" w:rsidP="004E1202">
      <w:pPr>
        <w:spacing w:line="48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Journal title: </w:t>
      </w:r>
      <w:r w:rsidRPr="00FE69C6">
        <w:rPr>
          <w:rFonts w:asciiTheme="majorBidi" w:hAnsiTheme="majorBidi" w:cstheme="majorBidi"/>
          <w:sz w:val="24"/>
          <w:szCs w:val="24"/>
        </w:rPr>
        <w:t>Molecular biology report</w:t>
      </w:r>
    </w:p>
    <w:p w14:paraId="2ADDABCB" w14:textId="77777777" w:rsidR="004E1202" w:rsidRPr="00182F70" w:rsidRDefault="004E1202" w:rsidP="004E1202">
      <w:pPr>
        <w:spacing w:line="480" w:lineRule="auto"/>
        <w:contextualSpacing/>
        <w:rPr>
          <w:rFonts w:asciiTheme="majorBidi" w:eastAsiaTheme="minorHAnsi" w:hAnsiTheme="majorBidi" w:cstheme="majorBidi"/>
          <w:sz w:val="24"/>
          <w:szCs w:val="24"/>
        </w:rPr>
      </w:pPr>
      <w:r w:rsidRPr="004154BE">
        <w:rPr>
          <w:rFonts w:asciiTheme="majorBidi" w:hAnsiTheme="majorBidi" w:cstheme="majorBidi"/>
          <w:sz w:val="24"/>
          <w:szCs w:val="24"/>
        </w:rPr>
        <w:t>Sedigheh Molaei</w:t>
      </w:r>
      <w:r w:rsidRPr="004154BE">
        <w:rPr>
          <w:rFonts w:asciiTheme="majorBidi" w:hAnsiTheme="majorBidi" w:cstheme="majorBidi"/>
          <w:sz w:val="24"/>
          <w:szCs w:val="24"/>
          <w:vertAlign w:val="superscript"/>
        </w:rPr>
        <w:t xml:space="preserve"> a</w:t>
      </w:r>
      <w:r w:rsidRPr="004154BE">
        <w:rPr>
          <w:rFonts w:asciiTheme="majorBidi" w:hAnsiTheme="majorBidi" w:cstheme="majorBidi"/>
          <w:sz w:val="24"/>
          <w:szCs w:val="24"/>
        </w:rPr>
        <w:t xml:space="preserve">, Fatemeh Amiri </w:t>
      </w:r>
      <w:r w:rsidRPr="004154BE">
        <w:rPr>
          <w:rFonts w:asciiTheme="majorBidi" w:hAnsiTheme="majorBidi" w:cstheme="majorBidi"/>
          <w:sz w:val="24"/>
          <w:szCs w:val="24"/>
          <w:vertAlign w:val="superscript"/>
        </w:rPr>
        <w:t>b*</w:t>
      </w:r>
      <w:r w:rsidRPr="004154BE">
        <w:rPr>
          <w:rFonts w:asciiTheme="majorBidi" w:hAnsiTheme="majorBidi" w:cstheme="majorBidi"/>
          <w:sz w:val="24"/>
          <w:szCs w:val="24"/>
        </w:rPr>
        <w:t xml:space="preserve">, Rasoul Salimi </w:t>
      </w:r>
      <w:r w:rsidRPr="004154BE">
        <w:rPr>
          <w:rFonts w:asciiTheme="majorBidi" w:hAnsiTheme="majorBidi" w:cstheme="majorBidi"/>
          <w:sz w:val="24"/>
          <w:szCs w:val="24"/>
          <w:vertAlign w:val="superscript"/>
        </w:rPr>
        <w:t>c</w:t>
      </w:r>
      <w:r w:rsidRPr="004154BE">
        <w:rPr>
          <w:rFonts w:asciiTheme="majorBidi" w:hAnsiTheme="majorBidi" w:cstheme="majorBidi"/>
          <w:sz w:val="24"/>
          <w:szCs w:val="24"/>
        </w:rPr>
        <w:t xml:space="preserve">, </w:t>
      </w:r>
      <w:r w:rsidRPr="004154BE">
        <w:rPr>
          <w:rFonts w:asciiTheme="majorBidi" w:eastAsiaTheme="minorHAnsi" w:hAnsiTheme="majorBidi" w:cstheme="majorBidi"/>
          <w:sz w:val="24"/>
          <w:szCs w:val="24"/>
        </w:rPr>
        <w:t xml:space="preserve">Shirin Ferdowsi </w:t>
      </w:r>
      <w:r w:rsidRPr="004154BE">
        <w:rPr>
          <w:rFonts w:asciiTheme="majorBidi" w:eastAsiaTheme="minorHAnsi" w:hAnsiTheme="majorBidi" w:cstheme="majorBidi"/>
          <w:sz w:val="24"/>
          <w:szCs w:val="24"/>
          <w:vertAlign w:val="superscript"/>
        </w:rPr>
        <w:t>d</w:t>
      </w:r>
      <w:r w:rsidRPr="004154BE">
        <w:rPr>
          <w:rFonts w:asciiTheme="majorBidi" w:eastAsiaTheme="minorHAnsi" w:hAnsiTheme="majorBidi" w:cstheme="majorBidi"/>
          <w:sz w:val="24"/>
          <w:szCs w:val="24"/>
        </w:rPr>
        <w:t xml:space="preserve">, Marzie Bahadori </w:t>
      </w:r>
      <w:r w:rsidRPr="004154BE">
        <w:rPr>
          <w:rFonts w:asciiTheme="majorBidi" w:eastAsiaTheme="minorHAnsi" w:hAnsiTheme="majorBidi" w:cstheme="majorBidi"/>
          <w:sz w:val="24"/>
          <w:szCs w:val="24"/>
          <w:vertAlign w:val="superscript"/>
        </w:rPr>
        <w:t>d</w:t>
      </w:r>
      <w:r w:rsidRPr="004154BE">
        <w:rPr>
          <w:rFonts w:asciiTheme="majorBidi" w:eastAsiaTheme="minorHAnsi" w:hAnsiTheme="majorBidi" w:cstheme="majorBidi"/>
          <w:sz w:val="24"/>
          <w:szCs w:val="24"/>
        </w:rPr>
        <w:t>.</w:t>
      </w:r>
    </w:p>
    <w:p w14:paraId="49248E85" w14:textId="77777777" w:rsidR="004E1202" w:rsidRPr="00182F70" w:rsidRDefault="004E1202" w:rsidP="004E1202">
      <w:pPr>
        <w:spacing w:line="48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C5666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*Corresponding author </w:t>
      </w:r>
      <w:r w:rsidRPr="00C5666C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E-mail</w:t>
      </w:r>
      <w:r w:rsidRPr="00C5666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address; </w:t>
      </w:r>
      <w:bookmarkStart w:id="0" w:name="_Hlk83370214"/>
      <w:r w:rsidRPr="00B451E2">
        <w:fldChar w:fldCharType="begin"/>
      </w:r>
      <w:r w:rsidRPr="00B451E2">
        <w:rPr>
          <w:rFonts w:asciiTheme="majorBidi" w:hAnsiTheme="majorBidi" w:cstheme="majorBidi"/>
          <w:sz w:val="24"/>
          <w:szCs w:val="24"/>
        </w:rPr>
        <w:instrText xml:space="preserve"> HYPERLINK "mailto:amirif2012@gmail.com" </w:instrText>
      </w:r>
      <w:r w:rsidRPr="00B451E2">
        <w:fldChar w:fldCharType="separate"/>
      </w:r>
      <w:r w:rsidRPr="00B451E2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  <w:u w:val="none"/>
          <w:lang w:eastAsia="x-none"/>
        </w:rPr>
        <w:t>amirif2012@gmail.com</w:t>
      </w:r>
      <w:r w:rsidRPr="00B451E2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  <w:u w:val="none"/>
          <w:lang w:eastAsia="x-none"/>
        </w:rPr>
        <w:fldChar w:fldCharType="end"/>
      </w:r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, </w:t>
      </w:r>
      <w:r w:rsidRPr="004154BE">
        <w:rPr>
          <w:rFonts w:asciiTheme="majorBidi" w:eastAsiaTheme="minorHAnsi" w:hAnsiTheme="majorBidi" w:cstheme="majorBidi"/>
          <w:sz w:val="24"/>
          <w:szCs w:val="24"/>
        </w:rPr>
        <w:t>Department of Medical Laboratory Sciences, School of Para Medicine, Hamadan University of Medical Sciences, Hamadan, Iran.</w:t>
      </w:r>
    </w:p>
    <w:p w14:paraId="3A7D89B1" w14:textId="77777777" w:rsidR="00DB317B" w:rsidRPr="00AC01C6" w:rsidRDefault="00DB317B" w:rsidP="00DB317B">
      <w:pPr>
        <w:pStyle w:val="EndNoteBibliography"/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D183013" w14:textId="25F70C3A" w:rsidR="00DB317B" w:rsidRPr="00AC01C6" w:rsidRDefault="00DB317B" w:rsidP="00DB317B">
      <w:pPr>
        <w:spacing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C01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1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AC01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designed specific primers for molecular assessment.</w:t>
      </w:r>
    </w:p>
    <w:p w14:paraId="23F954DF" w14:textId="77777777" w:rsidR="00DB317B" w:rsidRPr="00AC01C6" w:rsidRDefault="00DB317B" w:rsidP="00DB317B">
      <w:pPr>
        <w:spacing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PlainTable4"/>
        <w:tblW w:w="8748" w:type="dxa"/>
        <w:tblLayout w:type="fixed"/>
        <w:tblLook w:val="04A0" w:firstRow="1" w:lastRow="0" w:firstColumn="1" w:lastColumn="0" w:noHBand="0" w:noVBand="1"/>
      </w:tblPr>
      <w:tblGrid>
        <w:gridCol w:w="918"/>
        <w:gridCol w:w="3870"/>
        <w:gridCol w:w="3960"/>
      </w:tblGrid>
      <w:tr w:rsidR="00DB317B" w:rsidRPr="00AC01C6" w14:paraId="14C6EFAD" w14:textId="77777777" w:rsidTr="007812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2F39AE2D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b w:val="0"/>
                <w:bCs w:val="0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Gene</w:t>
            </w:r>
          </w:p>
        </w:tc>
        <w:tc>
          <w:tcPr>
            <w:tcW w:w="3870" w:type="dxa"/>
          </w:tcPr>
          <w:p w14:paraId="52DBD2E8" w14:textId="77777777" w:rsidR="00DB317B" w:rsidRPr="00AC01C6" w:rsidRDefault="00DB317B" w:rsidP="007812CC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 w:val="0"/>
                <w:bCs w:val="0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Forward</w:t>
            </w:r>
          </w:p>
        </w:tc>
        <w:tc>
          <w:tcPr>
            <w:tcW w:w="3960" w:type="dxa"/>
          </w:tcPr>
          <w:p w14:paraId="5636F0F6" w14:textId="77777777" w:rsidR="00DB317B" w:rsidRPr="00AC01C6" w:rsidRDefault="00DB317B" w:rsidP="007812CC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 w:val="0"/>
                <w:bCs w:val="0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Revers</w:t>
            </w:r>
          </w:p>
        </w:tc>
      </w:tr>
      <w:tr w:rsidR="00DB317B" w:rsidRPr="00AC01C6" w14:paraId="03DC74AB" w14:textId="77777777" w:rsidTr="00781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2EE57F50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GSH-Px</w:t>
            </w:r>
          </w:p>
        </w:tc>
        <w:tc>
          <w:tcPr>
            <w:tcW w:w="3870" w:type="dxa"/>
          </w:tcPr>
          <w:p w14:paraId="3551F422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5′-CAGTTCGGACATCAGGAGAATG-3′</w:t>
            </w:r>
          </w:p>
        </w:tc>
        <w:tc>
          <w:tcPr>
            <w:tcW w:w="3960" w:type="dxa"/>
          </w:tcPr>
          <w:p w14:paraId="240F8E8D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5′-AGCCATCACCAAGCCAATAC-3′</w:t>
            </w:r>
          </w:p>
        </w:tc>
      </w:tr>
      <w:tr w:rsidR="00DB317B" w:rsidRPr="00AC01C6" w14:paraId="5FA553FC" w14:textId="77777777" w:rsidTr="007812CC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3B747580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SOD</w:t>
            </w:r>
          </w:p>
        </w:tc>
        <w:tc>
          <w:tcPr>
            <w:tcW w:w="3870" w:type="dxa"/>
          </w:tcPr>
          <w:p w14:paraId="7DCC7DDF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5′-GGTCCACCTCGAACTACTTTATG-3′</w:t>
            </w:r>
          </w:p>
        </w:tc>
        <w:tc>
          <w:tcPr>
            <w:tcW w:w="3960" w:type="dxa"/>
          </w:tcPr>
          <w:p w14:paraId="2905D411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5′-GGTGATCAGGAACATGGAATCT-3′</w:t>
            </w:r>
          </w:p>
        </w:tc>
      </w:tr>
      <w:tr w:rsidR="00DB317B" w:rsidRPr="00AC01C6" w14:paraId="49D0217A" w14:textId="77777777" w:rsidTr="00781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6493D325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RIPK1</w:t>
            </w:r>
          </w:p>
        </w:tc>
        <w:tc>
          <w:tcPr>
            <w:tcW w:w="3870" w:type="dxa"/>
          </w:tcPr>
          <w:p w14:paraId="1618222A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 xml:space="preserve">5′-GAAGACAGACCTAGACAGCGG-3′ </w:t>
            </w:r>
          </w:p>
        </w:tc>
        <w:tc>
          <w:tcPr>
            <w:tcW w:w="3960" w:type="dxa"/>
          </w:tcPr>
          <w:p w14:paraId="36E35211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5′-CCAGTAGCTTCACCACTCGAC-3′</w:t>
            </w:r>
          </w:p>
        </w:tc>
      </w:tr>
      <w:tr w:rsidR="00DB317B" w:rsidRPr="00AC01C6" w14:paraId="0339E862" w14:textId="77777777" w:rsidTr="007812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50A13437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FGL-1</w:t>
            </w:r>
          </w:p>
        </w:tc>
        <w:tc>
          <w:tcPr>
            <w:tcW w:w="3870" w:type="dxa"/>
          </w:tcPr>
          <w:p w14:paraId="535CF53A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5′-CTTCGTCCTGGTCGCCATT-3′</w:t>
            </w: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ab/>
            </w:r>
          </w:p>
        </w:tc>
        <w:tc>
          <w:tcPr>
            <w:tcW w:w="3960" w:type="dxa"/>
          </w:tcPr>
          <w:p w14:paraId="30388458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5′-TCCCGCAAGCAGTTCTCAC-3′</w:t>
            </w:r>
          </w:p>
        </w:tc>
      </w:tr>
      <w:tr w:rsidR="00DB317B" w:rsidRPr="00AC01C6" w14:paraId="3CECAA75" w14:textId="77777777" w:rsidTr="00781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5F94A4DB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KGF</w:t>
            </w:r>
          </w:p>
        </w:tc>
        <w:tc>
          <w:tcPr>
            <w:tcW w:w="3870" w:type="dxa"/>
          </w:tcPr>
          <w:p w14:paraId="64855AAC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5′-CGCAAATGGATACTGACACG-3′</w:t>
            </w:r>
          </w:p>
        </w:tc>
        <w:tc>
          <w:tcPr>
            <w:tcW w:w="3960" w:type="dxa"/>
          </w:tcPr>
          <w:p w14:paraId="6AF465A7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5′-GGGCTGGAACAGTTCACACT-3′</w:t>
            </w:r>
          </w:p>
        </w:tc>
      </w:tr>
      <w:tr w:rsidR="00DB317B" w:rsidRPr="00AC01C6" w14:paraId="4C7A8DB5" w14:textId="77777777" w:rsidTr="007812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5E542ED5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Mir-122</w:t>
            </w:r>
          </w:p>
        </w:tc>
        <w:tc>
          <w:tcPr>
            <w:tcW w:w="3870" w:type="dxa"/>
          </w:tcPr>
          <w:p w14:paraId="5E958389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</w:t>
            </w:r>
            <w:r w:rsidRPr="00AC01C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GGCTGTGGAGTGTGACAATG</w:t>
            </w: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-3′</w:t>
            </w:r>
          </w:p>
        </w:tc>
        <w:tc>
          <w:tcPr>
            <w:tcW w:w="3960" w:type="dxa"/>
          </w:tcPr>
          <w:p w14:paraId="28E3F6AA" w14:textId="77777777" w:rsidR="00DB317B" w:rsidRPr="00AC01C6" w:rsidRDefault="00DB317B" w:rsidP="007812CC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5′-</w:t>
            </w:r>
            <w:r w:rsidRPr="00AC01C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CAATTGGAGGCT</w:t>
            </w: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TCGAACAG-3′</w:t>
            </w:r>
          </w:p>
        </w:tc>
      </w:tr>
      <w:tr w:rsidR="00DB317B" w:rsidRPr="00AC01C6" w14:paraId="10A32A77" w14:textId="77777777" w:rsidTr="00781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" w:type="dxa"/>
          </w:tcPr>
          <w:p w14:paraId="149B2A34" w14:textId="77777777" w:rsidR="00DB317B" w:rsidRPr="00AC01C6" w:rsidRDefault="00DB317B" w:rsidP="007812CC">
            <w:pPr>
              <w:spacing w:line="480" w:lineRule="auto"/>
              <w:jc w:val="both"/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</w:pPr>
            <w:r w:rsidRPr="00AC01C6">
              <w:rPr>
                <w:rFonts w:asciiTheme="majorBidi" w:eastAsiaTheme="minorHAnsi" w:hAnsiTheme="majorBidi" w:cstheme="majorBidi"/>
                <w:i/>
                <w:iCs/>
                <w:color w:val="000000" w:themeColor="text1"/>
                <w:sz w:val="20"/>
                <w:szCs w:val="20"/>
                <w:lang w:bidi="fa-IR"/>
              </w:rPr>
              <w:t>Mir-122</w:t>
            </w:r>
          </w:p>
        </w:tc>
        <w:tc>
          <w:tcPr>
            <w:tcW w:w="7830" w:type="dxa"/>
            <w:gridSpan w:val="2"/>
          </w:tcPr>
          <w:p w14:paraId="1FAED161" w14:textId="77777777" w:rsidR="00DB317B" w:rsidRPr="00AC01C6" w:rsidRDefault="00DB317B" w:rsidP="007812CC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C01C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RT:</w:t>
            </w: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 xml:space="preserve"> 5′-</w:t>
            </w:r>
            <w:r w:rsidRPr="00AC01C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GTCTCCTCTGGTGCAGGGTCCGAGGTATTCGCACCAGAGGAGCCAACA</w:t>
            </w:r>
            <w:r w:rsidRPr="00AC01C6"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bidi="fa-IR"/>
              </w:rPr>
              <w:t>-3′</w:t>
            </w:r>
          </w:p>
        </w:tc>
      </w:tr>
    </w:tbl>
    <w:p w14:paraId="5EA0E1DC" w14:textId="411485D6" w:rsidR="00DB317B" w:rsidRDefault="00DB317B" w:rsidP="00DB317B">
      <w:pPr>
        <w:spacing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</w:pPr>
      <w:r w:rsidRPr="00AC01C6">
        <w:rPr>
          <w:rFonts w:asciiTheme="majorBidi" w:eastAsiaTheme="minorHAnsi" w:hAnsiTheme="majorBidi" w:cstheme="majorBidi"/>
          <w:b/>
          <w:bCs/>
          <w:i/>
          <w:iCs/>
          <w:color w:val="000000" w:themeColor="text1"/>
          <w:sz w:val="24"/>
          <w:szCs w:val="24"/>
          <w:lang w:bidi="fa-IR"/>
        </w:rPr>
        <w:t>Mir-122:</w:t>
      </w:r>
      <w:r w:rsidRPr="00AC01C6">
        <w:rPr>
          <w:rFonts w:asciiTheme="majorBidi" w:eastAsiaTheme="minorHAnsi" w:hAnsiTheme="majorBidi" w:cstheme="majorBidi"/>
          <w:i/>
          <w:iCs/>
          <w:color w:val="000000" w:themeColor="text1"/>
          <w:sz w:val="24"/>
          <w:szCs w:val="24"/>
          <w:lang w:bidi="fa-IR"/>
        </w:rPr>
        <w:t xml:space="preserve"> 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</w:rPr>
        <w:t>MicroRNA-122,</w:t>
      </w:r>
      <w:r w:rsidRPr="00AC01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C01C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GSH-Px: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Glutathione peroxidase, </w:t>
      </w:r>
      <w:r w:rsidRPr="00AC01C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SOD</w:t>
      </w:r>
      <w:r w:rsidRPr="00AC01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>: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Superoxide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dismutase, </w:t>
      </w:r>
      <w:r w:rsidRPr="00AC01C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RIPK1:</w:t>
      </w:r>
      <w:r w:rsidRPr="00AC01C6">
        <w:rPr>
          <w:rFonts w:asciiTheme="majorBidi" w:hAnsiTheme="majorBidi" w:cstheme="majorBidi"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Receptor interacting protein kinases 1, </w:t>
      </w:r>
      <w:r w:rsidRPr="00AC01C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FGL-1</w:t>
      </w:r>
      <w:r w:rsidRPr="00AC01C6">
        <w:rPr>
          <w:rFonts w:asciiTheme="majorBidi" w:hAnsiTheme="majorBidi" w:cstheme="majorBidi"/>
          <w:i/>
          <w:iCs/>
          <w:color w:val="000000" w:themeColor="text1"/>
          <w:sz w:val="24"/>
          <w:szCs w:val="24"/>
          <w:shd w:val="clear" w:color="auto" w:fill="FFFFFF"/>
        </w:rPr>
        <w:t xml:space="preserve">: 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Fibrinogen-like protein 1, </w:t>
      </w:r>
      <w:r w:rsidRPr="00AC01C6"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KGF: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Keratinocyte growth factor</w:t>
      </w:r>
      <w:r w:rsidRPr="00AC01C6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perscript"/>
        </w:rPr>
        <w:t>.</w:t>
      </w:r>
    </w:p>
    <w:p w14:paraId="4B5F4114" w14:textId="6062A5CF" w:rsidR="00DB317B" w:rsidRDefault="00DB317B" w:rsidP="00DB317B">
      <w:pPr>
        <w:spacing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</w:pPr>
    </w:p>
    <w:p w14:paraId="437FE94A" w14:textId="664D19FF" w:rsidR="00DB317B" w:rsidRPr="00DB317B" w:rsidRDefault="00450819" w:rsidP="00450819">
      <w:pPr>
        <w:spacing w:line="480" w:lineRule="auto"/>
        <w:contextualSpacing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1C9DD0" wp14:editId="4F8C38D8">
            <wp:extent cx="4266911" cy="2459182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21" t="16114" r="11528" b="26678"/>
                    <a:stretch/>
                  </pic:blipFill>
                  <pic:spPr bwMode="auto">
                    <a:xfrm>
                      <a:off x="0" y="0"/>
                      <a:ext cx="4267154" cy="245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22556" w14:textId="516D8DAF" w:rsidR="00DB317B" w:rsidRDefault="00DB317B" w:rsidP="00DB317B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CA2784">
        <w:rPr>
          <w:rFonts w:asciiTheme="majorBidi" w:hAnsiTheme="majorBidi" w:cstheme="majorBidi"/>
          <w:b/>
          <w:bCs/>
          <w:noProof/>
          <w:sz w:val="24"/>
          <w:szCs w:val="24"/>
        </w:rPr>
        <w:t>Figure 1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S</w:t>
      </w:r>
      <w:r w:rsidRPr="00CA2784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: Evaluation of VEGF, HGH and FGF levels in MSC-CM and Sph-MSC-CM with ELISA method. </w:t>
      </w:r>
      <w:r w:rsidRPr="00CA2784">
        <w:rPr>
          <w:rFonts w:asciiTheme="majorBidi" w:hAnsiTheme="majorBidi" w:cstheme="majorBidi"/>
          <w:noProof/>
          <w:sz w:val="24"/>
          <w:szCs w:val="24"/>
        </w:rPr>
        <w:t>The concentration of growth factors were mesured in conditioned medium harvested from both adherent monolayer MSC culture (MSC-CM) and non-adherent spheroid MSC culture (Sph-MSC-CM).</w:t>
      </w:r>
      <w:r w:rsidRPr="00CA2784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Pr="00CA2784">
        <w:rPr>
          <w:rFonts w:asciiTheme="majorBidi" w:hAnsiTheme="majorBidi" w:cstheme="majorBidi"/>
          <w:noProof/>
          <w:sz w:val="24"/>
          <w:szCs w:val="24"/>
        </w:rPr>
        <w:t xml:space="preserve">Significantly higher amounts of VEGF, HGF and FGF were detected in Sph-MSC-CM. 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>Date was shown as mean ± SD.**</w:t>
      </w:r>
      <w:r w:rsidRPr="00CA2784">
        <w:rPr>
          <w:rFonts w:asciiTheme="majorBidi" w:hAnsiTheme="majorBidi" w:cstheme="majorBidi"/>
          <w:i/>
          <w:iCs/>
          <w:sz w:val="24"/>
          <w:szCs w:val="24"/>
          <w:lang w:bidi="fa-IR"/>
        </w:rPr>
        <w:t>p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>&lt;0.01, ***</w:t>
      </w:r>
      <w:r w:rsidRPr="00CA2784">
        <w:rPr>
          <w:rFonts w:asciiTheme="majorBidi" w:hAnsiTheme="majorBidi" w:cstheme="majorBidi"/>
          <w:i/>
          <w:iCs/>
          <w:sz w:val="24"/>
          <w:szCs w:val="24"/>
          <w:lang w:bidi="fa-IR"/>
        </w:rPr>
        <w:t>p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&lt;0.001 Sph-MSC-CM </w:t>
      </w:r>
      <w:r w:rsidRPr="00CA2784">
        <w:rPr>
          <w:rFonts w:asciiTheme="majorBidi" w:hAnsiTheme="majorBidi" w:cstheme="majorBidi"/>
          <w:i/>
          <w:iCs/>
          <w:sz w:val="24"/>
          <w:szCs w:val="24"/>
          <w:lang w:bidi="fa-IR"/>
        </w:rPr>
        <w:t>vs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MSC-CM. Sph-MSC-CM:  Conditioned medium from spheroid culture of mesenchymal stem cell, </w:t>
      </w:r>
      <w:r w:rsidRPr="00CA2784">
        <w:rPr>
          <w:rFonts w:asciiTheme="majorBidi" w:hAnsiTheme="majorBidi" w:cstheme="majorBidi"/>
          <w:noProof/>
          <w:sz w:val="24"/>
          <w:szCs w:val="24"/>
        </w:rPr>
        <w:t>MSC-CM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>: Conditioned medium from adherent monolayer culture of mesenchymal stem cell.</w:t>
      </w:r>
      <w:r w:rsidRPr="00CA2784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CA2784">
        <w:rPr>
          <w:rFonts w:asciiTheme="majorBidi" w:hAnsiTheme="majorBidi" w:cstheme="majorBidi"/>
          <w:sz w:val="24"/>
          <w:szCs w:val="24"/>
        </w:rPr>
        <w:t>VEGF</w:t>
      </w:r>
      <w:r w:rsidRPr="00CA2784">
        <w:rPr>
          <w:rFonts w:asciiTheme="majorBidi" w:hAnsiTheme="majorBidi" w:cstheme="majorBidi"/>
          <w:sz w:val="24"/>
          <w:szCs w:val="24"/>
          <w:shd w:val="clear" w:color="auto" w:fill="FFFFFF"/>
        </w:rPr>
        <w:t>: Vascular endothelial growth factor</w:t>
      </w:r>
      <w:r w:rsidRPr="00CA2784">
        <w:rPr>
          <w:rFonts w:asciiTheme="majorBidi" w:hAnsiTheme="majorBidi" w:cstheme="majorBidi"/>
          <w:sz w:val="24"/>
          <w:szCs w:val="24"/>
        </w:rPr>
        <w:t>, HGF</w:t>
      </w:r>
      <w:r w:rsidRPr="00CA2784">
        <w:rPr>
          <w:rStyle w:val="Emphasis"/>
          <w:rFonts w:asciiTheme="majorBidi" w:hAnsiTheme="majorBidi" w:cstheme="majorBidi"/>
          <w:sz w:val="24"/>
          <w:szCs w:val="24"/>
          <w:shd w:val="clear" w:color="auto" w:fill="FFFFFF"/>
        </w:rPr>
        <w:t>: Hepatocyte growth factor</w:t>
      </w:r>
      <w:r w:rsidRPr="00CA2784">
        <w:rPr>
          <w:rFonts w:asciiTheme="majorBidi" w:hAnsiTheme="majorBidi" w:cstheme="majorBidi"/>
          <w:sz w:val="24"/>
          <w:szCs w:val="24"/>
          <w:shd w:val="clear" w:color="auto" w:fill="FFFFFF"/>
        </w:rPr>
        <w:t>,</w:t>
      </w:r>
      <w:r w:rsidRPr="00CA2784">
        <w:rPr>
          <w:rFonts w:asciiTheme="majorBidi" w:hAnsiTheme="majorBidi" w:cstheme="majorBidi"/>
          <w:sz w:val="24"/>
          <w:szCs w:val="24"/>
        </w:rPr>
        <w:t xml:space="preserve"> FGF: </w:t>
      </w:r>
      <w:r w:rsidRPr="00CA2784">
        <w:rPr>
          <w:rFonts w:asciiTheme="majorBidi" w:hAnsiTheme="majorBidi" w:cstheme="majorBidi"/>
          <w:sz w:val="24"/>
          <w:szCs w:val="24"/>
          <w:shd w:val="clear" w:color="auto" w:fill="FFFFFF"/>
        </w:rPr>
        <w:t>Fibroblast growth factor.</w:t>
      </w:r>
    </w:p>
    <w:p w14:paraId="72E15CE5" w14:textId="4AB5B3BA" w:rsidR="00450819" w:rsidRDefault="00450819" w:rsidP="00DB317B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37BCCE32" w14:textId="6B3388C5" w:rsidR="00450819" w:rsidRDefault="00450819" w:rsidP="00450819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noProof/>
        </w:rPr>
        <w:lastRenderedPageBreak/>
        <w:drawing>
          <wp:inline distT="0" distB="0" distL="0" distR="0" wp14:anchorId="70126F50" wp14:editId="059F0812">
            <wp:extent cx="4308764" cy="29034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69" cy="291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F0C10" w14:textId="5C3B0CB0" w:rsidR="00DB317B" w:rsidRDefault="00DB317B" w:rsidP="00DB317B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Figure 2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S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: Assessment of induced liver failure (LF) in mice 12 hours after injection of 1.5 mg/kg CCl</w:t>
      </w:r>
      <w:r w:rsidRPr="00CA2784">
        <w:rPr>
          <w:rFonts w:asciiTheme="majorBidi" w:hAnsiTheme="majorBidi" w:cstheme="majorBidi"/>
          <w:b/>
          <w:bCs/>
          <w:sz w:val="24"/>
          <w:szCs w:val="24"/>
          <w:vertAlign w:val="subscript"/>
          <w:lang w:bidi="fa-IR"/>
        </w:rPr>
        <w:t>4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. 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Liver injury was assayed with biochemical, molecular and histopathological methods. 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A.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Aspartate aminotransferase (AST) and alanine aminotransferase (ALT) were evaluated in the blood of mice receiving 1.5 mg/kg CCl4 in comparison to mice without any injection and mice receiving olive oil only. CCl</w:t>
      </w:r>
      <w:r w:rsidRPr="00CA2784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receiving animals released much more amount of liver enzymes in blood stream. 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B.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Argininosuccinate synthetase (ASS) level in subjected animals. Increased level of ASS was detected in CCl</w:t>
      </w:r>
      <w:r w:rsidRPr="00CA2784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-induced-LF mice. 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C.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MicroRNA-122 expression level was quantified in liver homogenates using real-time PCR method. MicroRNA-122 expression was upregulated in 1.5 mg/kg CCl</w:t>
      </w:r>
      <w:r w:rsidRPr="00CA2784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>-receiving mice. Date was shown as mean ± SD. ***</w:t>
      </w:r>
      <w:r w:rsidRPr="00CA2784">
        <w:rPr>
          <w:rFonts w:asciiTheme="majorBidi" w:hAnsiTheme="majorBidi" w:cstheme="majorBidi"/>
          <w:i/>
          <w:iCs/>
          <w:sz w:val="24"/>
          <w:szCs w:val="24"/>
          <w:lang w:bidi="fa-IR"/>
        </w:rPr>
        <w:t>p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>&lt;0.001 CCl</w:t>
      </w:r>
      <w:r w:rsidRPr="00CA2784">
        <w:rPr>
          <w:rFonts w:asciiTheme="majorBidi" w:hAnsiTheme="majorBidi" w:cstheme="majorBidi"/>
          <w:sz w:val="24"/>
          <w:szCs w:val="24"/>
          <w:vertAlign w:val="subscript"/>
          <w:lang w:bidi="fa-IR"/>
        </w:rPr>
        <w:t>4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receiving </w:t>
      </w:r>
      <w:r w:rsidRPr="00CA2784">
        <w:rPr>
          <w:rFonts w:asciiTheme="majorBidi" w:hAnsiTheme="majorBidi" w:cstheme="majorBidi"/>
          <w:i/>
          <w:iCs/>
          <w:sz w:val="24"/>
          <w:szCs w:val="24"/>
          <w:lang w:bidi="fa-IR"/>
        </w:rPr>
        <w:t>vs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olive oil. </w:t>
      </w:r>
      <w:r w:rsidRPr="00CA2784">
        <w:rPr>
          <w:rFonts w:asciiTheme="majorBidi" w:hAnsiTheme="majorBidi" w:cstheme="majorBidi"/>
          <w:b/>
          <w:bCs/>
          <w:sz w:val="24"/>
          <w:szCs w:val="24"/>
          <w:lang w:bidi="fa-IR"/>
        </w:rPr>
        <w:t>D.</w:t>
      </w:r>
      <w:r w:rsidRPr="00CA2784">
        <w:rPr>
          <w:rFonts w:asciiTheme="majorBidi" w:hAnsiTheme="majorBidi" w:cstheme="majorBidi"/>
          <w:sz w:val="24"/>
          <w:szCs w:val="24"/>
          <w:lang w:bidi="fa-IR"/>
        </w:rPr>
        <w:t xml:space="preserve"> Hematoxylin and Eosin (H&amp; E) staining of LF-induced mice liver section. Interalobular necrotic bridges along with several necrotic and inflammatory cells were observed and confirmed liver failure (Magnification 400×, Scale bar 200µ). </w:t>
      </w:r>
    </w:p>
    <w:p w14:paraId="4800F04D" w14:textId="77777777" w:rsidR="00DB317B" w:rsidRPr="00DB317B" w:rsidRDefault="00DB317B" w:rsidP="00DB317B">
      <w:pPr>
        <w:spacing w:line="480" w:lineRule="auto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82C922C" w14:textId="77777777" w:rsidR="00EF31D0" w:rsidRDefault="00EF31D0" w:rsidP="00DB317B"/>
    <w:sectPr w:rsidR="00EF31D0" w:rsidSect="00F80F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1D0"/>
    <w:rsid w:val="00450819"/>
    <w:rsid w:val="004E1202"/>
    <w:rsid w:val="00756AB7"/>
    <w:rsid w:val="00DB317B"/>
    <w:rsid w:val="00EF31D0"/>
    <w:rsid w:val="00F8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7C5225"/>
  <w15:chartTrackingRefBased/>
  <w15:docId w15:val="{292DEAC6-0306-4AA3-A5E2-0AE9B8D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17B"/>
    <w:pPr>
      <w:spacing w:after="200" w:line="276" w:lineRule="auto"/>
    </w:pPr>
    <w:rPr>
      <w:rFonts w:eastAsiaTheme="minorEastAsia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317B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DB317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B317B"/>
    <w:rPr>
      <w:rFonts w:ascii="Calibri" w:eastAsiaTheme="minorEastAsia" w:hAnsi="Calibri" w:cs="Calibri"/>
      <w:noProof/>
      <w:lang w:bidi="ar-SA"/>
    </w:rPr>
  </w:style>
  <w:style w:type="character" w:customStyle="1" w:styleId="docsum-pmid">
    <w:name w:val="docsum-pmid"/>
    <w:basedOn w:val="DefaultParagraphFont"/>
    <w:rsid w:val="00DB317B"/>
  </w:style>
  <w:style w:type="character" w:customStyle="1" w:styleId="citation-part">
    <w:name w:val="citation-part"/>
    <w:basedOn w:val="DefaultParagraphFont"/>
    <w:rsid w:val="00DB317B"/>
  </w:style>
  <w:style w:type="character" w:customStyle="1" w:styleId="docsum-journal-citation">
    <w:name w:val="docsum-journal-citation"/>
    <w:basedOn w:val="DefaultParagraphFont"/>
    <w:rsid w:val="00DB317B"/>
  </w:style>
  <w:style w:type="table" w:styleId="PlainTable4">
    <w:name w:val="Plain Table 4"/>
    <w:basedOn w:val="TableNormal"/>
    <w:uiPriority w:val="44"/>
    <w:rsid w:val="00DB317B"/>
    <w:pPr>
      <w:spacing w:after="0" w:line="240" w:lineRule="auto"/>
    </w:pPr>
    <w:rPr>
      <w:lang w:bidi="ar-S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Emphasis">
    <w:name w:val="Emphasis"/>
    <w:basedOn w:val="DefaultParagraphFont"/>
    <w:uiPriority w:val="20"/>
    <w:qFormat/>
    <w:rsid w:val="00DB31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novin</dc:creator>
  <cp:keywords/>
  <dc:description/>
  <cp:lastModifiedBy>novin</cp:lastModifiedBy>
  <cp:revision>3</cp:revision>
  <dcterms:created xsi:type="dcterms:W3CDTF">2022-01-21T07:18:00Z</dcterms:created>
  <dcterms:modified xsi:type="dcterms:W3CDTF">2022-01-21T13:44:00Z</dcterms:modified>
</cp:coreProperties>
</file>