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97A48" w14:textId="77777777" w:rsidR="00CB44A6" w:rsidRPr="00581B8F" w:rsidRDefault="00CB44A6" w:rsidP="00EE40E9">
      <w:pPr>
        <w:pStyle w:val="Paragraph"/>
        <w:spacing w:line="480" w:lineRule="auto"/>
        <w:ind w:firstLine="0"/>
        <w:contextualSpacing/>
        <w:rPr>
          <w:b/>
          <w:color w:val="000000" w:themeColor="text1"/>
        </w:rPr>
      </w:pPr>
      <w:r w:rsidRPr="00581B8F">
        <w:rPr>
          <w:b/>
          <w:color w:val="000000" w:themeColor="text1"/>
        </w:rPr>
        <w:t>Supplementa</w:t>
      </w:r>
      <w:r>
        <w:rPr>
          <w:b/>
          <w:color w:val="000000" w:themeColor="text1"/>
        </w:rPr>
        <w:t>l</w:t>
      </w:r>
      <w:r w:rsidRPr="00581B8F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m</w:t>
      </w:r>
      <w:r w:rsidRPr="00581B8F">
        <w:rPr>
          <w:b/>
          <w:color w:val="000000" w:themeColor="text1"/>
        </w:rPr>
        <w:t>aterial</w:t>
      </w:r>
    </w:p>
    <w:p w14:paraId="67A504AE" w14:textId="5EC42A93" w:rsidR="00CB44A6" w:rsidRPr="00313461" w:rsidRDefault="00313461" w:rsidP="00EE40E9">
      <w:pPr>
        <w:pStyle w:val="NormalWeb"/>
        <w:shd w:val="clear" w:color="auto" w:fill="FFFFFF"/>
        <w:spacing w:line="480" w:lineRule="auto"/>
        <w:contextualSpacing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26A23D65" wp14:editId="2DD8289C">
            <wp:extent cx="6052930" cy="7046385"/>
            <wp:effectExtent l="0" t="0" r="5080" b="254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14"/>
                    <a:stretch/>
                  </pic:blipFill>
                  <pic:spPr bwMode="auto">
                    <a:xfrm>
                      <a:off x="0" y="0"/>
                      <a:ext cx="6065986" cy="7061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B16FF6" w14:textId="3E609F93" w:rsidR="00CB44A6" w:rsidRPr="00581B8F" w:rsidRDefault="0074425D" w:rsidP="00EE40E9">
      <w:pPr>
        <w:pStyle w:val="NormalWeb"/>
        <w:shd w:val="clear" w:color="auto" w:fill="FFFFFF"/>
        <w:spacing w:line="480" w:lineRule="auto"/>
        <w:contextualSpacing/>
      </w:pPr>
      <w:r>
        <w:rPr>
          <w:b/>
          <w:bCs/>
        </w:rPr>
        <w:lastRenderedPageBreak/>
        <w:t xml:space="preserve">Supplementary </w:t>
      </w:r>
      <w:r w:rsidR="00CB44A6" w:rsidRPr="00581B8F">
        <w:rPr>
          <w:b/>
          <w:bCs/>
        </w:rPr>
        <w:t>Fig. 1</w:t>
      </w:r>
      <w:r w:rsidR="007B1336">
        <w:rPr>
          <w:b/>
          <w:bCs/>
        </w:rPr>
        <w:t>.</w:t>
      </w:r>
      <w:r w:rsidR="00CB44A6" w:rsidRPr="00581B8F">
        <w:rPr>
          <w:b/>
          <w:bCs/>
        </w:rPr>
        <w:t xml:space="preserve"> </w:t>
      </w:r>
      <w:r w:rsidR="00CB44A6" w:rsidRPr="00313461">
        <w:t>High-throughput screen approach.</w:t>
      </w:r>
      <w:r w:rsidR="00CB44A6" w:rsidRPr="00581B8F">
        <w:rPr>
          <w:b/>
          <w:bCs/>
        </w:rPr>
        <w:t xml:space="preserve"> </w:t>
      </w:r>
      <w:r>
        <w:rPr>
          <w:b/>
          <w:bCs/>
        </w:rPr>
        <w:t>a</w:t>
      </w:r>
      <w:r w:rsidR="00CB44A6" w:rsidRPr="00581B8F">
        <w:rPr>
          <w:b/>
          <w:bCs/>
        </w:rPr>
        <w:t xml:space="preserve"> </w:t>
      </w:r>
      <w:proofErr w:type="gramStart"/>
      <w:r w:rsidR="00CB44A6" w:rsidRPr="00581B8F">
        <w:t>Representative images</w:t>
      </w:r>
      <w:proofErr w:type="gramEnd"/>
      <w:r w:rsidR="00CB44A6" w:rsidRPr="00581B8F">
        <w:t xml:space="preserve"> from WT and PiZ hiPSC-derived hepatocytes in 384</w:t>
      </w:r>
      <w:r w:rsidR="007B30A9">
        <w:t>-</w:t>
      </w:r>
      <w:r w:rsidR="00CB44A6" w:rsidRPr="00581B8F">
        <w:t>well</w:t>
      </w:r>
      <w:r w:rsidR="007B30A9">
        <w:t xml:space="preserve"> plate</w:t>
      </w:r>
      <w:r w:rsidR="00CB44A6" w:rsidRPr="00581B8F">
        <w:t xml:space="preserve"> view showing the 2C1 (disease) and albumin (hepatic) expression.</w:t>
      </w:r>
      <w:r w:rsidR="00CB44A6" w:rsidRPr="00581B8F">
        <w:rPr>
          <w:b/>
          <w:bCs/>
        </w:rPr>
        <w:t xml:space="preserve"> </w:t>
      </w:r>
      <w:r>
        <w:rPr>
          <w:b/>
          <w:bCs/>
        </w:rPr>
        <w:t>b</w:t>
      </w:r>
      <w:r w:rsidR="00CB44A6" w:rsidRPr="00581B8F">
        <w:t xml:space="preserve"> Four panels of small molecules (1,041 in total) were used to screen A1ATD plated in a 384</w:t>
      </w:r>
      <w:r w:rsidR="00AA2684">
        <w:t>-</w:t>
      </w:r>
      <w:r w:rsidR="00CB44A6" w:rsidRPr="00581B8F">
        <w:t>well plate format in duplicates. Each well shown visualizes a mean 2C1 signal of two replicates</w:t>
      </w:r>
      <w:r w:rsidR="003250D8">
        <w:t xml:space="preserve"> in </w:t>
      </w:r>
      <w:r w:rsidR="00AA2684">
        <w:t>colo</w:t>
      </w:r>
      <w:r w:rsidR="00A71506">
        <w:t>u</w:t>
      </w:r>
      <w:r w:rsidR="00AA2684">
        <w:t>r</w:t>
      </w:r>
      <w:r w:rsidR="003250D8">
        <w:t xml:space="preserve"> gradient with respect to the z-score derived from ATZ polymer load expression. Red </w:t>
      </w:r>
      <w:r w:rsidR="00AA2684">
        <w:t>colo</w:t>
      </w:r>
      <w:r w:rsidR="00A71506">
        <w:t>u</w:t>
      </w:r>
      <w:r w:rsidR="00AA2684">
        <w:t>r</w:t>
      </w:r>
      <w:r w:rsidR="003250D8">
        <w:t xml:space="preserve"> represents </w:t>
      </w:r>
      <w:r w:rsidR="00AA2684">
        <w:t xml:space="preserve">a </w:t>
      </w:r>
      <w:r w:rsidR="003250D8">
        <w:t xml:space="preserve">high expression of ATZ polymer and green </w:t>
      </w:r>
      <w:r w:rsidR="00AA2684">
        <w:t>color</w:t>
      </w:r>
      <w:r w:rsidR="003250D8">
        <w:t xml:space="preserve"> represents </w:t>
      </w:r>
      <w:r w:rsidR="00AA2684">
        <w:t xml:space="preserve">a </w:t>
      </w:r>
      <w:r w:rsidR="003250D8">
        <w:t>low expression of ATZ polymer</w:t>
      </w:r>
      <w:r w:rsidR="00CB44A6" w:rsidRPr="00581B8F">
        <w:t xml:space="preserve">. Top hits (14) showing the lowest Z-scores were selected for further validation. </w:t>
      </w:r>
      <w:r>
        <w:rPr>
          <w:b/>
          <w:bCs/>
        </w:rPr>
        <w:t>c</w:t>
      </w:r>
      <w:r w:rsidR="00CB44A6" w:rsidRPr="00581B8F">
        <w:rPr>
          <w:b/>
          <w:bCs/>
        </w:rPr>
        <w:t xml:space="preserve"> </w:t>
      </w:r>
      <w:r w:rsidR="00CB44A6" w:rsidRPr="00581B8F">
        <w:t>Gaussian curves were plotted to visualize the position of the hits relative to the healthy control (n=64; green) and untreated A1ATD iHeps (n=32; purple). The hits (red) appear to dramatically shift the 2C1 signal towards the range of the healthy control, thus restoring the healthy AAT phenotype in the A1ATD cells.</w:t>
      </w:r>
    </w:p>
    <w:p w14:paraId="722107A8" w14:textId="77777777" w:rsidR="00CB44A6" w:rsidRPr="00581B8F" w:rsidRDefault="00CB44A6" w:rsidP="00EE40E9">
      <w:pPr>
        <w:pStyle w:val="NormalWeb"/>
        <w:shd w:val="clear" w:color="auto" w:fill="FFFFFF"/>
        <w:spacing w:line="480" w:lineRule="auto"/>
        <w:contextualSpacing/>
      </w:pPr>
    </w:p>
    <w:p w14:paraId="782FA952" w14:textId="536EB893" w:rsidR="00CB44A6" w:rsidRPr="00581B8F" w:rsidRDefault="00313461" w:rsidP="00EE40E9">
      <w:pPr>
        <w:pStyle w:val="NormalWeb"/>
        <w:shd w:val="clear" w:color="auto" w:fill="FFFFFF"/>
        <w:spacing w:line="480" w:lineRule="auto"/>
        <w:contextualSpacing/>
      </w:pPr>
      <w:r>
        <w:rPr>
          <w:noProof/>
        </w:rPr>
        <w:lastRenderedPageBreak/>
        <w:drawing>
          <wp:inline distT="0" distB="0" distL="0" distR="0" wp14:anchorId="59ABB33F" wp14:editId="542BAD66">
            <wp:extent cx="5969885" cy="6311348"/>
            <wp:effectExtent l="0" t="0" r="0" b="635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15"/>
                    <a:stretch/>
                  </pic:blipFill>
                  <pic:spPr bwMode="auto">
                    <a:xfrm>
                      <a:off x="0" y="0"/>
                      <a:ext cx="5975904" cy="6317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FA134" w14:textId="3DB49603" w:rsidR="00CB44A6" w:rsidRPr="00581B8F" w:rsidRDefault="0074425D" w:rsidP="00EE40E9">
      <w:pPr>
        <w:pStyle w:val="NormalWeb"/>
        <w:shd w:val="clear" w:color="auto" w:fill="FFFFFF"/>
        <w:spacing w:line="480" w:lineRule="auto"/>
        <w:contextualSpacing/>
      </w:pPr>
      <w:r>
        <w:rPr>
          <w:b/>
          <w:bCs/>
        </w:rPr>
        <w:t xml:space="preserve">Supplementary </w:t>
      </w:r>
      <w:r w:rsidR="00CB44A6" w:rsidRPr="00581B8F">
        <w:rPr>
          <w:b/>
          <w:bCs/>
        </w:rPr>
        <w:t xml:space="preserve">Fig. 2 </w:t>
      </w:r>
      <w:r w:rsidR="00CB44A6" w:rsidRPr="00313461">
        <w:t>Confirmatory dose-dependent study on the top 14 hits.</w:t>
      </w:r>
      <w:r w:rsidR="00CB44A6" w:rsidRPr="00581B8F">
        <w:rPr>
          <w:b/>
          <w:bCs/>
        </w:rPr>
        <w:t xml:space="preserve"> </w:t>
      </w:r>
      <w:r>
        <w:rPr>
          <w:b/>
          <w:bCs/>
        </w:rPr>
        <w:t>a</w:t>
      </w:r>
      <w:r w:rsidR="00CB44A6" w:rsidRPr="00581B8F">
        <w:t xml:space="preserve"> </w:t>
      </w:r>
      <w:proofErr w:type="gramStart"/>
      <w:r w:rsidR="00CB44A6" w:rsidRPr="00581B8F">
        <w:t>The</w:t>
      </w:r>
      <w:proofErr w:type="gramEnd"/>
      <w:r w:rsidR="00CB44A6" w:rsidRPr="00581B8F">
        <w:t xml:space="preserve"> effectiveness of small molecules is determined by the reduction of </w:t>
      </w:r>
      <w:r w:rsidR="00AA2684">
        <w:t xml:space="preserve">the </w:t>
      </w:r>
      <w:r w:rsidR="00CB44A6" w:rsidRPr="00581B8F">
        <w:t xml:space="preserve">2C1 staining signal (ATZ polymer). </w:t>
      </w:r>
      <w:r>
        <w:rPr>
          <w:b/>
          <w:bCs/>
        </w:rPr>
        <w:t>b</w:t>
      </w:r>
      <w:r w:rsidR="00CB44A6" w:rsidRPr="00581B8F">
        <w:t xml:space="preserve"> </w:t>
      </w:r>
      <w:proofErr w:type="gramStart"/>
      <w:r w:rsidR="00CB44A6" w:rsidRPr="00581B8F">
        <w:t>The</w:t>
      </w:r>
      <w:proofErr w:type="gramEnd"/>
      <w:r w:rsidR="00CB44A6" w:rsidRPr="00581B8F">
        <w:t xml:space="preserve"> safety of small molecules is evaluated by the viability assay by Presto Blue.</w:t>
      </w:r>
    </w:p>
    <w:p w14:paraId="56582FD1" w14:textId="77777777" w:rsidR="00CB44A6" w:rsidRPr="00581B8F" w:rsidRDefault="00CB44A6" w:rsidP="00EE40E9">
      <w:pPr>
        <w:spacing w:line="480" w:lineRule="auto"/>
        <w:contextualSpacing/>
        <w:rPr>
          <w:b/>
          <w:bCs/>
          <w:sz w:val="24"/>
          <w:szCs w:val="24"/>
        </w:rPr>
      </w:pPr>
      <w:r w:rsidRPr="00581B8F"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4D967E7D" wp14:editId="217F6032">
            <wp:extent cx="5815330" cy="822960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8DB24" w14:textId="131D1F12" w:rsidR="00CB44A6" w:rsidRPr="00581B8F" w:rsidRDefault="0074425D" w:rsidP="00EE40E9">
      <w:pPr>
        <w:spacing w:line="48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</w:t>
      </w:r>
      <w:r w:rsidR="00CB44A6" w:rsidRPr="00581B8F">
        <w:rPr>
          <w:b/>
          <w:bCs/>
          <w:sz w:val="24"/>
          <w:szCs w:val="24"/>
        </w:rPr>
        <w:t>Fig. 3</w:t>
      </w:r>
      <w:r w:rsidR="007B1336">
        <w:rPr>
          <w:b/>
          <w:bCs/>
          <w:sz w:val="24"/>
          <w:szCs w:val="24"/>
        </w:rPr>
        <w:t>.</w:t>
      </w:r>
      <w:r w:rsidR="00CB44A6" w:rsidRPr="00581B8F">
        <w:rPr>
          <w:b/>
          <w:bCs/>
          <w:sz w:val="24"/>
          <w:szCs w:val="24"/>
        </w:rPr>
        <w:t xml:space="preserve"> </w:t>
      </w:r>
      <w:r w:rsidR="00CB44A6" w:rsidRPr="007B1336">
        <w:rPr>
          <w:sz w:val="24"/>
          <w:szCs w:val="24"/>
        </w:rPr>
        <w:t>Top 7 putative targets validated using commercially available small</w:t>
      </w:r>
      <w:r w:rsidR="00CB44A6" w:rsidRPr="007B1336">
        <w:rPr>
          <w:color w:val="FF0000"/>
          <w:sz w:val="24"/>
          <w:szCs w:val="24"/>
        </w:rPr>
        <w:t xml:space="preserve"> </w:t>
      </w:r>
      <w:r w:rsidR="00CB44A6" w:rsidRPr="007B1336">
        <w:rPr>
          <w:sz w:val="24"/>
          <w:szCs w:val="24"/>
        </w:rPr>
        <w:t>molecules. The effective</w:t>
      </w:r>
      <w:r w:rsidR="00CB44A6" w:rsidRPr="00581B8F">
        <w:rPr>
          <w:sz w:val="24"/>
          <w:szCs w:val="24"/>
        </w:rPr>
        <w:t xml:space="preserve">ness of the small molecules is determined by the reduction of ATZ polymer (right column). The viability of the small molecules is evaluated by the DAPI + object counting (middle column) and the viability assay by Presto Blue (right column). The color of the dot represents each </w:t>
      </w:r>
      <w:r w:rsidR="00900B1B">
        <w:rPr>
          <w:sz w:val="24"/>
          <w:szCs w:val="24"/>
        </w:rPr>
        <w:t>PiZ</w:t>
      </w:r>
      <w:r w:rsidR="00CB44A6" w:rsidRPr="00581B8F">
        <w:rPr>
          <w:sz w:val="24"/>
          <w:szCs w:val="24"/>
        </w:rPr>
        <w:t xml:space="preserve"> patient iPSC line</w:t>
      </w:r>
      <w:r w:rsidR="00900B1B">
        <w:rPr>
          <w:sz w:val="24"/>
          <w:szCs w:val="24"/>
        </w:rPr>
        <w:t>. N= 3 different PiZ patient iPS</w:t>
      </w:r>
      <w:r w:rsidR="00AA2684">
        <w:rPr>
          <w:sz w:val="24"/>
          <w:szCs w:val="24"/>
        </w:rPr>
        <w:t>C</w:t>
      </w:r>
      <w:r w:rsidR="00900B1B">
        <w:rPr>
          <w:sz w:val="24"/>
          <w:szCs w:val="24"/>
        </w:rPr>
        <w:t>-</w:t>
      </w:r>
      <w:r w:rsidR="00AA2684">
        <w:rPr>
          <w:sz w:val="24"/>
          <w:szCs w:val="24"/>
        </w:rPr>
        <w:t>h</w:t>
      </w:r>
      <w:r w:rsidR="00900B1B">
        <w:rPr>
          <w:sz w:val="24"/>
          <w:szCs w:val="24"/>
        </w:rPr>
        <w:t>epato</w:t>
      </w:r>
      <w:r w:rsidR="00AA2684">
        <w:rPr>
          <w:sz w:val="24"/>
          <w:szCs w:val="24"/>
        </w:rPr>
        <w:t>cy</w:t>
      </w:r>
      <w:r w:rsidR="00900B1B">
        <w:rPr>
          <w:sz w:val="24"/>
          <w:szCs w:val="24"/>
        </w:rPr>
        <w:t xml:space="preserve">tes. </w:t>
      </w:r>
      <w:r w:rsidR="00CB44A6" w:rsidRPr="00581B8F">
        <w:rPr>
          <w:sz w:val="24"/>
          <w:szCs w:val="24"/>
        </w:rPr>
        <w:t>Statistical analysis involved a Kolmogorov- Smirnov test for normality, followed by Kruskal-</w:t>
      </w:r>
      <w:proofErr w:type="gramStart"/>
      <w:r w:rsidR="00CB44A6" w:rsidRPr="00581B8F">
        <w:rPr>
          <w:sz w:val="24"/>
          <w:szCs w:val="24"/>
        </w:rPr>
        <w:t>Wallis</w:t>
      </w:r>
      <w:proofErr w:type="gramEnd"/>
      <w:r w:rsidR="00CB44A6" w:rsidRPr="00581B8F">
        <w:rPr>
          <w:sz w:val="24"/>
          <w:szCs w:val="24"/>
        </w:rPr>
        <w:t xml:space="preserve"> test, followed by a Dunn’s multiple comparison test. *p&lt;0.05, **p&lt;0.01, ***p&lt;0.001, ****p&lt;0.0001.</w:t>
      </w:r>
    </w:p>
    <w:p w14:paraId="7C66222F" w14:textId="38F503FC" w:rsidR="007B1336" w:rsidRDefault="00EE40E9" w:rsidP="00EE40E9">
      <w:pPr>
        <w:spacing w:line="480" w:lineRule="auto"/>
        <w:contextualSpacing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AA6B67C" wp14:editId="0231FAE0">
            <wp:extent cx="6029091" cy="5171090"/>
            <wp:effectExtent l="0" t="0" r="3810" b="0"/>
            <wp:docPr id="11" name="Picture 1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omputer&#10;&#10;Description automatically generated with low confidenc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57"/>
                    <a:stretch/>
                  </pic:blipFill>
                  <pic:spPr bwMode="auto">
                    <a:xfrm>
                      <a:off x="0" y="0"/>
                      <a:ext cx="6043252" cy="5183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BE25F" w14:textId="332497E2" w:rsidR="00CB44A6" w:rsidRPr="00581B8F" w:rsidRDefault="0074425D" w:rsidP="00EE40E9">
      <w:pPr>
        <w:spacing w:line="48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Supplementary </w:t>
      </w:r>
      <w:r w:rsidR="00CB44A6" w:rsidRPr="00581B8F">
        <w:rPr>
          <w:b/>
          <w:bCs/>
          <w:sz w:val="24"/>
          <w:szCs w:val="24"/>
        </w:rPr>
        <w:t>Fig. 4</w:t>
      </w:r>
      <w:r w:rsidR="007B1336">
        <w:rPr>
          <w:b/>
          <w:bCs/>
          <w:sz w:val="24"/>
          <w:szCs w:val="24"/>
        </w:rPr>
        <w:t>.</w:t>
      </w:r>
      <w:r w:rsidR="00CB44A6" w:rsidRPr="00581B8F">
        <w:rPr>
          <w:b/>
          <w:bCs/>
          <w:sz w:val="24"/>
          <w:szCs w:val="24"/>
        </w:rPr>
        <w:t xml:space="preserve"> </w:t>
      </w:r>
      <w:r w:rsidR="00CB44A6" w:rsidRPr="007B1336">
        <w:rPr>
          <w:sz w:val="24"/>
          <w:szCs w:val="24"/>
        </w:rPr>
        <w:t>Whole</w:t>
      </w:r>
      <w:r w:rsidR="00AA2684">
        <w:rPr>
          <w:sz w:val="24"/>
          <w:szCs w:val="24"/>
        </w:rPr>
        <w:t>-</w:t>
      </w:r>
      <w:r w:rsidR="00CB44A6" w:rsidRPr="007B1336">
        <w:rPr>
          <w:sz w:val="24"/>
          <w:szCs w:val="24"/>
        </w:rPr>
        <w:t>well views of CZC-25146 polymer-reduction phenotype in A1ATD patient-derived hiPSC-hepatocytes.</w:t>
      </w:r>
      <w:r w:rsidR="00CB44A6" w:rsidRPr="00581B8F">
        <w:rPr>
          <w:b/>
          <w:bCs/>
          <w:sz w:val="24"/>
          <w:szCs w:val="24"/>
        </w:rPr>
        <w:t xml:space="preserve"> </w:t>
      </w:r>
      <w:r w:rsidR="00CB44A6" w:rsidRPr="00581B8F">
        <w:rPr>
          <w:sz w:val="24"/>
          <w:szCs w:val="24"/>
        </w:rPr>
        <w:t xml:space="preserve">Full 96-well views of CZC and control treatment after 48 hours of treatment. Each well contains approximately 50,000 PiZ hiPSC-derived hepatocytes. Images </w:t>
      </w:r>
      <w:r w:rsidR="00AA2684">
        <w:rPr>
          <w:sz w:val="24"/>
          <w:szCs w:val="24"/>
        </w:rPr>
        <w:t>were taken</w:t>
      </w:r>
      <w:r w:rsidR="00CB44A6" w:rsidRPr="00581B8F">
        <w:rPr>
          <w:sz w:val="24"/>
          <w:szCs w:val="24"/>
        </w:rPr>
        <w:t xml:space="preserve"> on </w:t>
      </w:r>
      <w:r w:rsidR="00AA2684">
        <w:rPr>
          <w:sz w:val="24"/>
          <w:szCs w:val="24"/>
        </w:rPr>
        <w:t xml:space="preserve">Perkin Elmer </w:t>
      </w:r>
      <w:r w:rsidR="00CB44A6" w:rsidRPr="00581B8F">
        <w:rPr>
          <w:sz w:val="24"/>
          <w:szCs w:val="24"/>
        </w:rPr>
        <w:t>Operetta CLS.</w:t>
      </w:r>
    </w:p>
    <w:p w14:paraId="0ED83EBE" w14:textId="77777777" w:rsidR="00CB44A6" w:rsidRPr="00581B8F" w:rsidRDefault="00CB44A6" w:rsidP="00EE40E9">
      <w:pPr>
        <w:pStyle w:val="NormalWeb"/>
        <w:shd w:val="clear" w:color="auto" w:fill="FFFFFF"/>
        <w:spacing w:line="480" w:lineRule="auto"/>
        <w:contextualSpacing/>
        <w:jc w:val="both"/>
      </w:pPr>
    </w:p>
    <w:p w14:paraId="18EBA58A" w14:textId="6FD252F6" w:rsidR="00CB44A6" w:rsidRPr="00581B8F" w:rsidRDefault="007B1336" w:rsidP="00EE40E9">
      <w:pPr>
        <w:pStyle w:val="NormalWeb"/>
        <w:shd w:val="clear" w:color="auto" w:fill="FFFFFF"/>
        <w:spacing w:line="480" w:lineRule="auto"/>
        <w:contextualSpacing/>
        <w:jc w:val="both"/>
      </w:pPr>
      <w:r>
        <w:rPr>
          <w:noProof/>
        </w:rPr>
        <w:drawing>
          <wp:inline distT="0" distB="0" distL="0" distR="0" wp14:anchorId="72C598E1" wp14:editId="119A70E5">
            <wp:extent cx="5108713" cy="4358743"/>
            <wp:effectExtent l="0" t="0" r="0" b="0"/>
            <wp:docPr id="7" name="Picture 7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 with low confidenc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12" b="61957"/>
                    <a:stretch/>
                  </pic:blipFill>
                  <pic:spPr bwMode="auto">
                    <a:xfrm>
                      <a:off x="0" y="0"/>
                      <a:ext cx="5127056" cy="437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3A608C" w14:textId="3912D6B7" w:rsidR="00CB44A6" w:rsidRPr="00581B8F" w:rsidRDefault="0074425D" w:rsidP="00EE40E9">
      <w:pPr>
        <w:pStyle w:val="NormalWeb"/>
        <w:shd w:val="clear" w:color="auto" w:fill="FFFFFF"/>
        <w:spacing w:line="480" w:lineRule="auto"/>
        <w:contextualSpacing/>
        <w:jc w:val="both"/>
        <w:rPr>
          <w:b/>
          <w:bCs/>
        </w:rPr>
      </w:pPr>
      <w:r>
        <w:rPr>
          <w:b/>
          <w:bCs/>
        </w:rPr>
        <w:t xml:space="preserve">Supplementary </w:t>
      </w:r>
      <w:r w:rsidR="00CB44A6" w:rsidRPr="00581B8F">
        <w:rPr>
          <w:b/>
          <w:bCs/>
        </w:rPr>
        <w:t xml:space="preserve">Fig. 5: </w:t>
      </w:r>
      <w:r w:rsidR="00CB44A6" w:rsidRPr="007B1336">
        <w:t>Gross anatomy and IHC staining of the liver treated with CZC-25146 and vehicle control DMSO at 250mg/kg for 14 consecutively days via oral gavage.</w:t>
      </w:r>
    </w:p>
    <w:p w14:paraId="1196A44B" w14:textId="6C3AD134" w:rsidR="00CB44A6" w:rsidRPr="00581B8F" w:rsidRDefault="007B1336" w:rsidP="00EE40E9">
      <w:pPr>
        <w:spacing w:line="480" w:lineRule="auto"/>
        <w:contextualSpacing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27789CE5" wp14:editId="5500D7C4">
            <wp:extent cx="5910661" cy="3180522"/>
            <wp:effectExtent l="0" t="0" r="0" b="0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752"/>
                    <a:stretch/>
                  </pic:blipFill>
                  <pic:spPr bwMode="auto">
                    <a:xfrm>
                      <a:off x="0" y="0"/>
                      <a:ext cx="5923454" cy="3187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98505" w14:textId="7FB91D49" w:rsidR="00CB44A6" w:rsidRPr="00581B8F" w:rsidRDefault="00CB44A6" w:rsidP="00EE40E9">
      <w:pPr>
        <w:spacing w:line="480" w:lineRule="auto"/>
        <w:contextualSpacing/>
        <w:rPr>
          <w:sz w:val="24"/>
          <w:szCs w:val="24"/>
        </w:rPr>
      </w:pPr>
      <w:r w:rsidRPr="00581B8F">
        <w:rPr>
          <w:b/>
          <w:bCs/>
          <w:sz w:val="24"/>
          <w:szCs w:val="24"/>
        </w:rPr>
        <w:t>Fig. S6</w:t>
      </w:r>
      <w:r w:rsidR="007B1336">
        <w:rPr>
          <w:b/>
          <w:bCs/>
          <w:sz w:val="24"/>
          <w:szCs w:val="24"/>
        </w:rPr>
        <w:t>.</w:t>
      </w:r>
      <w:r w:rsidRPr="00581B8F">
        <w:rPr>
          <w:b/>
          <w:bCs/>
          <w:sz w:val="24"/>
          <w:szCs w:val="24"/>
        </w:rPr>
        <w:t xml:space="preserve"> </w:t>
      </w:r>
      <w:r w:rsidRPr="007B1336">
        <w:rPr>
          <w:sz w:val="24"/>
          <w:szCs w:val="24"/>
        </w:rPr>
        <w:t xml:space="preserve">Investigating the expression of LRRK2 </w:t>
      </w:r>
      <w:r w:rsidRPr="007B1336">
        <w:rPr>
          <w:i/>
          <w:iCs/>
          <w:sz w:val="24"/>
          <w:szCs w:val="24"/>
        </w:rPr>
        <w:t>in vivo</w:t>
      </w:r>
      <w:r w:rsidRPr="007B1336">
        <w:rPr>
          <w:sz w:val="24"/>
          <w:szCs w:val="24"/>
        </w:rPr>
        <w:t>.</w:t>
      </w:r>
      <w:r w:rsidRPr="00581B8F">
        <w:rPr>
          <w:b/>
          <w:bCs/>
          <w:sz w:val="24"/>
          <w:szCs w:val="24"/>
        </w:rPr>
        <w:t xml:space="preserve"> </w:t>
      </w:r>
      <w:r w:rsidR="007B1336">
        <w:rPr>
          <w:b/>
          <w:bCs/>
          <w:sz w:val="24"/>
          <w:szCs w:val="24"/>
        </w:rPr>
        <w:t>a</w:t>
      </w:r>
      <w:r w:rsidRPr="00581B8F">
        <w:rPr>
          <w:b/>
          <w:bCs/>
          <w:sz w:val="24"/>
          <w:szCs w:val="24"/>
        </w:rPr>
        <w:t xml:space="preserve"> </w:t>
      </w:r>
      <w:proofErr w:type="gramStart"/>
      <w:r w:rsidRPr="00581B8F">
        <w:rPr>
          <w:sz w:val="24"/>
          <w:szCs w:val="24"/>
        </w:rPr>
        <w:t>Representative images</w:t>
      </w:r>
      <w:proofErr w:type="gramEnd"/>
      <w:r w:rsidRPr="00581B8F">
        <w:rPr>
          <w:sz w:val="24"/>
          <w:szCs w:val="24"/>
        </w:rPr>
        <w:t xml:space="preserve"> of LRRK2 IHC in healthy mouse kidney used as a positive control for LRRK2 IHC staining, healthy and PiZ mouse livers, PiZ mouse livers treated with DMSO and CZC-25146 at 250mg/kg. All mice used were exactly 6 weeks old and all males. Scale bar, 100µm. LRRK2 IHC quantification in the liver, with all the data pooled </w:t>
      </w:r>
      <w:r w:rsidR="007B1336">
        <w:rPr>
          <w:b/>
          <w:bCs/>
          <w:sz w:val="24"/>
          <w:szCs w:val="24"/>
        </w:rPr>
        <w:t>b</w:t>
      </w:r>
      <w:r w:rsidRPr="00581B8F">
        <w:rPr>
          <w:sz w:val="24"/>
          <w:szCs w:val="24"/>
        </w:rPr>
        <w:t xml:space="preserve"> and the results of each lobe separated </w:t>
      </w:r>
      <w:r w:rsidR="007B1336">
        <w:rPr>
          <w:b/>
          <w:bCs/>
          <w:sz w:val="24"/>
          <w:szCs w:val="24"/>
        </w:rPr>
        <w:t>c</w:t>
      </w:r>
      <w:r w:rsidRPr="00581B8F">
        <w:rPr>
          <w:sz w:val="24"/>
          <w:szCs w:val="24"/>
        </w:rPr>
        <w:t xml:space="preserve">. Quantification was conducted using ImageJ. N= 3 mice per group. Statistical analysis by Ordinary ANOVA test, followed by Dunnett’s multiple comparisons test. *p&lt;0.05, **p&lt;0.01, ***p&lt;0.001, ****p&lt;0.0001. </w:t>
      </w:r>
    </w:p>
    <w:p w14:paraId="62E0FE5C" w14:textId="7BA56BEF" w:rsidR="00CB44A6" w:rsidRDefault="00CB44A6" w:rsidP="00EE40E9">
      <w:pPr>
        <w:spacing w:line="480" w:lineRule="auto"/>
        <w:contextualSpacing/>
        <w:rPr>
          <w:sz w:val="24"/>
          <w:szCs w:val="24"/>
        </w:rPr>
      </w:pPr>
    </w:p>
    <w:p w14:paraId="142A97C1" w14:textId="166BC8AB" w:rsidR="007B1336" w:rsidRPr="00581B8F" w:rsidRDefault="007B1336" w:rsidP="00EE40E9">
      <w:pPr>
        <w:spacing w:line="480" w:lineRule="auto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FFE0BEE" wp14:editId="07A5568E">
            <wp:extent cx="4476078" cy="3975652"/>
            <wp:effectExtent l="0" t="0" r="0" b="0"/>
            <wp:docPr id="9" name="Picture 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7" t="1570" r="11820" b="56159"/>
                    <a:stretch/>
                  </pic:blipFill>
                  <pic:spPr bwMode="auto">
                    <a:xfrm>
                      <a:off x="0" y="0"/>
                      <a:ext cx="4480028" cy="397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AFEB0" w14:textId="1DE37C2A" w:rsidR="00CB44A6" w:rsidRPr="00581B8F" w:rsidRDefault="007B1336" w:rsidP="00EE40E9">
      <w:pPr>
        <w:pStyle w:val="Paragraph"/>
        <w:spacing w:line="480" w:lineRule="auto"/>
        <w:ind w:firstLine="0"/>
        <w:contextualSpacing/>
        <w:rPr>
          <w:b/>
          <w:color w:val="FF0000"/>
        </w:rPr>
      </w:pPr>
      <w:r w:rsidRPr="00581B8F">
        <w:rPr>
          <w:b/>
          <w:bCs/>
        </w:rPr>
        <w:t>Fig. S</w:t>
      </w:r>
      <w:r>
        <w:rPr>
          <w:b/>
          <w:bCs/>
        </w:rPr>
        <w:t>7.</w:t>
      </w:r>
      <w:r w:rsidRPr="00581B8F">
        <w:rPr>
          <w:b/>
          <w:bCs/>
        </w:rPr>
        <w:t xml:space="preserve"> </w:t>
      </w:r>
      <w:r w:rsidR="00AA2684">
        <w:t>Autophagy-related</w:t>
      </w:r>
      <w:r>
        <w:t xml:space="preserve"> transcriptional expression following vehicle control DMSO and CZC-25146 low (1</w:t>
      </w:r>
      <w:r w:rsidR="00674951">
        <w:t>4</w:t>
      </w:r>
      <w:r w:rsidR="00053DD7">
        <w:t>.</w:t>
      </w:r>
      <w:r w:rsidR="00674951">
        <w:t>3</w:t>
      </w:r>
      <w:r w:rsidR="00053DD7">
        <w:t xml:space="preserve">µM) </w:t>
      </w:r>
      <w:r>
        <w:t>and high dose (2</w:t>
      </w:r>
      <w:r w:rsidR="00674951">
        <w:t>8.6</w:t>
      </w:r>
      <w:r>
        <w:t>µM) treatment for 24 hours.</w:t>
      </w:r>
      <w:r w:rsidR="00CB44A6" w:rsidRPr="00581B8F">
        <w:rPr>
          <w:rFonts w:ascii="Arial" w:hAnsi="Arial" w:cs="Arial"/>
        </w:rPr>
        <w:br w:type="page"/>
      </w:r>
    </w:p>
    <w:p w14:paraId="27C37636" w14:textId="32AAD6C8" w:rsidR="00CB44A6" w:rsidRPr="00B96273" w:rsidRDefault="00CB44A6" w:rsidP="00EE40E9">
      <w:pPr>
        <w:spacing w:line="48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581B8F">
        <w:rPr>
          <w:b/>
          <w:bCs/>
          <w:i/>
          <w:iCs/>
          <w:noProof/>
          <w:sz w:val="24"/>
          <w:szCs w:val="24"/>
        </w:rPr>
        <w:lastRenderedPageBreak/>
        <w:drawing>
          <wp:anchor distT="152400" distB="152400" distL="152400" distR="152400" simplePos="0" relativeHeight="251659264" behindDoc="0" locked="0" layoutInCell="1" allowOverlap="1" wp14:anchorId="27345EBB" wp14:editId="1F22E901">
            <wp:simplePos x="0" y="0"/>
            <wp:positionH relativeFrom="margin">
              <wp:posOffset>0</wp:posOffset>
            </wp:positionH>
            <wp:positionV relativeFrom="page">
              <wp:posOffset>869950</wp:posOffset>
            </wp:positionV>
            <wp:extent cx="3242945" cy="7898765"/>
            <wp:effectExtent l="0" t="0" r="0" b="635"/>
            <wp:wrapTopAndBottom distT="152400" distB="152400"/>
            <wp:docPr id="1073741830" name="officeArt object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fficeArt object" descr="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42945" cy="78987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1B8F">
        <w:rPr>
          <w:rFonts w:ascii="Arial" w:hAnsi="Arial" w:cs="Arial"/>
          <w:b/>
          <w:bCs/>
          <w:sz w:val="24"/>
          <w:szCs w:val="24"/>
        </w:rPr>
        <w:t>Table S1: Primer sequences for RT-qPCR assay.</w:t>
      </w:r>
    </w:p>
    <w:sectPr w:rsidR="00CB44A6" w:rsidRPr="00B96273" w:rsidSect="00581B8F">
      <w:footerReference w:type="even" r:id="rId14"/>
      <w:footerReference w:type="default" r:id="rId15"/>
      <w:headerReference w:type="first" r:id="rId16"/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9AE8" w14:textId="77777777" w:rsidR="006E7E08" w:rsidRDefault="006E7E08">
      <w:r>
        <w:separator/>
      </w:r>
    </w:p>
  </w:endnote>
  <w:endnote w:type="continuationSeparator" w:id="0">
    <w:p w14:paraId="6763CA09" w14:textId="77777777" w:rsidR="006E7E08" w:rsidRDefault="006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158069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518044" w14:textId="77777777" w:rsidR="00D75EBB" w:rsidRDefault="00B96273" w:rsidP="000937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B26D51" w14:textId="77777777" w:rsidR="00D75EBB" w:rsidRDefault="006E7E08" w:rsidP="00D75EB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578013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BBA1A7" w14:textId="77777777" w:rsidR="00D75EBB" w:rsidRDefault="00B96273" w:rsidP="000937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235593D" w14:textId="77777777" w:rsidR="00D75EBB" w:rsidRDefault="006E7E08" w:rsidP="00D75E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2E2DB" w14:textId="77777777" w:rsidR="006E7E08" w:rsidRDefault="006E7E08">
      <w:r>
        <w:separator/>
      </w:r>
    </w:p>
  </w:footnote>
  <w:footnote w:type="continuationSeparator" w:id="0">
    <w:p w14:paraId="69A84A5C" w14:textId="77777777" w:rsidR="006E7E08" w:rsidRDefault="006E7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5E2E" w14:textId="77777777" w:rsidR="008573F1" w:rsidRDefault="006E7E08" w:rsidP="004A10BE">
    <w:pPr>
      <w:pStyle w:val="Header"/>
    </w:pPr>
  </w:p>
  <w:p w14:paraId="006DDA97" w14:textId="77777777" w:rsidR="008573F1" w:rsidRDefault="006E7E08" w:rsidP="004A10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A6"/>
    <w:rsid w:val="00053DD7"/>
    <w:rsid w:val="00313461"/>
    <w:rsid w:val="003250D8"/>
    <w:rsid w:val="00345AD6"/>
    <w:rsid w:val="00674951"/>
    <w:rsid w:val="006E7E08"/>
    <w:rsid w:val="0074425D"/>
    <w:rsid w:val="007577AB"/>
    <w:rsid w:val="007B1336"/>
    <w:rsid w:val="007B30A9"/>
    <w:rsid w:val="007E4894"/>
    <w:rsid w:val="007E57A1"/>
    <w:rsid w:val="00854B2D"/>
    <w:rsid w:val="008C666B"/>
    <w:rsid w:val="00900B1B"/>
    <w:rsid w:val="00931C96"/>
    <w:rsid w:val="00A71506"/>
    <w:rsid w:val="00A93A7F"/>
    <w:rsid w:val="00AA2684"/>
    <w:rsid w:val="00B96273"/>
    <w:rsid w:val="00CB44A6"/>
    <w:rsid w:val="00D41490"/>
    <w:rsid w:val="00E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9F8EB"/>
  <w15:chartTrackingRefBased/>
  <w15:docId w15:val="{DAE72CD5-47F2-0F4A-B4CE-A86E7367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4A6"/>
    <w:rPr>
      <w:rFonts w:ascii="Times New Roman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B44A6"/>
    <w:pPr>
      <w:spacing w:before="120"/>
      <w:ind w:firstLine="720"/>
    </w:pPr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rsid w:val="00CB44A6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CB44A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rsid w:val="00CB44A6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CB44A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CB44A6"/>
  </w:style>
  <w:style w:type="paragraph" w:styleId="NormalWeb">
    <w:name w:val="Normal (Web)"/>
    <w:basedOn w:val="Normal"/>
    <w:uiPriority w:val="99"/>
    <w:unhideWhenUsed/>
    <w:rsid w:val="00CB44A6"/>
    <w:pPr>
      <w:spacing w:before="100" w:beforeAutospacing="1" w:after="100" w:afterAutospacing="1"/>
    </w:pPr>
    <w:rPr>
      <w:rFonts w:eastAsia="Times New Roman"/>
      <w:sz w:val="24"/>
      <w:szCs w:val="24"/>
      <w:lang w:val="en-GB" w:eastAsia="zh-CN"/>
    </w:rPr>
  </w:style>
  <w:style w:type="paragraph" w:styleId="Revision">
    <w:name w:val="Revision"/>
    <w:hidden/>
    <w:uiPriority w:val="99"/>
    <w:semiHidden/>
    <w:rsid w:val="007B30A9"/>
    <w:rPr>
      <w:rFonts w:ascii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48F3E4F-DC8D-1C41-B4BB-D9248D841969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Ng, Soon Seng</dc:creator>
  <cp:keywords/>
  <dc:description/>
  <cp:lastModifiedBy>Ng, Soon Seng</cp:lastModifiedBy>
  <cp:revision>4</cp:revision>
  <cp:lastPrinted>2021-10-22T15:36:00Z</cp:lastPrinted>
  <dcterms:created xsi:type="dcterms:W3CDTF">2022-01-21T10:05:00Z</dcterms:created>
  <dcterms:modified xsi:type="dcterms:W3CDTF">2022-01-21T10:06:00Z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documentId_6497</vt:lpwstr>
  </property>
  <property fmtid="{D5CDD505-2E9C-101B-9397-08002B2CF9AE}" pid="3" name="grammarly_documentContext">
    <vt:lpwstr>{"goals":[],"domain":"general","emotions":[],"dialect":"american"}</vt:lpwstr>
  </property>
</Properties>
</file>