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7D96" w14:textId="77777777" w:rsidR="009E5166" w:rsidRPr="00ED1DDD" w:rsidRDefault="00A3786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32"/>
        </w:rPr>
      </w:pPr>
      <w:r w:rsidRPr="00ED1DDD">
        <w:rPr>
          <w:rFonts w:ascii="Times New Roman" w:eastAsia="宋体" w:hAnsi="Times New Roman" w:cs="Times New Roman"/>
          <w:b/>
          <w:bCs/>
          <w:sz w:val="28"/>
          <w:szCs w:val="32"/>
        </w:rPr>
        <w:t>Supplementary Information</w:t>
      </w:r>
    </w:p>
    <w:p w14:paraId="0ED7C461" w14:textId="128B3A15" w:rsidR="009E5166" w:rsidRPr="00ED1DDD" w:rsidRDefault="00A3786B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D1DDD">
        <w:rPr>
          <w:rFonts w:ascii="Times New Roman" w:eastAsia="宋体" w:hAnsi="Times New Roman" w:cs="Times New Roman"/>
          <w:b/>
          <w:bCs/>
          <w:sz w:val="24"/>
          <w:szCs w:val="24"/>
        </w:rPr>
        <w:t>Toughness improvement of epoxy composites using a kind of environment-friendly bio-based polyester polyol</w:t>
      </w:r>
    </w:p>
    <w:p w14:paraId="06956B66" w14:textId="023FF141" w:rsidR="009E5166" w:rsidRPr="00ED1DDD" w:rsidRDefault="00A3786B">
      <w:pPr>
        <w:widowControl/>
        <w:spacing w:line="360" w:lineRule="auto"/>
        <w:jc w:val="center"/>
        <w:rPr>
          <w:rFonts w:ascii="Times New Roman" w:eastAsia="宋体" w:hAnsi="Times New Roman" w:cs="Times New Roman"/>
          <w:sz w:val="24"/>
          <w:szCs w:val="24"/>
          <w:vertAlign w:val="superscript"/>
        </w:rPr>
      </w:pPr>
      <w:proofErr w:type="spellStart"/>
      <w:r w:rsidRPr="00ED1DDD">
        <w:rPr>
          <w:rFonts w:ascii="Times New Roman" w:eastAsia="宋体" w:hAnsi="Times New Roman" w:cs="Times New Roman"/>
          <w:sz w:val="24"/>
          <w:szCs w:val="24"/>
        </w:rPr>
        <w:t>Xinyu</w:t>
      </w:r>
      <w:proofErr w:type="spellEnd"/>
      <w:r w:rsidRPr="00ED1DDD">
        <w:rPr>
          <w:rFonts w:ascii="Times New Roman" w:eastAsia="宋体" w:hAnsi="Times New Roman" w:cs="Times New Roman"/>
          <w:sz w:val="24"/>
          <w:szCs w:val="24"/>
        </w:rPr>
        <w:t xml:space="preserve"> Shang </w:t>
      </w:r>
      <w:r w:rsidRPr="00ED1DDD">
        <w:rPr>
          <w:rFonts w:ascii="Times New Roman" w:eastAsia="宋体" w:hAnsi="Times New Roman" w:cs="Times New Roman"/>
          <w:sz w:val="24"/>
          <w:szCs w:val="24"/>
          <w:vertAlign w:val="superscript"/>
        </w:rPr>
        <w:t>1, 2</w:t>
      </w:r>
      <w:r w:rsidRPr="00ED1DDD">
        <w:rPr>
          <w:rFonts w:ascii="Times New Roman" w:eastAsia="宋体" w:hAnsi="Times New Roman" w:cs="Times New Roman"/>
          <w:sz w:val="24"/>
          <w:szCs w:val="24"/>
        </w:rPr>
        <w:t>, Lei Xue</w:t>
      </w:r>
      <w:r w:rsidRPr="00ED1DDD">
        <w:rPr>
          <w:rFonts w:ascii="Times New Roman" w:eastAsia="宋体" w:hAnsi="Times New Roman" w:cs="Times New Roman"/>
          <w:sz w:val="24"/>
          <w:szCs w:val="24"/>
          <w:vertAlign w:val="superscript"/>
        </w:rPr>
        <w:t>1, 2</w:t>
      </w:r>
      <w:r w:rsidRPr="00ED1DDD">
        <w:rPr>
          <w:rFonts w:ascii="Times New Roman" w:eastAsia="宋体" w:hAnsi="Times New Roman" w:cs="Times New Roman"/>
          <w:sz w:val="24"/>
          <w:szCs w:val="24"/>
        </w:rPr>
        <w:t xml:space="preserve">, </w:t>
      </w:r>
      <w:proofErr w:type="spellStart"/>
      <w:r w:rsidRPr="00ED1DDD">
        <w:rPr>
          <w:rFonts w:ascii="Times New Roman" w:eastAsia="宋体" w:hAnsi="Times New Roman" w:cs="Times New Roman"/>
          <w:sz w:val="24"/>
          <w:szCs w:val="24"/>
        </w:rPr>
        <w:t>Yanhua</w:t>
      </w:r>
      <w:proofErr w:type="spellEnd"/>
      <w:r w:rsidRPr="00ED1DDD">
        <w:rPr>
          <w:rFonts w:ascii="Times New Roman" w:eastAsia="宋体" w:hAnsi="Times New Roman" w:cs="Times New Roman"/>
          <w:sz w:val="24"/>
          <w:szCs w:val="24"/>
        </w:rPr>
        <w:t xml:space="preserve"> Zhang </w:t>
      </w:r>
      <w:r w:rsidRPr="00ED1DDD">
        <w:rPr>
          <w:rFonts w:ascii="Times New Roman" w:eastAsia="宋体" w:hAnsi="Times New Roman" w:cs="Times New Roman"/>
          <w:sz w:val="24"/>
          <w:szCs w:val="24"/>
          <w:vertAlign w:val="superscript"/>
        </w:rPr>
        <w:t>1,2*</w:t>
      </w:r>
    </w:p>
    <w:p w14:paraId="2D45D756" w14:textId="77777777" w:rsidR="009E5166" w:rsidRPr="00ED1DDD" w:rsidRDefault="00A3786B" w:rsidP="00066AF6">
      <w:pPr>
        <w:jc w:val="left"/>
        <w:rPr>
          <w:rFonts w:ascii="Times New Roman" w:hAnsi="Times New Roman" w:cs="Times New Roman"/>
          <w:iCs/>
          <w:szCs w:val="21"/>
        </w:rPr>
      </w:pPr>
      <w:r w:rsidRPr="00ED1DDD">
        <w:rPr>
          <w:rFonts w:ascii="Times New Roman" w:hAnsi="Times New Roman" w:cs="Times New Roman"/>
          <w:iCs/>
          <w:szCs w:val="21"/>
        </w:rPr>
        <w:t>1. Key Laboratory of Bio-based Material Science &amp; Technology (Northeast Forestry University), Ministry of Education, Harbin 150040, China.</w:t>
      </w:r>
    </w:p>
    <w:p w14:paraId="6B62C951" w14:textId="77777777" w:rsidR="009E5166" w:rsidRPr="00ED1DDD" w:rsidRDefault="00A3786B" w:rsidP="00066AF6">
      <w:pPr>
        <w:jc w:val="left"/>
        <w:rPr>
          <w:rFonts w:ascii="Times New Roman" w:hAnsi="Times New Roman" w:cs="Times New Roman"/>
          <w:iCs/>
          <w:szCs w:val="21"/>
        </w:rPr>
      </w:pPr>
      <w:r w:rsidRPr="00ED1DDD">
        <w:rPr>
          <w:rFonts w:ascii="Times New Roman" w:hAnsi="Times New Roman" w:cs="Times New Roman"/>
          <w:iCs/>
          <w:szCs w:val="21"/>
        </w:rPr>
        <w:t>2. Engineering Research Center of Advanced Wooden Materials (Northeast Forestry University), Ministry of Education, Harbin 150040, China</w:t>
      </w:r>
    </w:p>
    <w:p w14:paraId="47D228C7" w14:textId="77777777" w:rsidR="009E5166" w:rsidRPr="00ED1DDD" w:rsidRDefault="00A3786B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ED1DDD">
        <w:rPr>
          <w:rFonts w:ascii="Times New Roman" w:eastAsia="宋体" w:hAnsi="Times New Roman" w:cs="Times New Roman"/>
          <w:sz w:val="24"/>
          <w:szCs w:val="24"/>
        </w:rPr>
        <w:t xml:space="preserve">*Corresponding authors: </w:t>
      </w:r>
    </w:p>
    <w:p w14:paraId="647339F9" w14:textId="2E78E351" w:rsidR="009E5166" w:rsidRPr="00ED1DDD" w:rsidRDefault="00A3786B">
      <w:pPr>
        <w:widowControl/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0" w:name="_Hlk92881892"/>
      <w:proofErr w:type="spellStart"/>
      <w:r w:rsidRPr="00ED1DDD">
        <w:rPr>
          <w:rFonts w:ascii="Times New Roman" w:eastAsia="宋体" w:hAnsi="Times New Roman" w:cs="Times New Roman"/>
          <w:sz w:val="24"/>
          <w:szCs w:val="24"/>
        </w:rPr>
        <w:t>Yanhua</w:t>
      </w:r>
      <w:proofErr w:type="spellEnd"/>
      <w:r w:rsidRPr="00ED1DDD">
        <w:rPr>
          <w:rFonts w:ascii="Times New Roman" w:eastAsia="宋体" w:hAnsi="Times New Roman" w:cs="Times New Roman"/>
          <w:sz w:val="24"/>
          <w:szCs w:val="24"/>
        </w:rPr>
        <w:t xml:space="preserve"> Zhang,</w:t>
      </w:r>
      <w:r w:rsidR="00066AF6" w:rsidRPr="00ED1DDD">
        <w:rPr>
          <w:rFonts w:ascii="Times New Roman" w:eastAsia="宋体" w:hAnsi="Times New Roman" w:cs="Times New Roman"/>
          <w:sz w:val="24"/>
          <w:szCs w:val="24"/>
        </w:rPr>
        <w:t xml:space="preserve"> E-mail: zhangyanhua@nefu.edu.cn, Tel: (+86) 18045098468</w:t>
      </w:r>
      <w:bookmarkEnd w:id="0"/>
    </w:p>
    <w:p w14:paraId="338403F0" w14:textId="35CF23B3" w:rsidR="009E5166" w:rsidRPr="00ED1DDD" w:rsidRDefault="00A3786B">
      <w:pPr>
        <w:widowControl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ED1DDD">
        <w:rPr>
          <w:rFonts w:ascii="Times New Roman" w:eastAsia="宋体" w:hAnsi="Times New Roman" w:cs="Times New Roman"/>
          <w:b/>
          <w:bCs/>
          <w:sz w:val="24"/>
          <w:szCs w:val="24"/>
        </w:rPr>
        <w:t>Supplement</w:t>
      </w:r>
      <w:r w:rsidR="00066AF6" w:rsidRPr="00ED1DDD">
        <w:rPr>
          <w:rFonts w:ascii="Times New Roman" w:eastAsia="宋体" w:hAnsi="Times New Roman" w:cs="Times New Roman"/>
          <w:b/>
          <w:bCs/>
          <w:sz w:val="24"/>
          <w:szCs w:val="24"/>
        </w:rPr>
        <w:t>：</w:t>
      </w:r>
    </w:p>
    <w:p w14:paraId="1553401C" w14:textId="77777777" w:rsidR="00066AF6" w:rsidRPr="00ED1DDD" w:rsidRDefault="00066AF6" w:rsidP="00066A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D1DDD">
        <w:rPr>
          <w:rFonts w:ascii="Times New Roman" w:hAnsi="Times New Roman" w:cs="Times New Roman"/>
          <w:sz w:val="24"/>
          <w:szCs w:val="24"/>
        </w:rPr>
        <w:t>2.4. Characterizations</w:t>
      </w:r>
    </w:p>
    <w:p w14:paraId="3F7D6106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>The rotational viscometer (NDJ-5s) was used to determine the viscosity and flow behavior of LLP. According to its approximate viscosity, the appropriate rotor size and speed were chosen and tested in parallel three times.</w:t>
      </w:r>
    </w:p>
    <w:p w14:paraId="4008381B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The acid value of lignin-based polyester polyols was obtained according to the HG/T 2708-95. The calculation </w:t>
      </w:r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>equation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 (2-1) is as follows:</w:t>
      </w:r>
    </w:p>
    <w:p w14:paraId="165D2DD7" w14:textId="77777777" w:rsidR="00066AF6" w:rsidRPr="00ED1DDD" w:rsidRDefault="00066AF6" w:rsidP="00066AF6">
      <w:pPr>
        <w:spacing w:line="276" w:lineRule="auto"/>
        <w:rPr>
          <w:rFonts w:ascii="Times New Roman" w:eastAsia="宋体" w:hAnsi="Times New Roman" w:cs="Times New Roman"/>
          <w:b/>
          <w:szCs w:val="21"/>
          <w:u w:color="000000"/>
        </w:rPr>
      </w:pPr>
    </w:p>
    <w:p w14:paraId="0FB45644" w14:textId="77777777" w:rsidR="00066AF6" w:rsidRPr="00ED1DDD" w:rsidRDefault="008B766E" w:rsidP="00066AF6">
      <w:pPr>
        <w:spacing w:line="276" w:lineRule="auto"/>
        <w:rPr>
          <w:rFonts w:ascii="Times New Roman" w:eastAsia="宋体" w:hAnsi="Times New Roman" w:cs="Times New Roman"/>
          <w:b/>
          <w:szCs w:val="21"/>
          <w:u w:color="000000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b/>
                  <w:szCs w:val="21"/>
                  <w:u w:color="00000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1</m:t>
              </m:r>
            </m:sub>
          </m:sSub>
          <m:r>
            <m:rPr>
              <m:sty m:val="b"/>
            </m:rPr>
            <w:rPr>
              <w:rFonts w:ascii="Cambria Math" w:eastAsia="宋体" w:hAnsi="Cambria Math" w:cs="Times New Roman"/>
              <w:szCs w:val="21"/>
              <w:u w:color="000000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b/>
                  <w:szCs w:val="21"/>
                  <w:u w:color="00000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(V-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b/>
                      <w:szCs w:val="21"/>
                      <w:u w:color="00000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宋体" w:hAnsi="Cambria Math" w:cs="Times New Roman"/>
                      <w:szCs w:val="21"/>
                      <w:u w:color="000000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宋体" w:hAnsi="Cambria Math" w:cs="Times New Roman"/>
                      <w:szCs w:val="21"/>
                      <w:u w:color="000000"/>
                    </w:rPr>
                    <m:t>0</m:t>
                  </m:r>
                </m:sub>
              </m:sSub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)c×56.11</m:t>
              </m:r>
            </m:num>
            <m:den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m</m:t>
              </m:r>
            </m:den>
          </m:f>
          <m:r>
            <m:rPr>
              <m:sty m:val="b"/>
            </m:rPr>
            <w:rPr>
              <w:rFonts w:ascii="Cambria Math" w:eastAsia="宋体" w:hAnsi="Cambria Math" w:cs="Times New Roman"/>
              <w:szCs w:val="21"/>
              <w:u w:color="000000"/>
            </w:rPr>
            <m:t xml:space="preserve">                                                                  (2-1)</m:t>
          </m:r>
        </m:oMath>
      </m:oMathPara>
    </w:p>
    <w:p w14:paraId="145E3B48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The hydroxyl value of lignin-based polyester polyol was measured according to the HG/T 2709-95. The calculation </w:t>
      </w:r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>equation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 (2-2) is as follows:</w:t>
      </w:r>
    </w:p>
    <w:p w14:paraId="7E15050E" w14:textId="77777777" w:rsidR="00066AF6" w:rsidRPr="00ED1DDD" w:rsidRDefault="00066AF6" w:rsidP="00066AF6">
      <w:pPr>
        <w:spacing w:line="276" w:lineRule="auto"/>
        <w:rPr>
          <w:rFonts w:ascii="Times New Roman" w:eastAsia="宋体" w:hAnsi="Times New Roman" w:cs="Times New Roman"/>
          <w:szCs w:val="21"/>
          <w:u w:color="000000"/>
        </w:rPr>
      </w:pPr>
    </w:p>
    <w:p w14:paraId="076FEA5E" w14:textId="77777777" w:rsidR="00066AF6" w:rsidRPr="00ED1DDD" w:rsidRDefault="008B766E" w:rsidP="00066AF6">
      <w:pPr>
        <w:spacing w:line="276" w:lineRule="auto"/>
        <w:rPr>
          <w:rFonts w:ascii="Times New Roman" w:eastAsia="宋体" w:hAnsi="Times New Roman" w:cs="Times New Roman"/>
          <w:bCs/>
          <w:szCs w:val="21"/>
          <w:u w:color="000000"/>
        </w:rPr>
      </w:pPr>
      <m:oMathPara>
        <m:oMath>
          <m:sSub>
            <m:sSubPr>
              <m:ctrlPr>
                <w:rPr>
                  <w:rFonts w:ascii="Cambria Math" w:eastAsia="宋体" w:hAnsi="Cambria Math" w:cs="Times New Roman"/>
                  <w:b/>
                  <w:bCs/>
                  <w:szCs w:val="21"/>
                  <w:u w:color="00000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2</m:t>
              </m:r>
            </m:sub>
          </m:sSub>
          <m:r>
            <m:rPr>
              <m:sty m:val="b"/>
            </m:rPr>
            <w:rPr>
              <w:rFonts w:ascii="Cambria Math" w:eastAsia="宋体" w:hAnsi="Cambria Math" w:cs="Times New Roman"/>
              <w:szCs w:val="21"/>
              <w:u w:color="000000"/>
            </w:rPr>
            <m:t>=</m:t>
          </m:r>
          <m:f>
            <m:fPr>
              <m:ctrlPr>
                <w:rPr>
                  <w:rFonts w:ascii="Cambria Math" w:eastAsia="宋体" w:hAnsi="Cambria Math" w:cs="Times New Roman"/>
                  <w:b/>
                  <w:bCs/>
                  <w:szCs w:val="21"/>
                  <w:u w:color="000000"/>
                </w:rPr>
              </m:ctrlPr>
            </m:fPr>
            <m:num>
              <m:d>
                <m:dPr>
                  <m:ctrlPr>
                    <w:rPr>
                      <w:rFonts w:ascii="Cambria Math" w:eastAsia="宋体" w:hAnsi="Cambria Math" w:cs="Times New Roman"/>
                      <w:b/>
                      <w:bCs/>
                      <w:szCs w:val="21"/>
                      <w:u w:color="000000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eastAsia="宋体" w:hAnsi="Cambria Math" w:cs="Times New Roman"/>
                      <w:szCs w:val="21"/>
                      <w:u w:color="000000"/>
                    </w:rPr>
                    <m:t>V-</m:t>
                  </m:r>
                  <m:sSub>
                    <m:sSubPr>
                      <m:ctrlPr>
                        <w:rPr>
                          <w:rFonts w:ascii="Cambria Math" w:eastAsia="宋体" w:hAnsi="Cambria Math" w:cs="Times New Roman"/>
                          <w:b/>
                          <w:bCs/>
                          <w:szCs w:val="21"/>
                          <w:u w:color="00000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eastAsia="宋体" w:hAnsi="Cambria Math" w:cs="Times New Roman"/>
                          <w:szCs w:val="21"/>
                          <w:u w:color="000000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宋体" w:hAnsi="Cambria Math" w:cs="Times New Roman"/>
                          <w:szCs w:val="21"/>
                          <w:u w:color="000000"/>
                        </w:rPr>
                        <m:t>0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c×56.11</m:t>
              </m:r>
            </m:num>
            <m:den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m</m:t>
              </m:r>
            </m:den>
          </m:f>
          <m:r>
            <m:rPr>
              <m:sty m:val="b"/>
            </m:rPr>
            <w:rPr>
              <w:rFonts w:ascii="Cambria Math" w:eastAsia="宋体" w:hAnsi="Cambria Math" w:cs="Times New Roman"/>
              <w:szCs w:val="21"/>
              <w:u w:color="000000"/>
            </w:rPr>
            <m:t>+</m:t>
          </m:r>
          <m:sSub>
            <m:sSubPr>
              <m:ctrlPr>
                <w:rPr>
                  <w:rFonts w:ascii="Cambria Math" w:eastAsia="宋体" w:hAnsi="Cambria Math" w:cs="Times New Roman"/>
                  <w:b/>
                  <w:bCs/>
                  <w:szCs w:val="21"/>
                  <w:u w:color="000000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X</m:t>
              </m:r>
            </m:e>
            <m:sub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1</m:t>
              </m:r>
            </m:sub>
          </m:sSub>
          <m:r>
            <m:rPr>
              <m:sty m:val="b"/>
            </m:rPr>
            <w:rPr>
              <w:rFonts w:ascii="Cambria Math" w:eastAsia="宋体" w:hAnsi="Cambria Math" w:cs="Times New Roman"/>
              <w:szCs w:val="21"/>
              <w:u w:color="000000"/>
            </w:rPr>
            <m:t xml:space="preserve">                                                       </m:t>
          </m:r>
          <m:d>
            <m:dPr>
              <m:ctrlPr>
                <w:rPr>
                  <w:rFonts w:ascii="Cambria Math" w:eastAsia="宋体" w:hAnsi="Cambria Math" w:cs="Times New Roman"/>
                  <w:b/>
                  <w:bCs/>
                  <w:szCs w:val="21"/>
                  <w:u w:color="000000"/>
                </w:rPr>
              </m:ctrlPr>
            </m:dPr>
            <m:e>
              <m:r>
                <m:rPr>
                  <m:sty m:val="b"/>
                </m:rPr>
                <w:rPr>
                  <w:rFonts w:ascii="Cambria Math" w:eastAsia="宋体" w:hAnsi="Cambria Math" w:cs="Times New Roman"/>
                  <w:szCs w:val="21"/>
                  <w:u w:color="000000"/>
                </w:rPr>
                <m:t>2-2</m:t>
              </m:r>
            </m:e>
          </m:d>
        </m:oMath>
      </m:oMathPara>
    </w:p>
    <w:p w14:paraId="6B7ECA6C" w14:textId="77777777" w:rsidR="00066AF6" w:rsidRPr="00ED1DDD" w:rsidRDefault="00066AF6" w:rsidP="00066AF6">
      <w:pPr>
        <w:spacing w:line="276" w:lineRule="auto"/>
        <w:rPr>
          <w:rFonts w:ascii="Times New Roman" w:eastAsia="宋体" w:hAnsi="Times New Roman" w:cs="Times New Roman"/>
          <w:bCs/>
          <w:szCs w:val="21"/>
          <w:u w:color="000000"/>
        </w:rPr>
      </w:pPr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 xml:space="preserve">where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szCs w:val="21"/>
                <w:u w:color="000000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u w:color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u w:color="000000"/>
              </w:rPr>
              <m:t>1</m:t>
            </m:r>
          </m:sub>
        </m:sSub>
      </m:oMath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 xml:space="preserve"> (mg KOH/g) is the acid value,</w:t>
      </w:r>
      <m:oMath>
        <m:r>
          <m:rPr>
            <m:sty m:val="p"/>
          </m:rPr>
          <w:rPr>
            <w:rFonts w:ascii="Cambria Math" w:eastAsia="宋体" w:hAnsi="Cambria Math" w:cs="Times New Roman"/>
            <w:szCs w:val="21"/>
            <w:u w:color="000000"/>
          </w:rPr>
          <m:t xml:space="preserve"> </m:t>
        </m:r>
        <m:sSub>
          <m:sSubPr>
            <m:ctrlPr>
              <w:rPr>
                <w:rFonts w:ascii="Cambria Math" w:eastAsia="宋体" w:hAnsi="Cambria Math" w:cs="Times New Roman"/>
                <w:bCs/>
                <w:szCs w:val="21"/>
                <w:u w:color="000000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u w:color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u w:color="000000"/>
              </w:rPr>
              <m:t>2</m:t>
            </m:r>
          </m:sub>
        </m:sSub>
      </m:oMath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 xml:space="preserve"> (mg KOH/g) is the 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>hydroxyl value,</w:t>
      </w:r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 xml:space="preserve"> </w:t>
      </w:r>
      <m:oMath>
        <m:sSub>
          <m:sSubPr>
            <m:ctrlPr>
              <w:rPr>
                <w:rFonts w:ascii="Cambria Math" w:eastAsia="宋体" w:hAnsi="Cambria Math" w:cs="Times New Roman"/>
                <w:bCs/>
                <w:szCs w:val="21"/>
                <w:u w:color="000000"/>
              </w:rPr>
            </m:ctrlPr>
          </m:sSubPr>
          <m:e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u w:color="000000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="宋体" w:hAnsi="Cambria Math" w:cs="Times New Roman"/>
                <w:szCs w:val="21"/>
                <w:u w:color="000000"/>
              </w:rPr>
              <m:t>0</m:t>
            </m:r>
          </m:sub>
        </m:sSub>
        <m:r>
          <m:rPr>
            <m:sty m:val="b"/>
          </m:rPr>
          <w:rPr>
            <w:rFonts w:ascii="Cambria Math" w:eastAsia="宋体" w:hAnsi="Cambria Math" w:cs="Times New Roman"/>
            <w:szCs w:val="21"/>
            <w:u w:color="000000"/>
          </w:rPr>
          <m:t xml:space="preserve"> </m:t>
        </m:r>
      </m:oMath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>(ml) is the consumption of KOH standard titration solution in blank test;</w:t>
      </w:r>
      <m:oMath>
        <m:r>
          <m:rPr>
            <m:sty m:val="b"/>
          </m:rPr>
          <w:rPr>
            <w:rFonts w:ascii="Cambria Math" w:eastAsia="宋体" w:hAnsi="Cambria Math" w:cs="Times New Roman"/>
            <w:szCs w:val="21"/>
            <w:u w:color="000000"/>
          </w:rPr>
          <m:t xml:space="preserve"> </m:t>
        </m:r>
        <m:r>
          <m:rPr>
            <m:sty m:val="p"/>
          </m:rPr>
          <w:rPr>
            <w:rFonts w:ascii="Cambria Math" w:eastAsia="宋体" w:hAnsi="Cambria Math" w:cs="Times New Roman"/>
            <w:szCs w:val="21"/>
            <w:u w:color="000000"/>
          </w:rPr>
          <m:t>V</m:t>
        </m:r>
        <m:r>
          <m:rPr>
            <m:sty m:val="b"/>
          </m:rPr>
          <w:rPr>
            <w:rFonts w:ascii="Cambria Math" w:eastAsia="宋体" w:hAnsi="Cambria Math" w:cs="Times New Roman"/>
            <w:szCs w:val="21"/>
            <w:u w:color="000000"/>
          </w:rPr>
          <m:t xml:space="preserve"> </m:t>
        </m:r>
      </m:oMath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>(ml) is the consumption of KOH standard titration solution when titrating sample;</w:t>
      </w:r>
      <m:oMath>
        <m:r>
          <m:rPr>
            <m:sty m:val="p"/>
          </m:rPr>
          <w:rPr>
            <w:rFonts w:ascii="Cambria Math" w:eastAsia="宋体" w:hAnsi="Cambria Math" w:cs="Times New Roman"/>
            <w:szCs w:val="21"/>
            <w:u w:color="000000"/>
          </w:rPr>
          <m:t xml:space="preserve"> c</m:t>
        </m:r>
      </m:oMath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>(mol/L) is the concentration of KOH standard titration solution;</w:t>
      </w:r>
      <m:oMath>
        <m:r>
          <m:rPr>
            <m:sty m:val="p"/>
          </m:rPr>
          <w:rPr>
            <w:rFonts w:ascii="Cambria Math" w:eastAsia="宋体" w:hAnsi="Cambria Math" w:cs="Times New Roman"/>
            <w:szCs w:val="21"/>
            <w:u w:color="000000"/>
          </w:rPr>
          <m:t xml:space="preserve"> m</m:t>
        </m:r>
        <m:r>
          <m:rPr>
            <m:sty m:val="b"/>
          </m:rPr>
          <w:rPr>
            <w:rFonts w:ascii="Cambria Math" w:eastAsia="宋体" w:hAnsi="Cambria Math" w:cs="Times New Roman"/>
            <w:szCs w:val="21"/>
            <w:u w:color="000000"/>
          </w:rPr>
          <m:t xml:space="preserve"> </m:t>
        </m:r>
      </m:oMath>
      <w:r w:rsidRPr="00ED1DDD">
        <w:rPr>
          <w:rFonts w:ascii="Times New Roman" w:eastAsia="宋体" w:hAnsi="Times New Roman" w:cs="Times New Roman"/>
          <w:bCs/>
          <w:szCs w:val="21"/>
          <w:u w:color="000000"/>
        </w:rPr>
        <w:t xml:space="preserve">(g) is the weight of the sample. </w:t>
      </w:r>
    </w:p>
    <w:p w14:paraId="00B0EF67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>The chemical analysis of corn straw lignin and liquid lignin polyester polyol (LLP) was appraised by Fourier transform infrared (FTIR) spectrometer (TENSOR II FT-IR, BRUKER) coupled to an attenuated total reflectance (ATR) mode. Each sample was acquired in the 4000-400 cm</w:t>
      </w:r>
      <w:r w:rsidRPr="00ED1DDD">
        <w:rPr>
          <w:rFonts w:ascii="Times New Roman" w:eastAsia="宋体" w:hAnsi="Times New Roman" w:cs="Times New Roman"/>
          <w:szCs w:val="21"/>
          <w:u w:color="000000"/>
          <w:vertAlign w:val="superscript"/>
        </w:rPr>
        <w:t xml:space="preserve">-1 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>spectral range with a scanning resolution of 4 cm</w:t>
      </w:r>
      <w:r w:rsidRPr="00ED1DDD">
        <w:rPr>
          <w:rFonts w:ascii="Times New Roman" w:eastAsia="宋体" w:hAnsi="Times New Roman" w:cs="Times New Roman"/>
          <w:szCs w:val="21"/>
          <w:u w:color="000000"/>
          <w:vertAlign w:val="superscript"/>
        </w:rPr>
        <w:t>-1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>.</w:t>
      </w:r>
    </w:p>
    <w:p w14:paraId="1D482A13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Bending tests were gone through a universal microcomputer-controlled testing machine (CMT-5504) at room temperature of 25 °C equipped with a 5 </w:t>
      </w:r>
      <w:proofErr w:type="spellStart"/>
      <w:r w:rsidRPr="00ED1DDD">
        <w:rPr>
          <w:rFonts w:ascii="Times New Roman" w:eastAsia="宋体" w:hAnsi="Times New Roman" w:cs="Times New Roman"/>
          <w:szCs w:val="21"/>
          <w:u w:color="000000"/>
        </w:rPr>
        <w:t>kN</w:t>
      </w:r>
      <w:proofErr w:type="spellEnd"/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 of load cell. The specimens for Charpy unnotched impact strength were performed using a pendulum impact testing machine (XJC-25Z) according to GB/T1043.1-2008. Each set of experimental data provided for analysis </w:t>
      </w:r>
      <w:r w:rsidRPr="00ED1DDD">
        <w:rPr>
          <w:rFonts w:ascii="Times New Roman" w:eastAsia="宋体" w:hAnsi="Times New Roman" w:cs="Times New Roman"/>
          <w:szCs w:val="21"/>
          <w:u w:color="000000"/>
        </w:rPr>
        <w:lastRenderedPageBreak/>
        <w:t>was of an average value of 6 specimens.</w:t>
      </w:r>
    </w:p>
    <w:p w14:paraId="5BC2237D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Dynamic thermomechanical analysis (DMA) which is used to assess the storage modulus (E') and the tan δ value was performed on a NETZSCH DMA 242E analyzer from -30 °C to 160 °C under the condition of three-point bending mode. It was determined upon heating each sample at a heating rate of 5 °C/min at the frequency of 1 Hz. </w:t>
      </w:r>
    </w:p>
    <w:p w14:paraId="223CC190" w14:textId="6279E6A8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>Thermal stability of the cured epoxy resin with different LLP was investigated through a thermogravimetric analyzer (Q Series-TGA Q50). Each sample (about 8</w:t>
      </w:r>
      <w:r w:rsidR="008B766E">
        <w:rPr>
          <w:rFonts w:ascii="Times New Roman" w:eastAsia="宋体" w:hAnsi="Times New Roman" w:cs="Times New Roman"/>
          <w:szCs w:val="21"/>
          <w:u w:color="000000"/>
        </w:rPr>
        <w:t xml:space="preserve"> 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>mg) was placed in a standard Al</w:t>
      </w:r>
      <w:r w:rsidRPr="00ED1DDD">
        <w:rPr>
          <w:rFonts w:ascii="Times New Roman" w:eastAsia="宋体" w:hAnsi="Times New Roman" w:cs="Times New Roman"/>
          <w:szCs w:val="21"/>
          <w:u w:color="000000"/>
          <w:vertAlign w:val="subscript"/>
        </w:rPr>
        <w:t>2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>O</w:t>
      </w:r>
      <w:r w:rsidRPr="00ED1DDD">
        <w:rPr>
          <w:rFonts w:ascii="Times New Roman" w:eastAsia="宋体" w:hAnsi="Times New Roman" w:cs="Times New Roman"/>
          <w:szCs w:val="21"/>
          <w:u w:color="000000"/>
          <w:vertAlign w:val="subscript"/>
        </w:rPr>
        <w:t xml:space="preserve">3 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>crucible and heated from 25 °C to 600 °C at a heating rate of 10 °C/min under an N</w:t>
      </w:r>
      <w:r w:rsidRPr="00ED1DDD">
        <w:rPr>
          <w:rFonts w:ascii="Times New Roman" w:eastAsia="宋体" w:hAnsi="Times New Roman" w:cs="Times New Roman"/>
          <w:szCs w:val="21"/>
          <w:u w:color="000000"/>
          <w:vertAlign w:val="subscript"/>
        </w:rPr>
        <w:t>2</w:t>
      </w:r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 flow of 20 mL/min. All the thermal degradation parameters were calculated in the analysis software.</w:t>
      </w:r>
    </w:p>
    <w:p w14:paraId="4978DE1F" w14:textId="77777777" w:rsidR="00066AF6" w:rsidRPr="00ED1DDD" w:rsidRDefault="00066AF6" w:rsidP="00066AF6">
      <w:pPr>
        <w:spacing w:line="276" w:lineRule="auto"/>
        <w:ind w:firstLineChars="200" w:firstLine="420"/>
        <w:rPr>
          <w:rFonts w:ascii="Times New Roman" w:eastAsia="宋体" w:hAnsi="Times New Roman" w:cs="Times New Roman"/>
          <w:szCs w:val="21"/>
          <w:u w:color="000000"/>
        </w:rPr>
      </w:pPr>
      <w:r w:rsidRPr="00ED1DDD">
        <w:rPr>
          <w:rFonts w:ascii="Times New Roman" w:eastAsia="宋体" w:hAnsi="Times New Roman" w:cs="Times New Roman"/>
          <w:szCs w:val="21"/>
          <w:u w:color="000000"/>
        </w:rPr>
        <w:t>The morphology of cured epoxy resin was observed via SEM (</w:t>
      </w:r>
      <w:proofErr w:type="spellStart"/>
      <w:r w:rsidRPr="00ED1DDD">
        <w:rPr>
          <w:rFonts w:ascii="Times New Roman" w:eastAsia="宋体" w:hAnsi="Times New Roman" w:cs="Times New Roman"/>
          <w:szCs w:val="21"/>
          <w:u w:color="000000"/>
        </w:rPr>
        <w:t>Apreo</w:t>
      </w:r>
      <w:proofErr w:type="spellEnd"/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, Thermo Scientific). </w:t>
      </w:r>
      <w:bookmarkStart w:id="1" w:name="_Hlk72498204"/>
      <w:r w:rsidRPr="00ED1DDD">
        <w:rPr>
          <w:rFonts w:ascii="Times New Roman" w:eastAsia="宋体" w:hAnsi="Times New Roman" w:cs="Times New Roman"/>
          <w:szCs w:val="21"/>
          <w:u w:color="000000"/>
        </w:rPr>
        <w:t>Cross-sections of</w:t>
      </w:r>
      <w:bookmarkEnd w:id="1"/>
      <w:r w:rsidRPr="00ED1DDD">
        <w:rPr>
          <w:rFonts w:ascii="Times New Roman" w:eastAsia="宋体" w:hAnsi="Times New Roman" w:cs="Times New Roman"/>
          <w:szCs w:val="21"/>
          <w:u w:color="000000"/>
        </w:rPr>
        <w:t xml:space="preserve"> the samples were made by cryo-fracture using liquid nitrogen and put into an airtight dryer. Prior to imaging, each sample was coated with Pt and tested at an accelerating voltage of 5 kV.</w:t>
      </w:r>
    </w:p>
    <w:sectPr w:rsidR="00066AF6" w:rsidRPr="00ED1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0NTI3sjAAQkMLMyUdpeDU4uLM/DyQAkODWgCN2mIfLQAAAA=="/>
  </w:docVars>
  <w:rsids>
    <w:rsidRoot w:val="00FE34F3"/>
    <w:rsid w:val="0003108B"/>
    <w:rsid w:val="00066AF6"/>
    <w:rsid w:val="000F75A3"/>
    <w:rsid w:val="00125480"/>
    <w:rsid w:val="001376FB"/>
    <w:rsid w:val="001679AD"/>
    <w:rsid w:val="001A547E"/>
    <w:rsid w:val="001D42EE"/>
    <w:rsid w:val="001E427A"/>
    <w:rsid w:val="001F108B"/>
    <w:rsid w:val="001F4E67"/>
    <w:rsid w:val="002544A4"/>
    <w:rsid w:val="0028086A"/>
    <w:rsid w:val="00281E1E"/>
    <w:rsid w:val="00357B3D"/>
    <w:rsid w:val="00371CE4"/>
    <w:rsid w:val="003933E0"/>
    <w:rsid w:val="003F4909"/>
    <w:rsid w:val="004315F0"/>
    <w:rsid w:val="00437FB0"/>
    <w:rsid w:val="00451B24"/>
    <w:rsid w:val="00490AE7"/>
    <w:rsid w:val="004A033A"/>
    <w:rsid w:val="004E1A4D"/>
    <w:rsid w:val="004E258A"/>
    <w:rsid w:val="005018C7"/>
    <w:rsid w:val="00536E55"/>
    <w:rsid w:val="0056560D"/>
    <w:rsid w:val="0057411F"/>
    <w:rsid w:val="00640DE7"/>
    <w:rsid w:val="006C082D"/>
    <w:rsid w:val="007250EB"/>
    <w:rsid w:val="007467A5"/>
    <w:rsid w:val="00752DAC"/>
    <w:rsid w:val="00756093"/>
    <w:rsid w:val="0078270D"/>
    <w:rsid w:val="007A242F"/>
    <w:rsid w:val="008B766E"/>
    <w:rsid w:val="00925826"/>
    <w:rsid w:val="00926BCC"/>
    <w:rsid w:val="009B4D8B"/>
    <w:rsid w:val="009E5166"/>
    <w:rsid w:val="00A3786B"/>
    <w:rsid w:val="00AC04F5"/>
    <w:rsid w:val="00AF0B1A"/>
    <w:rsid w:val="00B04D71"/>
    <w:rsid w:val="00B7383B"/>
    <w:rsid w:val="00B76ADB"/>
    <w:rsid w:val="00B907A7"/>
    <w:rsid w:val="00BF6664"/>
    <w:rsid w:val="00C00A80"/>
    <w:rsid w:val="00C3571A"/>
    <w:rsid w:val="00CE2195"/>
    <w:rsid w:val="00D94BE1"/>
    <w:rsid w:val="00DE48F4"/>
    <w:rsid w:val="00DF3DA5"/>
    <w:rsid w:val="00ED1DDD"/>
    <w:rsid w:val="00ED2B00"/>
    <w:rsid w:val="00ED4343"/>
    <w:rsid w:val="00F265F3"/>
    <w:rsid w:val="00F52DA8"/>
    <w:rsid w:val="00F674C1"/>
    <w:rsid w:val="00FE34F3"/>
    <w:rsid w:val="031104F8"/>
    <w:rsid w:val="1E0C6463"/>
    <w:rsid w:val="5413209F"/>
    <w:rsid w:val="6C81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ADE7B"/>
  <w15:docId w15:val="{9F6274BB-7567-4DFD-9CBF-57137334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6">
    <w:name w:val="批注框文本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</w:style>
  <w:style w:type="character" w:customStyle="1" w:styleId="ac">
    <w:name w:val="批注主题 字符"/>
    <w:basedOn w:val="a4"/>
    <w:link w:val="ab"/>
    <w:uiPriority w:val="99"/>
    <w:semiHidden/>
    <w:rPr>
      <w:b/>
      <w:bCs/>
    </w:rPr>
  </w:style>
  <w:style w:type="character" w:styleId="af0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尚 欣宇</dc:creator>
  <cp:lastModifiedBy>尚 欣宇</cp:lastModifiedBy>
  <cp:revision>35</cp:revision>
  <dcterms:created xsi:type="dcterms:W3CDTF">2021-07-19T07:18:00Z</dcterms:created>
  <dcterms:modified xsi:type="dcterms:W3CDTF">2022-01-21T08:10:00Z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9E282487B2B94721845BACF79FD543FB</vt:lpwstr>
  </property>
</Properties>
</file>