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7AA8" w:rsidRDefault="00EF7AA8" w:rsidP="00EF7AA8">
      <w:pPr>
        <w:pStyle w:val="Heading2"/>
        <w:rPr>
          <w:lang w:val="en-US"/>
        </w:rPr>
      </w:pPr>
      <w:r w:rsidRPr="00831FB4">
        <w:rPr>
          <w:lang w:val="en-US"/>
        </w:rPr>
        <w:t>Additional file 3: Papyrus</w:t>
      </w:r>
      <w:r w:rsidRPr="00FF741E">
        <w:rPr>
          <w:lang w:val="en-US"/>
        </w:rPr>
        <w:t xml:space="preserve"> </w:t>
      </w:r>
    </w:p>
    <w:p w:rsidR="00EF7AA8" w:rsidRPr="00D65B92" w:rsidRDefault="00EF7AA8" w:rsidP="00EF7AA8">
      <w:pPr>
        <w:rPr>
          <w:lang w:val="en-US"/>
        </w:rPr>
      </w:pPr>
    </w:p>
    <w:p w:rsidR="00EF7AA8" w:rsidRPr="00FF741E" w:rsidRDefault="00EF7AA8" w:rsidP="00EF7AA8">
      <w:pPr>
        <w:rPr>
          <w:lang w:val="en-US"/>
        </w:rPr>
      </w:pPr>
      <w:r w:rsidRPr="00FF741E">
        <w:rPr>
          <w:lang w:val="en-US"/>
        </w:rPr>
        <w:t>Papyrus</w:t>
      </w:r>
      <w:r>
        <w:rPr>
          <w:rStyle w:val="FootnoteReference"/>
          <w:lang w:val="en-US"/>
        </w:rPr>
        <w:footnoteReference w:id="1"/>
      </w:r>
      <w:r>
        <w:rPr>
          <w:lang w:val="en-US"/>
        </w:rPr>
        <w:t xml:space="preserve"> </w:t>
      </w:r>
      <w:r w:rsidRPr="00FF741E">
        <w:rPr>
          <w:lang w:val="en-US"/>
        </w:rPr>
        <w:t xml:space="preserve">is a visual text analytics software developed initially to support investigative journalists in the evidence gathering and verification work they carry out in the process of writing a paper. In this line of work, analysts seek to be exhaustive to make sure that they did not miss an interesting lead nor overlook an important aspect of the question they are addressing. At the same time, they also need to be able to trace all claims back to their sources. </w:t>
      </w:r>
      <w:proofErr w:type="gramStart"/>
      <w:r w:rsidRPr="00FF741E">
        <w:rPr>
          <w:lang w:val="en-US"/>
        </w:rPr>
        <w:t>In essence, systematic</w:t>
      </w:r>
      <w:proofErr w:type="gramEnd"/>
      <w:r w:rsidRPr="00FF741E">
        <w:rPr>
          <w:lang w:val="en-US"/>
        </w:rPr>
        <w:t xml:space="preserve"> literature review in the scientific community has similar traits. In the present paper, we describe the main characteristics of Papyrus, its text preprocessing pipeline, and its main graphical user interface. We also reflect on the reproducibility of the results obtained by this approach and its suitability for similar literature reviews.</w:t>
      </w:r>
    </w:p>
    <w:p w:rsidR="00EF7AA8" w:rsidRPr="00FF741E" w:rsidRDefault="00EF7AA8" w:rsidP="00EF7AA8">
      <w:pPr>
        <w:pStyle w:val="Heading3"/>
        <w:spacing w:after="240"/>
        <w:rPr>
          <w:lang w:val="en-US"/>
        </w:rPr>
      </w:pPr>
      <w:r w:rsidRPr="00831FB4">
        <w:rPr>
          <w:lang w:val="en-US"/>
        </w:rPr>
        <w:t>Supplementary text 3.1 Description</w:t>
      </w:r>
      <w:r w:rsidRPr="00FF741E">
        <w:rPr>
          <w:lang w:val="en-US"/>
        </w:rPr>
        <w:t xml:space="preserve"> of the </w:t>
      </w:r>
      <w:r>
        <w:rPr>
          <w:lang w:val="en-US"/>
        </w:rPr>
        <w:t xml:space="preserve">Papyrus </w:t>
      </w:r>
      <w:r w:rsidRPr="00FF741E">
        <w:rPr>
          <w:lang w:val="en-US"/>
        </w:rPr>
        <w:t>system</w:t>
      </w:r>
    </w:p>
    <w:p w:rsidR="00EF7AA8" w:rsidRPr="00FF741E" w:rsidRDefault="00EF7AA8" w:rsidP="00EF7AA8">
      <w:pPr>
        <w:rPr>
          <w:rFonts w:ascii="Calibri" w:eastAsia="Calibri" w:hAnsi="Calibri" w:cs="Calibri"/>
          <w:lang w:val="en-US"/>
        </w:rPr>
      </w:pPr>
      <w:r w:rsidRPr="00FF741E">
        <w:rPr>
          <w:rFonts w:ascii="Calibri" w:eastAsia="Calibri" w:hAnsi="Calibri" w:cs="Calibri"/>
          <w:lang w:val="en-US"/>
        </w:rPr>
        <w:t>The main difficulty in analy</w:t>
      </w:r>
      <w:r w:rsidRPr="50921CED">
        <w:rPr>
          <w:rFonts w:ascii="Calibri" w:eastAsia="Calibri" w:hAnsi="Calibri" w:cs="Calibri"/>
          <w:lang w:val="en-US"/>
        </w:rPr>
        <w:t>z</w:t>
      </w:r>
      <w:r w:rsidRPr="00FF741E">
        <w:rPr>
          <w:rFonts w:ascii="Calibri" w:eastAsia="Calibri" w:hAnsi="Calibri" w:cs="Calibri"/>
          <w:lang w:val="en-US"/>
        </w:rPr>
        <w:t>ing textual data stems from its unstructured nature. The Papyrus tool relies on statistical natural language processing (NLP) technology to model the textual contents of large corpora and to extract automatically its latent topics, without assuming any prior knowledge.</w:t>
      </w:r>
      <w:r>
        <w:rPr>
          <w:rFonts w:ascii="Calibri" w:eastAsia="Calibri" w:hAnsi="Calibri" w:cs="Calibri"/>
          <w:lang w:val="en-US"/>
        </w:rPr>
        <w:t xml:space="preserve"> </w:t>
      </w:r>
    </w:p>
    <w:p w:rsidR="00EF7AA8" w:rsidRPr="00FF741E" w:rsidRDefault="00EF7AA8" w:rsidP="00EF7AA8">
      <w:pPr>
        <w:rPr>
          <w:lang w:val="en-US"/>
        </w:rPr>
      </w:pPr>
      <w:r w:rsidRPr="00FF741E">
        <w:rPr>
          <w:lang w:val="en-US"/>
        </w:rPr>
        <w:t xml:space="preserve">The Text Preprocessing Pipeline </w:t>
      </w:r>
    </w:p>
    <w:p w:rsidR="00EF7AA8" w:rsidRDefault="00EF7AA8" w:rsidP="00EF7AA8">
      <w:pPr>
        <w:keepNext/>
      </w:pPr>
      <w:r>
        <w:rPr>
          <w:noProof/>
          <w:lang w:val="en-US"/>
        </w:rPr>
        <mc:AlternateContent>
          <mc:Choice Requires="wps">
            <w:drawing>
              <wp:anchor distT="0" distB="0" distL="114300" distR="114300" simplePos="0" relativeHeight="251661312" behindDoc="0" locked="0" layoutInCell="1" allowOverlap="1" wp14:anchorId="19224BC4" wp14:editId="53C16BC1">
                <wp:simplePos x="0" y="0"/>
                <wp:positionH relativeFrom="margin">
                  <wp:posOffset>3132455</wp:posOffset>
                </wp:positionH>
                <wp:positionV relativeFrom="paragraph">
                  <wp:posOffset>62865</wp:posOffset>
                </wp:positionV>
                <wp:extent cx="311150" cy="260350"/>
                <wp:effectExtent l="0" t="0" r="12700" b="25400"/>
                <wp:wrapNone/>
                <wp:docPr id="3" name="Oval 3"/>
                <wp:cNvGraphicFramePr/>
                <a:graphic xmlns:a="http://schemas.openxmlformats.org/drawingml/2006/main">
                  <a:graphicData uri="http://schemas.microsoft.com/office/word/2010/wordprocessingShape">
                    <wps:wsp>
                      <wps:cNvSpPr/>
                      <wps:spPr>
                        <a:xfrm>
                          <a:off x="0" y="0"/>
                          <a:ext cx="311150" cy="260350"/>
                        </a:xfrm>
                        <a:prstGeom prst="ellipse">
                          <a:avLst/>
                        </a:prstGeom>
                        <a:solidFill>
                          <a:srgbClr val="FFC000"/>
                        </a:solidFill>
                        <a:ln>
                          <a:solidFill>
                            <a:srgbClr val="FFC000"/>
                          </a:solidFill>
                        </a:ln>
                      </wps:spPr>
                      <wps:style>
                        <a:lnRef idx="2">
                          <a:schemeClr val="accent4">
                            <a:shade val="50000"/>
                          </a:schemeClr>
                        </a:lnRef>
                        <a:fillRef idx="1">
                          <a:schemeClr val="accent4"/>
                        </a:fillRef>
                        <a:effectRef idx="0">
                          <a:schemeClr val="accent4"/>
                        </a:effectRef>
                        <a:fontRef idx="minor">
                          <a:schemeClr val="lt1"/>
                        </a:fontRef>
                      </wps:style>
                      <wps:txbx>
                        <w:txbxContent>
                          <w:p w:rsidR="00EF7AA8" w:rsidRPr="00C85F40" w:rsidRDefault="00EF7AA8" w:rsidP="00EF7AA8">
                            <w:pPr>
                              <w:jc w:val="center"/>
                              <w:rPr>
                                <w:sz w:val="24"/>
                                <w:szCs w:val="18"/>
                                <w:lang w:val="nl-NL"/>
                              </w:rPr>
                            </w:pPr>
                            <w:r>
                              <w:rPr>
                                <w:sz w:val="24"/>
                                <w:szCs w:val="18"/>
                                <w:lang w:val="nl-NL"/>
                              </w:rPr>
                              <w:t>3</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224BC4" id="Oval 3" o:spid="_x0000_s1026" style="position:absolute;margin-left:246.65pt;margin-top:4.95pt;width:24.5pt;height:20.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" fillcolor="#ffc000" strokecolor="#ffc000" strokeweight="2pt">
                <v:textbox inset="0,0,0,0">
                  <w:txbxContent>
                    <w:p w:rsidR="00EF7AA8" w:rsidRPr="00C85F40" w:rsidRDefault="00EF7AA8" w:rsidP="00EF7AA8">
                      <w:pPr>
                        <w:jc w:val="center"/>
                        <w:rPr>
                          <w:sz w:val="24"/>
                          <w:szCs w:val="18"/>
                          <w:lang w:val="nl-NL"/>
                        </w:rPr>
                      </w:pPr>
                      <w:r>
                        <w:rPr>
                          <w:sz w:val="24"/>
                          <w:szCs w:val="18"/>
                          <w:lang w:val="nl-NL"/>
                        </w:rPr>
                        <w:t>3</w:t>
                      </w:r>
                    </w:p>
                  </w:txbxContent>
                </v:textbox>
                <w10:wrap anchorx="margin"/>
              </v:oval>
            </w:pict>
          </mc:Fallback>
        </mc:AlternateContent>
      </w:r>
      <w:r>
        <w:rPr>
          <w:noProof/>
          <w:lang w:val="en-US"/>
        </w:rPr>
        <mc:AlternateContent>
          <mc:Choice Requires="wps">
            <w:drawing>
              <wp:anchor distT="0" distB="0" distL="114300" distR="114300" simplePos="0" relativeHeight="251662336" behindDoc="0" locked="0" layoutInCell="1" allowOverlap="1" wp14:anchorId="3E4FA4E1" wp14:editId="10751672">
                <wp:simplePos x="0" y="0"/>
                <wp:positionH relativeFrom="margin">
                  <wp:posOffset>4542155</wp:posOffset>
                </wp:positionH>
                <wp:positionV relativeFrom="paragraph">
                  <wp:posOffset>132715</wp:posOffset>
                </wp:positionV>
                <wp:extent cx="311150" cy="260350"/>
                <wp:effectExtent l="0" t="0" r="12700" b="25400"/>
                <wp:wrapNone/>
                <wp:docPr id="4" name="Oval 4"/>
                <wp:cNvGraphicFramePr/>
                <a:graphic xmlns:a="http://schemas.openxmlformats.org/drawingml/2006/main">
                  <a:graphicData uri="http://schemas.microsoft.com/office/word/2010/wordprocessingShape">
                    <wps:wsp>
                      <wps:cNvSpPr/>
                      <wps:spPr>
                        <a:xfrm>
                          <a:off x="0" y="0"/>
                          <a:ext cx="311150" cy="260350"/>
                        </a:xfrm>
                        <a:prstGeom prst="ellipse">
                          <a:avLst/>
                        </a:prstGeom>
                        <a:solidFill>
                          <a:srgbClr val="FFC000"/>
                        </a:solidFill>
                        <a:ln>
                          <a:solidFill>
                            <a:srgbClr val="FFC000"/>
                          </a:solidFill>
                        </a:ln>
                      </wps:spPr>
                      <wps:style>
                        <a:lnRef idx="2">
                          <a:schemeClr val="accent4">
                            <a:shade val="50000"/>
                          </a:schemeClr>
                        </a:lnRef>
                        <a:fillRef idx="1">
                          <a:schemeClr val="accent4"/>
                        </a:fillRef>
                        <a:effectRef idx="0">
                          <a:schemeClr val="accent4"/>
                        </a:effectRef>
                        <a:fontRef idx="minor">
                          <a:schemeClr val="lt1"/>
                        </a:fontRef>
                      </wps:style>
                      <wps:txbx>
                        <w:txbxContent>
                          <w:p w:rsidR="00EF7AA8" w:rsidRPr="00C85F40" w:rsidRDefault="00EF7AA8" w:rsidP="00EF7AA8">
                            <w:pPr>
                              <w:jc w:val="center"/>
                              <w:rPr>
                                <w:sz w:val="24"/>
                                <w:szCs w:val="18"/>
                                <w:lang w:val="nl-NL"/>
                              </w:rPr>
                            </w:pPr>
                            <w:r>
                              <w:rPr>
                                <w:sz w:val="24"/>
                                <w:szCs w:val="18"/>
                                <w:lang w:val="nl-NL"/>
                              </w:rPr>
                              <w:t>4</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4FA4E1" id="Oval 4" o:spid="_x0000_s1027" style="position:absolute;margin-left:357.65pt;margin-top:10.45pt;width:24.5pt;height:20.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" fillcolor="#ffc000" strokecolor="#ffc000" strokeweight="2pt">
                <v:textbox inset="0,0,0,0">
                  <w:txbxContent>
                    <w:p w:rsidR="00EF7AA8" w:rsidRPr="00C85F40" w:rsidRDefault="00EF7AA8" w:rsidP="00EF7AA8">
                      <w:pPr>
                        <w:jc w:val="center"/>
                        <w:rPr>
                          <w:sz w:val="24"/>
                          <w:szCs w:val="18"/>
                          <w:lang w:val="nl-NL"/>
                        </w:rPr>
                      </w:pPr>
                      <w:r>
                        <w:rPr>
                          <w:sz w:val="24"/>
                          <w:szCs w:val="18"/>
                          <w:lang w:val="nl-NL"/>
                        </w:rPr>
                        <w:t>4</w:t>
                      </w:r>
                    </w:p>
                  </w:txbxContent>
                </v:textbox>
                <w10:wrap anchorx="margin"/>
              </v:oval>
            </w:pict>
          </mc:Fallback>
        </mc:AlternateContent>
      </w:r>
      <w:r>
        <w:rPr>
          <w:noProof/>
          <w:lang w:val="en-US"/>
        </w:rPr>
        <mc:AlternateContent>
          <mc:Choice Requires="wps">
            <w:drawing>
              <wp:anchor distT="0" distB="0" distL="114300" distR="114300" simplePos="0" relativeHeight="251660288" behindDoc="0" locked="0" layoutInCell="1" allowOverlap="1" wp14:anchorId="76EACA8F" wp14:editId="2869C42A">
                <wp:simplePos x="0" y="0"/>
                <wp:positionH relativeFrom="margin">
                  <wp:posOffset>1760855</wp:posOffset>
                </wp:positionH>
                <wp:positionV relativeFrom="paragraph">
                  <wp:posOffset>56515</wp:posOffset>
                </wp:positionV>
                <wp:extent cx="311150" cy="260350"/>
                <wp:effectExtent l="0" t="0" r="12700" b="25400"/>
                <wp:wrapNone/>
                <wp:docPr id="1" name="Oval 1"/>
                <wp:cNvGraphicFramePr/>
                <a:graphic xmlns:a="http://schemas.openxmlformats.org/drawingml/2006/main">
                  <a:graphicData uri="http://schemas.microsoft.com/office/word/2010/wordprocessingShape">
                    <wps:wsp>
                      <wps:cNvSpPr/>
                      <wps:spPr>
                        <a:xfrm>
                          <a:off x="0" y="0"/>
                          <a:ext cx="311150" cy="260350"/>
                        </a:xfrm>
                        <a:prstGeom prst="ellipse">
                          <a:avLst/>
                        </a:prstGeom>
                        <a:solidFill>
                          <a:srgbClr val="FFC000"/>
                        </a:solidFill>
                        <a:ln>
                          <a:solidFill>
                            <a:srgbClr val="FFC000"/>
                          </a:solidFill>
                        </a:ln>
                      </wps:spPr>
                      <wps:style>
                        <a:lnRef idx="2">
                          <a:schemeClr val="accent4">
                            <a:shade val="50000"/>
                          </a:schemeClr>
                        </a:lnRef>
                        <a:fillRef idx="1">
                          <a:schemeClr val="accent4"/>
                        </a:fillRef>
                        <a:effectRef idx="0">
                          <a:schemeClr val="accent4"/>
                        </a:effectRef>
                        <a:fontRef idx="minor">
                          <a:schemeClr val="lt1"/>
                        </a:fontRef>
                      </wps:style>
                      <wps:txbx>
                        <w:txbxContent>
                          <w:p w:rsidR="00EF7AA8" w:rsidRPr="00C85F40" w:rsidRDefault="00EF7AA8" w:rsidP="00EF7AA8">
                            <w:pPr>
                              <w:jc w:val="center"/>
                              <w:rPr>
                                <w:sz w:val="24"/>
                                <w:szCs w:val="18"/>
                                <w:lang w:val="nl-NL"/>
                              </w:rPr>
                            </w:pPr>
                            <w:r>
                              <w:rPr>
                                <w:sz w:val="24"/>
                                <w:szCs w:val="18"/>
                                <w:lang w:val="nl-NL"/>
                              </w:rPr>
                              <w:t>2</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EACA8F" id="Oval 1" o:spid="_x0000_s1028" style="position:absolute;margin-left:138.65pt;margin-top:4.45pt;width:24.5pt;height:20.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" fillcolor="#ffc000" strokecolor="#ffc000" strokeweight="2pt">
                <v:textbox inset="0,0,0,0">
                  <w:txbxContent>
                    <w:p w:rsidR="00EF7AA8" w:rsidRPr="00C85F40" w:rsidRDefault="00EF7AA8" w:rsidP="00EF7AA8">
                      <w:pPr>
                        <w:jc w:val="center"/>
                        <w:rPr>
                          <w:sz w:val="24"/>
                          <w:szCs w:val="18"/>
                          <w:lang w:val="nl-NL"/>
                        </w:rPr>
                      </w:pPr>
                      <w:r>
                        <w:rPr>
                          <w:sz w:val="24"/>
                          <w:szCs w:val="18"/>
                          <w:lang w:val="nl-NL"/>
                        </w:rPr>
                        <w:t>2</w:t>
                      </w:r>
                    </w:p>
                  </w:txbxContent>
                </v:textbox>
                <w10:wrap anchorx="margin"/>
              </v:oval>
            </w:pict>
          </mc:Fallback>
        </mc:AlternateContent>
      </w:r>
      <w:r>
        <w:rPr>
          <w:noProof/>
          <w:lang w:val="en-US"/>
        </w:rPr>
        <mc:AlternateContent>
          <mc:Choice Requires="wps">
            <w:drawing>
              <wp:anchor distT="0" distB="0" distL="114300" distR="114300" simplePos="0" relativeHeight="251659264" behindDoc="0" locked="0" layoutInCell="1" allowOverlap="1" wp14:anchorId="7C974E9A" wp14:editId="53AF77DC">
                <wp:simplePos x="0" y="0"/>
                <wp:positionH relativeFrom="margin">
                  <wp:align>left</wp:align>
                </wp:positionH>
                <wp:positionV relativeFrom="paragraph">
                  <wp:posOffset>50165</wp:posOffset>
                </wp:positionV>
                <wp:extent cx="311150" cy="260350"/>
                <wp:effectExtent l="0" t="0" r="12700" b="25400"/>
                <wp:wrapNone/>
                <wp:docPr id="2" name="Oval 2"/>
                <wp:cNvGraphicFramePr/>
                <a:graphic xmlns:a="http://schemas.openxmlformats.org/drawingml/2006/main">
                  <a:graphicData uri="http://schemas.microsoft.com/office/word/2010/wordprocessingShape">
                    <wps:wsp>
                      <wps:cNvSpPr/>
                      <wps:spPr>
                        <a:xfrm>
                          <a:off x="0" y="0"/>
                          <a:ext cx="311150" cy="260350"/>
                        </a:xfrm>
                        <a:prstGeom prst="ellipse">
                          <a:avLst/>
                        </a:prstGeom>
                        <a:solidFill>
                          <a:srgbClr val="FFC000"/>
                        </a:solidFill>
                        <a:ln>
                          <a:solidFill>
                            <a:srgbClr val="FFC000"/>
                          </a:solidFill>
                        </a:ln>
                      </wps:spPr>
                      <wps:style>
                        <a:lnRef idx="2">
                          <a:schemeClr val="accent4">
                            <a:shade val="50000"/>
                          </a:schemeClr>
                        </a:lnRef>
                        <a:fillRef idx="1">
                          <a:schemeClr val="accent4"/>
                        </a:fillRef>
                        <a:effectRef idx="0">
                          <a:schemeClr val="accent4"/>
                        </a:effectRef>
                        <a:fontRef idx="minor">
                          <a:schemeClr val="lt1"/>
                        </a:fontRef>
                      </wps:style>
                      <wps:txbx>
                        <w:txbxContent>
                          <w:p w:rsidR="00EF7AA8" w:rsidRPr="00C85F40" w:rsidRDefault="00EF7AA8" w:rsidP="00EF7AA8">
                            <w:pPr>
                              <w:jc w:val="center"/>
                              <w:rPr>
                                <w:sz w:val="24"/>
                                <w:szCs w:val="18"/>
                                <w:lang w:val="nl-NL"/>
                              </w:rPr>
                            </w:pPr>
                            <w:r>
                              <w:rPr>
                                <w:sz w:val="24"/>
                                <w:szCs w:val="18"/>
                                <w:lang w:val="nl-NL"/>
                              </w:rPr>
                              <w:t>1</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974E9A" id="Oval 2" o:spid="_x0000_s1029" style="position:absolute;margin-left:0;margin-top:3.95pt;width:24.5pt;height:20.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" fillcolor="#ffc000" strokecolor="#ffc000" strokeweight="2pt">
                <v:textbox inset="0,0,0,0">
                  <w:txbxContent>
                    <w:p w:rsidR="00EF7AA8" w:rsidRPr="00C85F40" w:rsidRDefault="00EF7AA8" w:rsidP="00EF7AA8">
                      <w:pPr>
                        <w:jc w:val="center"/>
                        <w:rPr>
                          <w:sz w:val="24"/>
                          <w:szCs w:val="18"/>
                          <w:lang w:val="nl-NL"/>
                        </w:rPr>
                      </w:pPr>
                      <w:r>
                        <w:rPr>
                          <w:sz w:val="24"/>
                          <w:szCs w:val="18"/>
                          <w:lang w:val="nl-NL"/>
                        </w:rPr>
                        <w:t>1</w:t>
                      </w:r>
                    </w:p>
                  </w:txbxContent>
                </v:textbox>
                <w10:wrap anchorx="margin"/>
              </v:oval>
            </w:pict>
          </mc:Fallback>
        </mc:AlternateContent>
      </w:r>
      <w:r>
        <w:rPr>
          <w:noProof/>
          <w:lang w:val="en-US"/>
        </w:rPr>
        <w:drawing>
          <wp:inline distT="0" distB="0" distL="0" distR="0" wp14:anchorId="0D960DF7" wp14:editId="50A26471">
            <wp:extent cx="5927182" cy="1395358"/>
            <wp:effectExtent l="0" t="0" r="0" b="0"/>
            <wp:docPr id="1709932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927182" cy="1395358"/>
                    </a:xfrm>
                    <a:prstGeom prst="rect">
                      <a:avLst/>
                    </a:prstGeom>
                  </pic:spPr>
                </pic:pic>
              </a:graphicData>
            </a:graphic>
          </wp:inline>
        </w:drawing>
      </w:r>
    </w:p>
    <w:p w:rsidR="00EF7AA8" w:rsidRPr="00B225CE" w:rsidRDefault="00EF7AA8" w:rsidP="00EF7AA8">
      <w:pPr>
        <w:pStyle w:val="Caption"/>
        <w:rPr>
          <w:rFonts w:ascii="Calibri" w:eastAsia="Calibri" w:hAnsi="Calibri" w:cs="Calibri"/>
          <w:lang w:val="en-US"/>
        </w:rPr>
      </w:pPr>
      <w:r>
        <w:t>Supplementary figure 2. The general text processing pipeline</w:t>
      </w:r>
      <w:r>
        <w:rPr>
          <w:noProof/>
        </w:rPr>
        <w:t xml:space="preserve"> of Papyrus comprises four steps: (1) NLP preprocessing, (2) vector space modeling, (3) topic extraction and (4) interactive visualization.</w:t>
      </w:r>
    </w:p>
    <w:p w:rsidR="00EF7AA8" w:rsidRPr="00B225CE" w:rsidRDefault="00EF7AA8" w:rsidP="00EF7AA8">
      <w:pPr>
        <w:pStyle w:val="ListParagraph"/>
        <w:numPr>
          <w:ilvl w:val="0"/>
          <w:numId w:val="2"/>
        </w:numPr>
        <w:rPr>
          <w:rFonts w:ascii="Calibri" w:eastAsia="Calibri" w:hAnsi="Calibri" w:cs="Calibri"/>
          <w:lang w:val="en-US"/>
        </w:rPr>
      </w:pPr>
      <w:r w:rsidRPr="00B225CE">
        <w:rPr>
          <w:rFonts w:ascii="Calibri" w:eastAsia="Calibri" w:hAnsi="Calibri" w:cs="Calibri"/>
          <w:lang w:val="en-US"/>
        </w:rPr>
        <w:t>We use the Stanford Core NLP library</w:t>
      </w:r>
      <w:r>
        <w:rPr>
          <w:rStyle w:val="FootnoteReference"/>
          <w:rFonts w:ascii="Calibri" w:eastAsia="Calibri" w:hAnsi="Calibri" w:cs="Calibri"/>
          <w:lang w:val="en-US"/>
        </w:rPr>
        <w:footnoteReference w:id="2"/>
      </w:r>
      <w:r w:rsidRPr="00B225CE">
        <w:rPr>
          <w:rFonts w:ascii="Calibri" w:eastAsia="Calibri" w:hAnsi="Calibri" w:cs="Calibri"/>
          <w:lang w:val="en-US"/>
        </w:rPr>
        <w:t xml:space="preserve"> to achieve the following text preprocessing steps:</w:t>
      </w:r>
    </w:p>
    <w:p w:rsidR="00EF7AA8" w:rsidRPr="00AE45CF" w:rsidRDefault="00EF7AA8" w:rsidP="00EF7AA8">
      <w:pPr>
        <w:pStyle w:val="ListParagraph"/>
        <w:numPr>
          <w:ilvl w:val="0"/>
          <w:numId w:val="1"/>
        </w:numPr>
        <w:rPr>
          <w:rFonts w:ascii="Calibri" w:eastAsia="Calibri" w:hAnsi="Calibri" w:cs="Calibri"/>
          <w:lang w:val="en-US"/>
        </w:rPr>
      </w:pPr>
      <w:r w:rsidRPr="00AE45CF">
        <w:rPr>
          <w:rFonts w:ascii="Calibri" w:eastAsia="Calibri" w:hAnsi="Calibri" w:cs="Calibri"/>
          <w:lang w:val="en-US"/>
        </w:rPr>
        <w:t>Tokenization – In this step, each paper abstract is segmented into its individual words.</w:t>
      </w:r>
    </w:p>
    <w:p w:rsidR="00EF7AA8" w:rsidRPr="00AE45CF" w:rsidRDefault="00EF7AA8" w:rsidP="00EF7AA8">
      <w:pPr>
        <w:pStyle w:val="ListParagraph"/>
        <w:numPr>
          <w:ilvl w:val="0"/>
          <w:numId w:val="1"/>
        </w:numPr>
        <w:rPr>
          <w:rFonts w:ascii="Calibri" w:eastAsia="Calibri" w:hAnsi="Calibri" w:cs="Calibri"/>
          <w:lang w:val="en-US"/>
        </w:rPr>
      </w:pPr>
      <w:r w:rsidRPr="00AE45CF">
        <w:rPr>
          <w:rFonts w:ascii="Calibri" w:eastAsia="Calibri" w:hAnsi="Calibri" w:cs="Calibri"/>
          <w:lang w:val="en-US"/>
        </w:rPr>
        <w:t xml:space="preserve">Removal of ‘stop words’ – This corresponds to short function words, such as ‘the’, ‘is’, and ‘at’, which do not carry much semantic information, despite being very frequent in natural language. </w:t>
      </w:r>
    </w:p>
    <w:p w:rsidR="00EF7AA8" w:rsidRPr="00AE45CF" w:rsidRDefault="00EF7AA8" w:rsidP="00EF7AA8">
      <w:pPr>
        <w:pStyle w:val="ListParagraph"/>
        <w:numPr>
          <w:ilvl w:val="0"/>
          <w:numId w:val="1"/>
        </w:numPr>
        <w:rPr>
          <w:rFonts w:ascii="Calibri" w:eastAsia="Calibri" w:hAnsi="Calibri" w:cs="Calibri"/>
          <w:lang w:val="en-US"/>
        </w:rPr>
      </w:pPr>
      <w:r w:rsidRPr="00AE45CF">
        <w:rPr>
          <w:rFonts w:ascii="Calibri" w:eastAsia="Calibri" w:hAnsi="Calibri" w:cs="Calibri"/>
          <w:lang w:val="en-US"/>
        </w:rPr>
        <w:t>Lemmatization – In this step, words sharing the same dictionary entry with various inflectional endings are conflated into one entry</w:t>
      </w:r>
      <w:r>
        <w:rPr>
          <w:rFonts w:ascii="Calibri" w:eastAsia="Calibri" w:hAnsi="Calibri" w:cs="Calibri"/>
          <w:lang w:val="en-US"/>
        </w:rPr>
        <w:t xml:space="preserve"> (infects =&gt; infect; clinicians =&gt; clinician)</w:t>
      </w:r>
      <w:r w:rsidRPr="00AE45CF">
        <w:rPr>
          <w:rFonts w:ascii="Calibri" w:eastAsia="Calibri" w:hAnsi="Calibri" w:cs="Calibri"/>
          <w:lang w:val="en-US"/>
        </w:rPr>
        <w:t>.</w:t>
      </w:r>
      <w:r>
        <w:rPr>
          <w:rFonts w:ascii="Calibri" w:eastAsia="Calibri" w:hAnsi="Calibri" w:cs="Calibri"/>
          <w:lang w:val="en-US"/>
        </w:rPr>
        <w:t xml:space="preserve"> (e.g. the plural and singular forms of the same word, like ‘etiology’ and ‘etiologies’, or different forms of the same verb </w:t>
      </w:r>
      <w:proofErr w:type="gramStart"/>
      <w:r>
        <w:rPr>
          <w:rFonts w:ascii="Calibri" w:eastAsia="Calibri" w:hAnsi="Calibri" w:cs="Calibri"/>
          <w:lang w:val="en-US"/>
        </w:rPr>
        <w:t>like</w:t>
      </w:r>
      <w:proofErr w:type="gramEnd"/>
      <w:r>
        <w:rPr>
          <w:rFonts w:ascii="Calibri" w:eastAsia="Calibri" w:hAnsi="Calibri" w:cs="Calibri"/>
          <w:lang w:val="en-US"/>
        </w:rPr>
        <w:t xml:space="preserve"> ‘infect’, ‘infects’, ‘infected’ and ‘infecting’)</w:t>
      </w:r>
      <w:r w:rsidRPr="00AE45CF">
        <w:rPr>
          <w:rFonts w:ascii="Calibri" w:eastAsia="Calibri" w:hAnsi="Calibri" w:cs="Calibri"/>
          <w:lang w:val="en-US"/>
        </w:rPr>
        <w:t>.</w:t>
      </w:r>
    </w:p>
    <w:p w:rsidR="00EF7AA8" w:rsidRPr="00AE45CF" w:rsidRDefault="00EF7AA8" w:rsidP="00EF7AA8">
      <w:pPr>
        <w:pStyle w:val="ListParagraph"/>
        <w:numPr>
          <w:ilvl w:val="0"/>
          <w:numId w:val="1"/>
        </w:numPr>
        <w:rPr>
          <w:rFonts w:ascii="Calibri" w:eastAsia="Calibri" w:hAnsi="Calibri" w:cs="Calibri"/>
          <w:lang w:val="en-US"/>
        </w:rPr>
      </w:pPr>
      <w:r w:rsidRPr="00AE45CF">
        <w:rPr>
          <w:rFonts w:ascii="Calibri" w:eastAsia="Calibri" w:hAnsi="Calibri" w:cs="Calibri"/>
          <w:lang w:val="en-US"/>
        </w:rPr>
        <w:t>Part-of-Speech Tagging – In this step, words are annotated with their grammatical categories, such as ‘noun’, ‘verb’, ‘adjective’ etc.</w:t>
      </w:r>
    </w:p>
    <w:p w:rsidR="00EF7AA8" w:rsidRPr="00AE45CF" w:rsidRDefault="00EF7AA8" w:rsidP="00EF7AA8">
      <w:pPr>
        <w:pStyle w:val="ListParagraph"/>
        <w:numPr>
          <w:ilvl w:val="0"/>
          <w:numId w:val="1"/>
        </w:numPr>
        <w:rPr>
          <w:rFonts w:ascii="Calibri" w:eastAsia="Calibri" w:hAnsi="Calibri" w:cs="Calibri"/>
          <w:lang w:val="en-US"/>
        </w:rPr>
      </w:pPr>
      <w:r w:rsidRPr="00AE45CF">
        <w:rPr>
          <w:rFonts w:ascii="Calibri" w:eastAsia="Calibri" w:hAnsi="Calibri" w:cs="Calibri"/>
          <w:lang w:val="en-US"/>
        </w:rPr>
        <w:lastRenderedPageBreak/>
        <w:t>Named-Entity Recognition – This determines which words correspond to proper names, such as person names, locations, organizations.</w:t>
      </w:r>
      <w:r>
        <w:rPr>
          <w:rFonts w:ascii="Calibri" w:eastAsia="Calibri" w:hAnsi="Calibri" w:cs="Calibri"/>
          <w:lang w:val="en-US"/>
        </w:rPr>
        <w:t xml:space="preserve"> </w:t>
      </w:r>
      <w:r w:rsidRPr="00AE45CF">
        <w:rPr>
          <w:rFonts w:ascii="Calibri" w:eastAsia="Calibri" w:hAnsi="Calibri" w:cs="Calibri"/>
          <w:lang w:val="en-US"/>
        </w:rPr>
        <w:t xml:space="preserve">In the interest of analyzing </w:t>
      </w:r>
      <w:r w:rsidRPr="50921CED">
        <w:rPr>
          <w:rFonts w:ascii="Calibri" w:eastAsia="Calibri" w:hAnsi="Calibri" w:cs="Calibri"/>
          <w:lang w:val="en-US"/>
        </w:rPr>
        <w:t xml:space="preserve">Medical literature, we integrate synonymy information in order to conflate alternative names of geographical entities based on the </w:t>
      </w:r>
      <w:proofErr w:type="spellStart"/>
      <w:r w:rsidRPr="50921CED">
        <w:rPr>
          <w:rFonts w:ascii="Calibri" w:eastAsia="Calibri" w:hAnsi="Calibri" w:cs="Calibri"/>
          <w:lang w:val="en-US"/>
        </w:rPr>
        <w:t>geonames</w:t>
      </w:r>
      <w:proofErr w:type="spellEnd"/>
      <w:r>
        <w:rPr>
          <w:rStyle w:val="FootnoteReference"/>
          <w:rFonts w:ascii="Calibri" w:eastAsia="Calibri" w:hAnsi="Calibri" w:cs="Calibri"/>
          <w:lang w:val="en-US"/>
        </w:rPr>
        <w:footnoteReference w:id="3"/>
      </w:r>
      <w:r w:rsidRPr="50921CED">
        <w:rPr>
          <w:rFonts w:ascii="Calibri" w:eastAsia="Calibri" w:hAnsi="Calibri" w:cs="Calibri"/>
          <w:lang w:val="en-US"/>
        </w:rPr>
        <w:t xml:space="preserve"> database, as well as alternative MESH</w:t>
      </w:r>
      <w:r>
        <w:rPr>
          <w:rStyle w:val="FootnoteReference"/>
          <w:rFonts w:ascii="Calibri" w:eastAsia="Calibri" w:hAnsi="Calibri" w:cs="Calibri"/>
          <w:lang w:val="en-US"/>
        </w:rPr>
        <w:footnoteReference w:id="4"/>
      </w:r>
      <w:r w:rsidRPr="50921CED">
        <w:rPr>
          <w:rFonts w:ascii="Calibri" w:eastAsia="Calibri" w:hAnsi="Calibri" w:cs="Calibri"/>
          <w:lang w:val="en-US"/>
        </w:rPr>
        <w:t xml:space="preserve"> terms for the same medical concepts. For example, the word salpinx and fallopian tube(s) are conflated into the same entry.</w:t>
      </w:r>
    </w:p>
    <w:p w:rsidR="00EF7AA8" w:rsidRDefault="00EF7AA8" w:rsidP="00EF7AA8">
      <w:pPr>
        <w:pStyle w:val="ListParagraph"/>
        <w:numPr>
          <w:ilvl w:val="0"/>
          <w:numId w:val="2"/>
        </w:numPr>
        <w:spacing w:before="240"/>
        <w:rPr>
          <w:rFonts w:ascii="Calibri" w:eastAsia="Calibri" w:hAnsi="Calibri" w:cs="Calibri"/>
          <w:lang w:val="en-US"/>
        </w:rPr>
      </w:pPr>
      <w:r w:rsidRPr="008C2E0E">
        <w:rPr>
          <w:rFonts w:ascii="Calibri" w:eastAsia="Calibri" w:hAnsi="Calibri" w:cs="Calibri"/>
          <w:lang w:val="en-US"/>
        </w:rPr>
        <w:t>Once these steps are executed, a vector space model</w:t>
      </w:r>
      <w:r>
        <w:rPr>
          <w:rFonts w:ascii="Calibri" w:eastAsia="Calibri" w:hAnsi="Calibri" w:cs="Calibri"/>
          <w:lang w:val="en-US"/>
        </w:rPr>
        <w:t>,</w:t>
      </w:r>
      <w:r w:rsidRPr="008C2E0E">
        <w:rPr>
          <w:rFonts w:ascii="Calibri" w:eastAsia="Calibri" w:hAnsi="Calibri" w:cs="Calibri"/>
          <w:lang w:val="en-US"/>
        </w:rPr>
        <w:t xml:space="preserve"> often called a ‘bag of words’</w:t>
      </w:r>
      <w:r>
        <w:rPr>
          <w:rFonts w:ascii="Calibri" w:eastAsia="Calibri" w:hAnsi="Calibri" w:cs="Calibri"/>
          <w:lang w:val="en-US"/>
        </w:rPr>
        <w:t>,</w:t>
      </w:r>
      <w:r w:rsidRPr="008C2E0E">
        <w:rPr>
          <w:rFonts w:ascii="Calibri" w:eastAsia="Calibri" w:hAnsi="Calibri" w:cs="Calibri"/>
          <w:lang w:val="en-US"/>
        </w:rPr>
        <w:t xml:space="preserve"> is built to represent relationships between all words resulting from the text preprocessing and the documents in which they occur. Simple bag of words models may rely on mere word frequencies per document. The Papyrus software leverages the TF-IDF score (short for Term Frequency-Inverse Document Frequency) which minimizes the importance of common words and gives more emphasis to discriminative words.</w:t>
      </w:r>
      <w:r>
        <w:rPr>
          <w:rFonts w:ascii="Calibri" w:eastAsia="Calibri" w:hAnsi="Calibri" w:cs="Calibri"/>
          <w:lang w:val="en-US"/>
        </w:rPr>
        <w:t xml:space="preserve"> </w:t>
      </w:r>
    </w:p>
    <w:p w:rsidR="00EF7AA8" w:rsidRDefault="00EF7AA8" w:rsidP="00EF7AA8">
      <w:pPr>
        <w:pStyle w:val="ListParagraph"/>
        <w:numPr>
          <w:ilvl w:val="0"/>
          <w:numId w:val="2"/>
        </w:numPr>
        <w:spacing w:before="240"/>
        <w:rPr>
          <w:rFonts w:ascii="Calibri" w:eastAsia="Calibri" w:hAnsi="Calibri" w:cs="Calibri"/>
          <w:lang w:val="en-US"/>
        </w:rPr>
      </w:pPr>
      <w:r w:rsidRPr="50921CED">
        <w:rPr>
          <w:rFonts w:ascii="Calibri" w:eastAsia="Calibri" w:hAnsi="Calibri" w:cs="Calibri"/>
          <w:lang w:val="en-US"/>
        </w:rPr>
        <w:t>Based on the fact that the resulting bag-of-words is a sparse matrix</w:t>
      </w:r>
      <w:r>
        <w:rPr>
          <w:rFonts w:ascii="Calibri" w:eastAsia="Calibri" w:hAnsi="Calibri" w:cs="Calibri"/>
          <w:lang w:val="en-US"/>
        </w:rPr>
        <w:t xml:space="preserve"> (i.e. very few non-zero elements)</w:t>
      </w:r>
      <w:r w:rsidRPr="50921CED">
        <w:rPr>
          <w:rFonts w:ascii="Calibri" w:eastAsia="Calibri" w:hAnsi="Calibri" w:cs="Calibri"/>
          <w:lang w:val="en-US"/>
        </w:rPr>
        <w:t xml:space="preserve">, Papyrus uses the </w:t>
      </w:r>
      <w:proofErr w:type="spellStart"/>
      <w:r w:rsidRPr="50921CED">
        <w:rPr>
          <w:rFonts w:ascii="Calibri" w:eastAsia="Calibri" w:hAnsi="Calibri" w:cs="Calibri"/>
          <w:lang w:val="en-US"/>
        </w:rPr>
        <w:t>Co</w:t>
      </w:r>
      <w:r>
        <w:rPr>
          <w:rFonts w:ascii="Calibri" w:eastAsia="Calibri" w:hAnsi="Calibri" w:cs="Calibri"/>
          <w:lang w:val="en-US"/>
        </w:rPr>
        <w:t>C</w:t>
      </w:r>
      <w:r w:rsidRPr="50921CED">
        <w:rPr>
          <w:rFonts w:ascii="Calibri" w:eastAsia="Calibri" w:hAnsi="Calibri" w:cs="Calibri"/>
          <w:lang w:val="en-US"/>
        </w:rPr>
        <w:t>lus</w:t>
      </w:r>
      <w:proofErr w:type="spellEnd"/>
      <w:r>
        <w:rPr>
          <w:rStyle w:val="FootnoteReference"/>
          <w:rFonts w:ascii="Calibri" w:eastAsia="Calibri" w:hAnsi="Calibri" w:cs="Calibri"/>
          <w:lang w:val="en-US"/>
        </w:rPr>
        <w:footnoteReference w:id="5"/>
      </w:r>
      <w:r w:rsidRPr="50921CED">
        <w:rPr>
          <w:rFonts w:ascii="Calibri" w:eastAsia="Calibri" w:hAnsi="Calibri" w:cs="Calibri"/>
          <w:lang w:val="en-US"/>
        </w:rPr>
        <w:t xml:space="preserve"> algorithm to extract disjoint matrix blocks corresponding to sets of paper abstracts and words which are more densely related internally than the rest of the corpus. These blocks</w:t>
      </w:r>
      <w:r>
        <w:rPr>
          <w:rFonts w:ascii="Calibri" w:eastAsia="Calibri" w:hAnsi="Calibri" w:cs="Calibri"/>
          <w:lang w:val="en-US"/>
        </w:rPr>
        <w:t xml:space="preserve"> which associate a set of documents to a tightly related set of representative words</w:t>
      </w:r>
      <w:r w:rsidRPr="50921CED">
        <w:rPr>
          <w:rFonts w:ascii="Calibri" w:eastAsia="Calibri" w:hAnsi="Calibri" w:cs="Calibri"/>
          <w:lang w:val="en-US"/>
        </w:rPr>
        <w:t xml:space="preserve"> correspond</w:t>
      </w:r>
      <w:r>
        <w:rPr>
          <w:rFonts w:ascii="Calibri" w:eastAsia="Calibri" w:hAnsi="Calibri" w:cs="Calibri"/>
          <w:lang w:val="en-US"/>
        </w:rPr>
        <w:t xml:space="preserve"> in fact</w:t>
      </w:r>
      <w:r w:rsidRPr="50921CED">
        <w:rPr>
          <w:rFonts w:ascii="Calibri" w:eastAsia="Calibri" w:hAnsi="Calibri" w:cs="Calibri"/>
          <w:lang w:val="en-US"/>
        </w:rPr>
        <w:t xml:space="preserve"> to </w:t>
      </w:r>
      <w:r>
        <w:rPr>
          <w:rFonts w:ascii="Calibri" w:eastAsia="Calibri" w:hAnsi="Calibri" w:cs="Calibri"/>
          <w:lang w:val="en-US"/>
        </w:rPr>
        <w:t xml:space="preserve">extracted </w:t>
      </w:r>
      <w:r w:rsidRPr="50921CED">
        <w:rPr>
          <w:rFonts w:ascii="Calibri" w:eastAsia="Calibri" w:hAnsi="Calibri" w:cs="Calibri"/>
          <w:lang w:val="en-US"/>
        </w:rPr>
        <w:t>topics</w:t>
      </w:r>
      <w:r>
        <w:rPr>
          <w:rFonts w:ascii="Calibri" w:eastAsia="Calibri" w:hAnsi="Calibri" w:cs="Calibri"/>
          <w:lang w:val="en-US"/>
        </w:rPr>
        <w:t xml:space="preserve"> which are </w:t>
      </w:r>
      <w:r w:rsidRPr="00180EF0">
        <w:rPr>
          <w:rFonts w:ascii="Calibri" w:eastAsia="Calibri" w:hAnsi="Calibri" w:cs="Calibri"/>
          <w:lang w:val="en-US"/>
        </w:rPr>
        <w:t>made of an association of semantically coherent documents and characteristic words which we call “topic-words”</w:t>
      </w:r>
      <w:r>
        <w:rPr>
          <w:rFonts w:ascii="Calibri" w:eastAsia="Calibri" w:hAnsi="Calibri" w:cs="Calibri"/>
        </w:rPr>
        <w:t xml:space="preserve"> </w:t>
      </w:r>
      <w:r w:rsidRPr="00180EF0">
        <w:rPr>
          <w:rFonts w:ascii="Calibri" w:eastAsia="Calibri" w:hAnsi="Calibri" w:cs="Calibri"/>
          <w:lang w:val="en-US"/>
        </w:rPr>
        <w:t>(e.g. an analogy in the press would be to discover automatically without prior knowledge a topic where some of the most important words are ‘covid19’, ‘lockdown’, ‘mask’, ‘PCR’, ‘vaccine’, ‘test’, ‘layoff’, ‘stimulus’, ‘bill’).</w:t>
      </w:r>
      <w:r w:rsidRPr="00EC3B99">
        <w:rPr>
          <w:rFonts w:cstheme="minorHAnsi"/>
          <w:sz w:val="24"/>
          <w:szCs w:val="24"/>
        </w:rPr>
        <w:t xml:space="preserve"> </w:t>
      </w:r>
      <w:r>
        <w:rPr>
          <w:rFonts w:ascii="Calibri" w:eastAsia="Calibri" w:hAnsi="Calibri" w:cs="Calibri"/>
        </w:rPr>
        <w:t>G</w:t>
      </w:r>
      <w:proofErr w:type="spellStart"/>
      <w:r w:rsidRPr="50921CED">
        <w:rPr>
          <w:rFonts w:ascii="Calibri" w:eastAsia="Calibri" w:hAnsi="Calibri" w:cs="Calibri"/>
          <w:lang w:val="en-US"/>
        </w:rPr>
        <w:t>iven</w:t>
      </w:r>
      <w:proofErr w:type="spellEnd"/>
      <w:r w:rsidRPr="50921CED">
        <w:rPr>
          <w:rFonts w:ascii="Calibri" w:eastAsia="Calibri" w:hAnsi="Calibri" w:cs="Calibri"/>
          <w:lang w:val="en-US"/>
        </w:rPr>
        <w:t xml:space="preserve"> K a target number of partitions, this algorithm tries to partition the word-document set into K parts in a way that maximizes a graph modularity metric</w:t>
      </w:r>
      <w:r>
        <w:rPr>
          <w:rFonts w:ascii="Calibri" w:eastAsia="Calibri" w:hAnsi="Calibri" w:cs="Calibri"/>
          <w:lang w:val="en-US"/>
        </w:rPr>
        <w:t xml:space="preserve"> using a </w:t>
      </w:r>
      <w:r w:rsidRPr="50921CED">
        <w:rPr>
          <w:rFonts w:ascii="Calibri" w:eastAsia="Calibri" w:hAnsi="Calibri" w:cs="Calibri"/>
          <w:lang w:val="en-US"/>
        </w:rPr>
        <w:t>heuristic with numerous iterations.</w:t>
      </w:r>
      <w:r>
        <w:rPr>
          <w:rFonts w:ascii="Calibri" w:eastAsia="Calibri" w:hAnsi="Calibri" w:cs="Calibri"/>
          <w:lang w:val="en-US"/>
        </w:rPr>
        <w:t xml:space="preserve"> </w:t>
      </w:r>
    </w:p>
    <w:p w:rsidR="00EF7AA8" w:rsidRPr="008C2E0E" w:rsidRDefault="00EF7AA8" w:rsidP="00EF7AA8">
      <w:pPr>
        <w:pStyle w:val="ListParagraph"/>
        <w:numPr>
          <w:ilvl w:val="0"/>
          <w:numId w:val="2"/>
        </w:numPr>
        <w:spacing w:before="240"/>
        <w:rPr>
          <w:rFonts w:ascii="Calibri" w:eastAsia="Calibri" w:hAnsi="Calibri" w:cs="Calibri"/>
          <w:lang w:val="en-US"/>
        </w:rPr>
      </w:pPr>
      <w:r>
        <w:rPr>
          <w:rFonts w:ascii="Calibri" w:eastAsia="Calibri" w:hAnsi="Calibri" w:cs="Calibri"/>
          <w:lang w:val="en-US"/>
        </w:rPr>
        <w:t xml:space="preserve">The extracted topics, and related documents and topic words, can then be explored using interactive visualizations.  </w:t>
      </w:r>
      <w:r w:rsidRPr="008C2E0E">
        <w:rPr>
          <w:rFonts w:ascii="Calibri" w:eastAsia="Calibri" w:hAnsi="Calibri" w:cs="Calibri"/>
          <w:lang w:val="en-US"/>
        </w:rPr>
        <w:t xml:space="preserve"> </w:t>
      </w:r>
    </w:p>
    <w:p w:rsidR="00EF7AA8" w:rsidRDefault="00EF7AA8" w:rsidP="00EF7AA8">
      <w:pPr>
        <w:pStyle w:val="Heading3"/>
        <w:rPr>
          <w:lang w:val="en-US"/>
        </w:rPr>
      </w:pPr>
      <w:r w:rsidRPr="00831FB4">
        <w:rPr>
          <w:lang w:val="en-US"/>
        </w:rPr>
        <w:t>Supplementary text 3</w:t>
      </w:r>
      <w:r>
        <w:rPr>
          <w:lang w:val="en-US"/>
        </w:rPr>
        <w:t xml:space="preserve">.2 </w:t>
      </w:r>
      <w:r w:rsidRPr="008C2E0E">
        <w:rPr>
          <w:lang w:val="en-US"/>
        </w:rPr>
        <w:t>Interactive visu</w:t>
      </w:r>
      <w:r>
        <w:rPr>
          <w:lang w:val="en-US"/>
        </w:rPr>
        <w:t xml:space="preserve">alization </w:t>
      </w:r>
    </w:p>
    <w:p w:rsidR="00EF7AA8" w:rsidRPr="00EB4E13" w:rsidRDefault="00EF7AA8" w:rsidP="00EF7AA8">
      <w:pPr>
        <w:rPr>
          <w:lang w:val="en-US"/>
        </w:rPr>
      </w:pPr>
    </w:p>
    <w:p w:rsidR="00EF7AA8" w:rsidRDefault="00EF7AA8" w:rsidP="00EF7AA8">
      <w:pPr>
        <w:keepNext/>
      </w:pPr>
      <w:r>
        <w:rPr>
          <w:noProof/>
          <w:lang w:val="en-US"/>
        </w:rPr>
        <w:lastRenderedPageBreak/>
        <w:drawing>
          <wp:inline distT="0" distB="0" distL="0" distR="0" wp14:anchorId="00F4273C" wp14:editId="3191D6A7">
            <wp:extent cx="6032430" cy="3079054"/>
            <wp:effectExtent l="0" t="0" r="0" b="0"/>
            <wp:docPr id="1495830776" name="Picture 647022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02249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2430" cy="3079054"/>
                    </a:xfrm>
                    <a:prstGeom prst="rect">
                      <a:avLst/>
                    </a:prstGeom>
                  </pic:spPr>
                </pic:pic>
              </a:graphicData>
            </a:graphic>
          </wp:inline>
        </w:drawing>
      </w:r>
    </w:p>
    <w:p w:rsidR="00EF7AA8" w:rsidRPr="008C2E0E" w:rsidRDefault="00EF7AA8" w:rsidP="00EF7AA8">
      <w:pPr>
        <w:pStyle w:val="Caption"/>
        <w:rPr>
          <w:lang w:val="en-US"/>
        </w:rPr>
      </w:pPr>
      <w:bookmarkStart w:id="0" w:name="_Ref45299443"/>
      <w:r w:rsidRPr="00831FB4">
        <w:t>Supplementary figure</w:t>
      </w:r>
      <w:bookmarkEnd w:id="0"/>
      <w:r w:rsidRPr="00831FB4">
        <w:t xml:space="preserve"> 3. The</w:t>
      </w:r>
      <w:r>
        <w:t xml:space="preserve"> main graphical user interface of Papyrus shows (1) a topic map composed of a mosaic of word clouds, (2)</w:t>
      </w:r>
      <w:r>
        <w:rPr>
          <w:noProof/>
        </w:rPr>
        <w:t xml:space="preserve"> a bar chart showing a list of topic words ranked by importance, (3) a close reading panel where the analyst can navigate and read all relevant abstracts.</w:t>
      </w:r>
    </w:p>
    <w:p w:rsidR="00EF7AA8" w:rsidRDefault="00EF7AA8" w:rsidP="00EF7AA8">
      <w:pPr>
        <w:rPr>
          <w:rFonts w:ascii="Calibri" w:eastAsia="Calibri" w:hAnsi="Calibri" w:cs="Calibri"/>
          <w:lang w:val="en-US"/>
        </w:rPr>
      </w:pPr>
      <w:r w:rsidRPr="00831FB4">
        <w:rPr>
          <w:rFonts w:ascii="Calibri" w:eastAsia="Calibri" w:hAnsi="Calibri" w:cs="Calibri"/>
          <w:lang w:val="en-US"/>
        </w:rPr>
        <w:t>Supplementary figure 3</w:t>
      </w:r>
      <w:r>
        <w:rPr>
          <w:rFonts w:ascii="Calibri" w:eastAsia="Calibri" w:hAnsi="Calibri" w:cs="Calibri"/>
          <w:lang w:val="en-US"/>
        </w:rPr>
        <w:t xml:space="preserve"> shows the main visual interface of Papyrus. On the left, a map of 37 topics provides a visual summary of a corpus containing 10,022 publication abstracts. When the analyst clicks on a topic, a list of topic words is displayed in the middle panel, ranked by word importance. In the right panel, a ranked list of papers supports close reading in order to better contextualize topic words. In this example, we see how alternative MESH terms salpinx and fallopian tube(s) have been merged into a single concept. </w:t>
      </w:r>
    </w:p>
    <w:p w:rsidR="00EF7AA8" w:rsidRDefault="00EF7AA8" w:rsidP="00EF7AA8">
      <w:pPr>
        <w:rPr>
          <w:rFonts w:ascii="Calibri" w:eastAsia="Calibri" w:hAnsi="Calibri" w:cs="Calibri"/>
          <w:lang w:val="en-US"/>
        </w:rPr>
      </w:pPr>
      <w:r>
        <w:rPr>
          <w:rFonts w:ascii="Calibri" w:eastAsia="Calibri" w:hAnsi="Calibri" w:cs="Calibri"/>
          <w:lang w:val="en-US"/>
        </w:rPr>
        <w:t>Some of the perks of Papyrus include the fact that the layout of the visual map places closely related topics in close spatial positions, based on a Multi-Dimensional Scaling (MDS)</w:t>
      </w:r>
      <w:r>
        <w:rPr>
          <w:rStyle w:val="FootnoteReference"/>
          <w:rFonts w:ascii="Calibri" w:eastAsia="Calibri" w:hAnsi="Calibri" w:cs="Calibri"/>
          <w:lang w:val="en-US"/>
        </w:rPr>
        <w:footnoteReference w:id="6"/>
      </w:r>
      <w:r w:rsidRPr="00E2351C">
        <w:rPr>
          <w:rFonts w:ascii="Calibri" w:eastAsia="Calibri" w:hAnsi="Calibri" w:cs="Calibri"/>
          <w:vertAlign w:val="superscript"/>
          <w:lang w:val="en-US"/>
        </w:rPr>
        <w:t xml:space="preserve"> </w:t>
      </w:r>
      <w:r>
        <w:rPr>
          <w:rFonts w:ascii="Calibri" w:eastAsia="Calibri" w:hAnsi="Calibri" w:cs="Calibri"/>
          <w:lang w:val="en-US"/>
        </w:rPr>
        <w:t>projection of the topics in the 2D plane. The tool also supports keyword search to help locate the topic containing a word of interest. This is further facilitated by keyword suggestions as the analysts types the first few characters of a keyword. Additional visualizations support the analysis of word co-occurrences, which were not leveraged in the context of the present study.</w:t>
      </w:r>
    </w:p>
    <w:p w:rsidR="00EF7AA8" w:rsidRDefault="00EF7AA8" w:rsidP="00EF7AA8">
      <w:pPr>
        <w:pStyle w:val="Heading3"/>
        <w:spacing w:after="240"/>
        <w:rPr>
          <w:rFonts w:eastAsia="Calibri"/>
          <w:lang w:val="en-US"/>
        </w:rPr>
      </w:pPr>
      <w:r>
        <w:rPr>
          <w:rFonts w:eastAsia="Calibri"/>
          <w:lang w:val="en-US"/>
        </w:rPr>
        <w:t>Supplementary text 3.3 Reproducibility and General Applicability of this Approach</w:t>
      </w:r>
    </w:p>
    <w:p w:rsidR="00EF7AA8" w:rsidRDefault="00EF7AA8" w:rsidP="00EF7AA8">
      <w:pPr>
        <w:rPr>
          <w:rFonts w:ascii="Calibri" w:eastAsia="Calibri" w:hAnsi="Calibri" w:cs="Calibri"/>
          <w:lang w:val="en-US"/>
        </w:rPr>
      </w:pPr>
      <w:r>
        <w:rPr>
          <w:rFonts w:ascii="Calibri" w:eastAsia="Calibri" w:hAnsi="Calibri" w:cs="Calibri"/>
          <w:lang w:val="en-US"/>
        </w:rPr>
        <w:t xml:space="preserve">In computer science, an algorithm is said to be deterministic if given the same input it produces the same output. In the </w:t>
      </w:r>
      <w:proofErr w:type="gramStart"/>
      <w:r>
        <w:rPr>
          <w:rFonts w:ascii="Calibri" w:eastAsia="Calibri" w:hAnsi="Calibri" w:cs="Calibri"/>
          <w:lang w:val="en-US"/>
        </w:rPr>
        <w:t>aforementioned text</w:t>
      </w:r>
      <w:proofErr w:type="gramEnd"/>
      <w:r>
        <w:rPr>
          <w:rFonts w:ascii="Calibri" w:eastAsia="Calibri" w:hAnsi="Calibri" w:cs="Calibri"/>
          <w:lang w:val="en-US"/>
        </w:rPr>
        <w:t xml:space="preserve"> processing pipeline, steps 1 and 2 are deterministic. For a given set of documents and a fixed algorithm parametrization, the system always builds the same term-document matrix. Only in step 3 ‘topic extraction’, the </w:t>
      </w:r>
      <w:proofErr w:type="spellStart"/>
      <w:r>
        <w:rPr>
          <w:rFonts w:ascii="Calibri" w:eastAsia="Calibri" w:hAnsi="Calibri" w:cs="Calibri"/>
          <w:lang w:val="en-US"/>
        </w:rPr>
        <w:t>Coclus</w:t>
      </w:r>
      <w:proofErr w:type="spellEnd"/>
      <w:r>
        <w:rPr>
          <w:rFonts w:ascii="Calibri" w:eastAsia="Calibri" w:hAnsi="Calibri" w:cs="Calibri"/>
          <w:lang w:val="en-US"/>
        </w:rPr>
        <w:t xml:space="preserve"> algorithm introduces some randomness due to the search for the most optimal value of the graph modularity metric used to assign words and documents into K topics (or matrix blocks). In the present study, this variability was </w:t>
      </w:r>
      <w:r>
        <w:rPr>
          <w:rFonts w:ascii="Calibri" w:eastAsia="Calibri" w:hAnsi="Calibri" w:cs="Calibri"/>
          <w:lang w:val="en-US"/>
        </w:rPr>
        <w:lastRenderedPageBreak/>
        <w:t>circumvented by an exhaustive manual screening by two analysts of all topic words across the entire corpus. In the future, we would like to carry out a systematic study of topic stability across multiple runs of the topic extraction procedure with the same input parameters, and assess the difference between the most optimal partition and alternative partitions for a target value of K.</w:t>
      </w:r>
    </w:p>
    <w:p w:rsidR="00EF7AA8" w:rsidRDefault="00EF7AA8" w:rsidP="00EF7AA8">
      <w:pPr>
        <w:rPr>
          <w:rFonts w:ascii="Calibri" w:eastAsia="Calibri" w:hAnsi="Calibri" w:cs="Calibri"/>
          <w:lang w:val="en-US"/>
        </w:rPr>
      </w:pPr>
      <w:r>
        <w:rPr>
          <w:rFonts w:ascii="Calibri" w:eastAsia="Calibri" w:hAnsi="Calibri" w:cs="Calibri"/>
          <w:lang w:val="en-US"/>
        </w:rPr>
        <w:t xml:space="preserve">At the time of writing we have put in place an instance of the Papyrus software to help analyze the literature concerning the COVID19 disease, which can be accessed online at </w:t>
      </w:r>
      <w:hyperlink r:id="rId9" w:history="1">
        <w:r w:rsidRPr="006D319E">
          <w:rPr>
            <w:rStyle w:val="Hyperlink"/>
            <w:rFonts w:ascii="Calibri" w:eastAsia="Calibri" w:hAnsi="Calibri" w:cs="Calibri"/>
            <w:lang w:val="en-US"/>
          </w:rPr>
          <w:t>https://colibri.list.lu/</w:t>
        </w:r>
      </w:hyperlink>
      <w:r>
        <w:rPr>
          <w:rFonts w:ascii="Calibri" w:eastAsia="Calibri" w:hAnsi="Calibri" w:cs="Calibri"/>
          <w:lang w:val="en-US"/>
        </w:rPr>
        <w:t>. We are currently using Papyrus also in the process of writing a systematic literature review in computer science on high-resolution wall-sized displays. We aim to assess the validity of the principled approach described in this work and to apply it to any systematic literature review work.</w:t>
      </w:r>
    </w:p>
    <w:p w:rsidR="00C30505" w:rsidRPr="00EF7AA8" w:rsidRDefault="00EF7AA8">
      <w:pPr>
        <w:rPr>
          <w:lang w:val="en-US"/>
        </w:rPr>
      </w:pPr>
      <w:bookmarkStart w:id="1" w:name="_GoBack"/>
      <w:bookmarkEnd w:id="1"/>
    </w:p>
    <w:sectPr w:rsidR="00C30505" w:rsidRPr="00EF7AA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7AA8" w:rsidRDefault="00EF7AA8" w:rsidP="00EF7AA8">
      <w:pPr>
        <w:spacing w:after="0" w:line="240" w:lineRule="auto"/>
      </w:pPr>
      <w:r>
        <w:separator/>
      </w:r>
    </w:p>
  </w:endnote>
  <w:endnote w:type="continuationSeparator" w:id="0">
    <w:p w:rsidR="00EF7AA8" w:rsidRDefault="00EF7AA8" w:rsidP="00EF7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7AA8" w:rsidRDefault="00EF7AA8" w:rsidP="00EF7AA8">
      <w:pPr>
        <w:spacing w:after="0" w:line="240" w:lineRule="auto"/>
      </w:pPr>
      <w:r>
        <w:separator/>
      </w:r>
    </w:p>
  </w:footnote>
  <w:footnote w:type="continuationSeparator" w:id="0">
    <w:p w:rsidR="00EF7AA8" w:rsidRDefault="00EF7AA8" w:rsidP="00EF7AA8">
      <w:pPr>
        <w:spacing w:after="0" w:line="240" w:lineRule="auto"/>
      </w:pPr>
      <w:r>
        <w:continuationSeparator/>
      </w:r>
    </w:p>
  </w:footnote>
  <w:footnote w:id="1">
    <w:p w:rsidR="00EF7AA8" w:rsidRPr="00413991" w:rsidRDefault="00EF7AA8" w:rsidP="00EF7AA8">
      <w:pPr>
        <w:pStyle w:val="FootnoteText"/>
      </w:pPr>
      <w:r>
        <w:rPr>
          <w:rStyle w:val="FootnoteReference"/>
        </w:rPr>
        <w:footnoteRef/>
      </w:r>
      <w:r w:rsidRPr="00E2351C">
        <w:rPr>
          <w:rFonts w:ascii="Calibri" w:eastAsia="Calibri" w:hAnsi="Calibri" w:cs="Calibri"/>
          <w:sz w:val="16"/>
          <w:szCs w:val="16"/>
        </w:rPr>
        <w:t xml:space="preserve">Médoc N., Ghoniem M., </w:t>
      </w:r>
      <w:proofErr w:type="spellStart"/>
      <w:r w:rsidRPr="00E2351C">
        <w:rPr>
          <w:rFonts w:ascii="Calibri" w:eastAsia="Calibri" w:hAnsi="Calibri" w:cs="Calibri"/>
          <w:sz w:val="16"/>
          <w:szCs w:val="16"/>
        </w:rPr>
        <w:t>Nadif</w:t>
      </w:r>
      <w:proofErr w:type="spellEnd"/>
      <w:r w:rsidRPr="00E2351C">
        <w:rPr>
          <w:rFonts w:ascii="Calibri" w:eastAsia="Calibri" w:hAnsi="Calibri" w:cs="Calibri"/>
          <w:sz w:val="16"/>
          <w:szCs w:val="16"/>
        </w:rPr>
        <w:t xml:space="preserve"> M. Visual Exploration of Topic Variants Through a Hybrid </w:t>
      </w:r>
      <w:proofErr w:type="spellStart"/>
      <w:r w:rsidRPr="00E2351C">
        <w:rPr>
          <w:rFonts w:ascii="Calibri" w:eastAsia="Calibri" w:hAnsi="Calibri" w:cs="Calibri"/>
          <w:sz w:val="16"/>
          <w:szCs w:val="16"/>
        </w:rPr>
        <w:t>Biclustering</w:t>
      </w:r>
      <w:proofErr w:type="spellEnd"/>
      <w:r w:rsidRPr="00E2351C">
        <w:rPr>
          <w:rFonts w:ascii="Calibri" w:eastAsia="Calibri" w:hAnsi="Calibri" w:cs="Calibri"/>
          <w:sz w:val="16"/>
          <w:szCs w:val="16"/>
        </w:rPr>
        <w:t xml:space="preserve"> Approach. </w:t>
      </w:r>
      <w:r w:rsidRPr="00E2351C">
        <w:rPr>
          <w:rFonts w:ascii="Calibri" w:eastAsia="Calibri" w:hAnsi="Calibri" w:cs="Calibri"/>
          <w:sz w:val="16"/>
          <w:szCs w:val="16"/>
          <w:lang w:val="fr-BE"/>
        </w:rPr>
        <w:t>IHM '</w:t>
      </w:r>
      <w:proofErr w:type="gramStart"/>
      <w:r w:rsidRPr="00E2351C">
        <w:rPr>
          <w:rFonts w:ascii="Calibri" w:eastAsia="Calibri" w:hAnsi="Calibri" w:cs="Calibri"/>
          <w:sz w:val="16"/>
          <w:szCs w:val="16"/>
          <w:lang w:val="fr-BE"/>
        </w:rPr>
        <w:t>16:</w:t>
      </w:r>
      <w:proofErr w:type="gramEnd"/>
      <w:r w:rsidRPr="00E2351C">
        <w:rPr>
          <w:rFonts w:ascii="Calibri" w:eastAsia="Calibri" w:hAnsi="Calibri" w:cs="Calibri"/>
          <w:sz w:val="16"/>
          <w:szCs w:val="16"/>
          <w:lang w:val="fr-BE"/>
        </w:rPr>
        <w:t xml:space="preserve"> Actes de la 28ième </w:t>
      </w:r>
      <w:proofErr w:type="spellStart"/>
      <w:r w:rsidRPr="00E2351C">
        <w:rPr>
          <w:rFonts w:ascii="Calibri" w:eastAsia="Calibri" w:hAnsi="Calibri" w:cs="Calibri"/>
          <w:sz w:val="16"/>
          <w:szCs w:val="16"/>
          <w:lang w:val="fr-BE"/>
        </w:rPr>
        <w:t>conference</w:t>
      </w:r>
      <w:proofErr w:type="spellEnd"/>
      <w:r w:rsidRPr="00E2351C">
        <w:rPr>
          <w:rFonts w:ascii="Calibri" w:eastAsia="Calibri" w:hAnsi="Calibri" w:cs="Calibri"/>
          <w:sz w:val="16"/>
          <w:szCs w:val="16"/>
          <w:lang w:val="fr-BE"/>
        </w:rPr>
        <w:t xml:space="preserve"> francophone sur l'Interaction Homme-Machine. </w:t>
      </w:r>
      <w:r w:rsidRPr="00E2351C">
        <w:rPr>
          <w:rFonts w:ascii="Calibri" w:eastAsia="Calibri" w:hAnsi="Calibri" w:cs="Calibri"/>
          <w:sz w:val="16"/>
          <w:szCs w:val="16"/>
        </w:rPr>
        <w:t xml:space="preserve">2016; 103-114. </w:t>
      </w:r>
      <w:r w:rsidRPr="00E2351C">
        <w:rPr>
          <w:rFonts w:ascii="Calibri" w:eastAsia="Calibri" w:hAnsi="Calibri" w:cs="Calibri"/>
          <w:i/>
          <w:iCs/>
          <w:sz w:val="16"/>
          <w:szCs w:val="16"/>
        </w:rPr>
        <w:t>doi:10.1145/3004107.3004116</w:t>
      </w:r>
    </w:p>
  </w:footnote>
  <w:footnote w:id="2">
    <w:p w:rsidR="00EF7AA8" w:rsidRPr="00BA1BD3" w:rsidRDefault="00EF7AA8" w:rsidP="00EF7AA8">
      <w:pPr>
        <w:pStyle w:val="FootnoteText"/>
      </w:pPr>
      <w:r>
        <w:rPr>
          <w:rStyle w:val="FootnoteReference"/>
        </w:rPr>
        <w:footnoteRef/>
      </w:r>
      <w:r w:rsidRPr="00E2351C">
        <w:rPr>
          <w:rFonts w:ascii="Calibri" w:eastAsia="Calibri" w:hAnsi="Calibri" w:cs="Calibri"/>
          <w:i/>
          <w:iCs/>
          <w:sz w:val="16"/>
          <w:szCs w:val="16"/>
        </w:rPr>
        <w:t xml:space="preserve">Manning C.D., </w:t>
      </w:r>
      <w:proofErr w:type="spellStart"/>
      <w:r w:rsidRPr="00E2351C">
        <w:rPr>
          <w:rFonts w:ascii="Calibri" w:eastAsia="Calibri" w:hAnsi="Calibri" w:cs="Calibri"/>
          <w:i/>
          <w:iCs/>
          <w:sz w:val="16"/>
          <w:szCs w:val="16"/>
        </w:rPr>
        <w:t>Surdeanu</w:t>
      </w:r>
      <w:proofErr w:type="spellEnd"/>
      <w:r w:rsidRPr="00E2351C">
        <w:rPr>
          <w:rFonts w:ascii="Calibri" w:eastAsia="Calibri" w:hAnsi="Calibri" w:cs="Calibri"/>
          <w:i/>
          <w:iCs/>
          <w:sz w:val="16"/>
          <w:szCs w:val="16"/>
        </w:rPr>
        <w:t xml:space="preserve"> M., Bauer J., Finkel J.,</w:t>
      </w:r>
      <w:r>
        <w:rPr>
          <w:rFonts w:ascii="Calibri" w:eastAsia="Calibri" w:hAnsi="Calibri" w:cs="Calibri"/>
          <w:i/>
          <w:iCs/>
          <w:sz w:val="16"/>
          <w:szCs w:val="16"/>
        </w:rPr>
        <w:t xml:space="preserve"> </w:t>
      </w:r>
      <w:proofErr w:type="spellStart"/>
      <w:r w:rsidRPr="00E2351C">
        <w:rPr>
          <w:rFonts w:ascii="Calibri" w:eastAsia="Calibri" w:hAnsi="Calibri" w:cs="Calibri"/>
          <w:i/>
          <w:iCs/>
          <w:sz w:val="16"/>
          <w:szCs w:val="16"/>
        </w:rPr>
        <w:t>Bethard</w:t>
      </w:r>
      <w:proofErr w:type="spellEnd"/>
      <w:r w:rsidRPr="00E2351C">
        <w:rPr>
          <w:rFonts w:ascii="Calibri" w:eastAsia="Calibri" w:hAnsi="Calibri" w:cs="Calibri"/>
          <w:i/>
          <w:iCs/>
          <w:sz w:val="16"/>
          <w:szCs w:val="16"/>
        </w:rPr>
        <w:t xml:space="preserve"> S.J. and </w:t>
      </w:r>
      <w:proofErr w:type="spellStart"/>
      <w:r w:rsidRPr="00E2351C">
        <w:rPr>
          <w:rFonts w:ascii="Calibri" w:eastAsia="Calibri" w:hAnsi="Calibri" w:cs="Calibri"/>
          <w:i/>
          <w:iCs/>
          <w:sz w:val="16"/>
          <w:szCs w:val="16"/>
        </w:rPr>
        <w:t>McClosky</w:t>
      </w:r>
      <w:proofErr w:type="spellEnd"/>
      <w:r w:rsidRPr="00E2351C">
        <w:rPr>
          <w:rFonts w:ascii="Calibri" w:eastAsia="Calibri" w:hAnsi="Calibri" w:cs="Calibri"/>
          <w:i/>
          <w:iCs/>
          <w:sz w:val="16"/>
          <w:szCs w:val="16"/>
        </w:rPr>
        <w:t xml:space="preserve"> D. The Stanford </w:t>
      </w:r>
      <w:proofErr w:type="spellStart"/>
      <w:r w:rsidRPr="00E2351C">
        <w:rPr>
          <w:rFonts w:ascii="Calibri" w:eastAsia="Calibri" w:hAnsi="Calibri" w:cs="Calibri"/>
          <w:i/>
          <w:iCs/>
          <w:sz w:val="16"/>
          <w:szCs w:val="16"/>
        </w:rPr>
        <w:t>CoreNLP</w:t>
      </w:r>
      <w:proofErr w:type="spellEnd"/>
      <w:r w:rsidRPr="00E2351C">
        <w:rPr>
          <w:rFonts w:ascii="Calibri" w:eastAsia="Calibri" w:hAnsi="Calibri" w:cs="Calibri"/>
          <w:i/>
          <w:iCs/>
          <w:sz w:val="16"/>
          <w:szCs w:val="16"/>
        </w:rPr>
        <w:t xml:space="preserve"> Natural Language Processing Toolkit. ACL System Demonstrations. 2014; 55-60. </w:t>
      </w:r>
      <w:proofErr w:type="spellStart"/>
      <w:r w:rsidRPr="00E2351C">
        <w:rPr>
          <w:rFonts w:ascii="Calibri" w:eastAsia="Calibri" w:hAnsi="Calibri" w:cs="Calibri"/>
          <w:i/>
          <w:iCs/>
          <w:sz w:val="16"/>
          <w:szCs w:val="16"/>
        </w:rPr>
        <w:t>doi</w:t>
      </w:r>
      <w:proofErr w:type="spellEnd"/>
      <w:r w:rsidRPr="00E2351C">
        <w:rPr>
          <w:rFonts w:ascii="Calibri" w:eastAsia="Calibri" w:hAnsi="Calibri" w:cs="Calibri"/>
          <w:i/>
          <w:iCs/>
          <w:sz w:val="16"/>
          <w:szCs w:val="16"/>
        </w:rPr>
        <w:t>: 10.3115/v1/P14-5010</w:t>
      </w:r>
    </w:p>
  </w:footnote>
  <w:footnote w:id="3">
    <w:p w:rsidR="00EF7AA8" w:rsidRPr="004373EE" w:rsidRDefault="00EF7AA8" w:rsidP="00EF7AA8">
      <w:pPr>
        <w:pStyle w:val="FootnoteText"/>
      </w:pPr>
      <w:r>
        <w:rPr>
          <w:rStyle w:val="FootnoteReference"/>
        </w:rPr>
        <w:footnoteRef/>
      </w:r>
      <w:hyperlink r:id="rId1" w:history="1">
        <w:r w:rsidRPr="00621282">
          <w:rPr>
            <w:rStyle w:val="Hyperlink"/>
            <w:rFonts w:ascii="Calibri" w:hAnsi="Calibri" w:cs="Calibri"/>
            <w:sz w:val="16"/>
            <w:szCs w:val="16"/>
          </w:rPr>
          <w:t>https://www.geonames.org/</w:t>
        </w:r>
      </w:hyperlink>
    </w:p>
  </w:footnote>
  <w:footnote w:id="4">
    <w:p w:rsidR="00EF7AA8" w:rsidRPr="004373EE" w:rsidRDefault="00EF7AA8" w:rsidP="00EF7AA8">
      <w:pPr>
        <w:pStyle w:val="FootnoteText"/>
      </w:pPr>
      <w:r>
        <w:rPr>
          <w:rStyle w:val="FootnoteReference"/>
        </w:rPr>
        <w:footnoteRef/>
      </w:r>
      <w:hyperlink r:id="rId2" w:history="1">
        <w:r w:rsidRPr="00621282">
          <w:rPr>
            <w:rStyle w:val="Hyperlink"/>
            <w:rFonts w:ascii="Calibri" w:hAnsi="Calibri" w:cs="Calibri"/>
            <w:sz w:val="16"/>
            <w:szCs w:val="16"/>
          </w:rPr>
          <w:t>https://www.nlm.nih.gov/mesh/meshhome.html</w:t>
        </w:r>
      </w:hyperlink>
    </w:p>
  </w:footnote>
  <w:footnote w:id="5">
    <w:p w:rsidR="00EF7AA8" w:rsidRPr="00EF7AA8" w:rsidRDefault="00EF7AA8" w:rsidP="00EF7AA8">
      <w:pPr>
        <w:pStyle w:val="EndnoteText"/>
        <w:rPr>
          <w:rFonts w:ascii="Calibri" w:hAnsi="Calibri" w:cs="Calibri"/>
          <w:sz w:val="16"/>
          <w:szCs w:val="16"/>
          <w:lang w:val="en-GB"/>
        </w:rPr>
      </w:pPr>
      <w:r>
        <w:rPr>
          <w:rStyle w:val="FootnoteReference"/>
        </w:rPr>
        <w:footnoteRef/>
      </w:r>
      <w:hyperlink r:id="rId3" w:history="1">
        <w:r w:rsidRPr="00EF7AA8">
          <w:rPr>
            <w:rStyle w:val="Hyperlink"/>
            <w:rFonts w:ascii="Calibri" w:hAnsi="Calibri" w:cs="Calibri"/>
            <w:sz w:val="16"/>
            <w:szCs w:val="16"/>
            <w:lang w:val="en-GB"/>
          </w:rPr>
          <w:t>https://pypi.org/project/coclust/</w:t>
        </w:r>
      </w:hyperlink>
    </w:p>
    <w:p w:rsidR="00EF7AA8" w:rsidRPr="004373EE" w:rsidRDefault="00EF7AA8" w:rsidP="00EF7AA8">
      <w:pPr>
        <w:pStyle w:val="FootnoteText"/>
      </w:pPr>
    </w:p>
  </w:footnote>
  <w:footnote w:id="6">
    <w:p w:rsidR="00EF7AA8" w:rsidRPr="00E2351C" w:rsidRDefault="00EF7AA8" w:rsidP="00EF7AA8">
      <w:pPr>
        <w:spacing w:line="240" w:lineRule="auto"/>
        <w:rPr>
          <w:rFonts w:ascii="Calibri" w:hAnsi="Calibri" w:cs="Calibri"/>
          <w:color w:val="212121"/>
          <w:sz w:val="16"/>
          <w:szCs w:val="16"/>
          <w:lang w:val="en"/>
        </w:rPr>
      </w:pPr>
      <w:r>
        <w:rPr>
          <w:rStyle w:val="FootnoteReference"/>
        </w:rPr>
        <w:footnoteRef/>
      </w:r>
      <w:r w:rsidRPr="00E2351C">
        <w:rPr>
          <w:rStyle w:val="docsum-authors2"/>
          <w:rFonts w:ascii="Calibri" w:hAnsi="Calibri" w:cs="Calibri"/>
          <w:color w:val="212121"/>
          <w:sz w:val="16"/>
          <w:szCs w:val="16"/>
          <w:lang w:val="en"/>
        </w:rPr>
        <w:t xml:space="preserve"> </w:t>
      </w:r>
      <w:proofErr w:type="spellStart"/>
      <w:r w:rsidRPr="00E2351C">
        <w:rPr>
          <w:rStyle w:val="docsum-authors2"/>
          <w:rFonts w:ascii="Calibri" w:hAnsi="Calibri" w:cs="Calibri"/>
          <w:color w:val="212121"/>
          <w:sz w:val="16"/>
          <w:szCs w:val="16"/>
          <w:lang w:val="en"/>
        </w:rPr>
        <w:t>Hout</w:t>
      </w:r>
      <w:proofErr w:type="spellEnd"/>
      <w:r w:rsidRPr="00E2351C">
        <w:rPr>
          <w:rStyle w:val="docsum-authors2"/>
          <w:rFonts w:ascii="Calibri" w:hAnsi="Calibri" w:cs="Calibri"/>
          <w:color w:val="212121"/>
          <w:sz w:val="16"/>
          <w:szCs w:val="16"/>
          <w:lang w:val="en"/>
        </w:rPr>
        <w:t xml:space="preserve"> MC, </w:t>
      </w:r>
      <w:proofErr w:type="spellStart"/>
      <w:r w:rsidRPr="00E2351C">
        <w:rPr>
          <w:rStyle w:val="docsum-authors2"/>
          <w:rFonts w:ascii="Calibri" w:hAnsi="Calibri" w:cs="Calibri"/>
          <w:color w:val="212121"/>
          <w:sz w:val="16"/>
          <w:szCs w:val="16"/>
          <w:lang w:val="en"/>
        </w:rPr>
        <w:t>Papesh</w:t>
      </w:r>
      <w:proofErr w:type="spellEnd"/>
      <w:r w:rsidRPr="00E2351C">
        <w:rPr>
          <w:rStyle w:val="docsum-authors2"/>
          <w:rFonts w:ascii="Calibri" w:hAnsi="Calibri" w:cs="Calibri"/>
          <w:color w:val="212121"/>
          <w:sz w:val="16"/>
          <w:szCs w:val="16"/>
          <w:lang w:val="en"/>
        </w:rPr>
        <w:t xml:space="preserve"> MH, </w:t>
      </w:r>
      <w:proofErr w:type="spellStart"/>
      <w:r w:rsidRPr="00E2351C">
        <w:rPr>
          <w:rStyle w:val="docsum-authors2"/>
          <w:rFonts w:ascii="Calibri" w:hAnsi="Calibri" w:cs="Calibri"/>
          <w:color w:val="212121"/>
          <w:sz w:val="16"/>
          <w:szCs w:val="16"/>
          <w:lang w:val="en"/>
        </w:rPr>
        <w:t>Goldinger</w:t>
      </w:r>
      <w:proofErr w:type="spellEnd"/>
      <w:r w:rsidRPr="00E2351C">
        <w:rPr>
          <w:rStyle w:val="docsum-authors2"/>
          <w:rFonts w:ascii="Calibri" w:hAnsi="Calibri" w:cs="Calibri"/>
          <w:color w:val="212121"/>
          <w:sz w:val="16"/>
          <w:szCs w:val="16"/>
          <w:lang w:val="en"/>
        </w:rPr>
        <w:t xml:space="preserve"> </w:t>
      </w:r>
      <w:proofErr w:type="spellStart"/>
      <w:proofErr w:type="gramStart"/>
      <w:r w:rsidRPr="00E2351C">
        <w:rPr>
          <w:rStyle w:val="docsum-authors2"/>
          <w:rFonts w:ascii="Calibri" w:hAnsi="Calibri" w:cs="Calibri"/>
          <w:color w:val="212121"/>
          <w:sz w:val="16"/>
          <w:szCs w:val="16"/>
          <w:lang w:val="en"/>
        </w:rPr>
        <w:t>SD.Hout</w:t>
      </w:r>
      <w:proofErr w:type="spellEnd"/>
      <w:proofErr w:type="gramEnd"/>
      <w:r w:rsidRPr="00E2351C">
        <w:rPr>
          <w:rStyle w:val="docsum-authors2"/>
          <w:rFonts w:ascii="Calibri" w:hAnsi="Calibri" w:cs="Calibri"/>
          <w:color w:val="212121"/>
          <w:sz w:val="16"/>
          <w:szCs w:val="16"/>
          <w:lang w:val="en"/>
        </w:rPr>
        <w:t xml:space="preserve"> MC, et al.</w:t>
      </w:r>
      <w:r w:rsidRPr="00E2351C">
        <w:rPr>
          <w:rFonts w:ascii="Calibri" w:hAnsi="Calibri" w:cs="Calibri"/>
          <w:color w:val="212121"/>
          <w:sz w:val="16"/>
          <w:szCs w:val="16"/>
          <w:lang w:val="en"/>
        </w:rPr>
        <w:t xml:space="preserve"> Multidimensional scaling.</w:t>
      </w:r>
      <w:r w:rsidRPr="00E2351C">
        <w:rPr>
          <w:rStyle w:val="docsum-journal-citation"/>
          <w:rFonts w:ascii="Calibri" w:hAnsi="Calibri" w:cs="Calibri"/>
          <w:color w:val="212121"/>
          <w:sz w:val="16"/>
          <w:szCs w:val="16"/>
          <w:lang w:val="en"/>
        </w:rPr>
        <w:t xml:space="preserve"> </w:t>
      </w:r>
      <w:proofErr w:type="spellStart"/>
      <w:r w:rsidRPr="00E2351C">
        <w:rPr>
          <w:rStyle w:val="docsum-journal-citation"/>
          <w:rFonts w:ascii="Calibri" w:hAnsi="Calibri" w:cs="Calibri"/>
          <w:color w:val="212121"/>
          <w:sz w:val="16"/>
          <w:szCs w:val="16"/>
          <w:lang w:val="en"/>
        </w:rPr>
        <w:t>Interdiscip</w:t>
      </w:r>
      <w:proofErr w:type="spellEnd"/>
      <w:r w:rsidRPr="00E2351C">
        <w:rPr>
          <w:rStyle w:val="docsum-journal-citation"/>
          <w:rFonts w:ascii="Calibri" w:hAnsi="Calibri" w:cs="Calibri"/>
          <w:color w:val="212121"/>
          <w:sz w:val="16"/>
          <w:szCs w:val="16"/>
          <w:lang w:val="en"/>
        </w:rPr>
        <w:t xml:space="preserve"> Rev </w:t>
      </w:r>
      <w:proofErr w:type="spellStart"/>
      <w:r w:rsidRPr="00E2351C">
        <w:rPr>
          <w:rStyle w:val="docsum-journal-citation"/>
          <w:rFonts w:ascii="Calibri" w:hAnsi="Calibri" w:cs="Calibri"/>
          <w:color w:val="212121"/>
          <w:sz w:val="16"/>
          <w:szCs w:val="16"/>
          <w:lang w:val="en"/>
        </w:rPr>
        <w:t>Cogn</w:t>
      </w:r>
      <w:proofErr w:type="spellEnd"/>
      <w:r w:rsidRPr="00E2351C">
        <w:rPr>
          <w:rStyle w:val="docsum-journal-citation"/>
          <w:rFonts w:ascii="Calibri" w:hAnsi="Calibri" w:cs="Calibri"/>
          <w:color w:val="212121"/>
          <w:sz w:val="16"/>
          <w:szCs w:val="16"/>
          <w:lang w:val="en"/>
        </w:rPr>
        <w:t xml:space="preserve"> Sci. 2013 Jan;4(1):93-103. </w:t>
      </w:r>
      <w:proofErr w:type="spellStart"/>
      <w:r w:rsidRPr="00E2351C">
        <w:rPr>
          <w:rStyle w:val="docsum-journal-citation"/>
          <w:rFonts w:ascii="Calibri" w:hAnsi="Calibri" w:cs="Calibri"/>
          <w:color w:val="212121"/>
          <w:sz w:val="16"/>
          <w:szCs w:val="16"/>
          <w:lang w:val="en"/>
        </w:rPr>
        <w:t>doi</w:t>
      </w:r>
      <w:proofErr w:type="spellEnd"/>
      <w:r w:rsidRPr="00E2351C">
        <w:rPr>
          <w:rStyle w:val="docsum-journal-citation"/>
          <w:rFonts w:ascii="Calibri" w:hAnsi="Calibri" w:cs="Calibri"/>
          <w:color w:val="212121"/>
          <w:sz w:val="16"/>
          <w:szCs w:val="16"/>
          <w:lang w:val="en"/>
        </w:rPr>
        <w:t xml:space="preserve">: 10.1002/wcs.1203. </w:t>
      </w:r>
      <w:proofErr w:type="spellStart"/>
      <w:r w:rsidRPr="00E2351C">
        <w:rPr>
          <w:rStyle w:val="docsum-journal-citation"/>
          <w:rFonts w:ascii="Calibri" w:hAnsi="Calibri" w:cs="Calibri"/>
          <w:color w:val="212121"/>
          <w:sz w:val="16"/>
          <w:szCs w:val="16"/>
          <w:lang w:val="en"/>
        </w:rPr>
        <w:t>Epub</w:t>
      </w:r>
      <w:proofErr w:type="spellEnd"/>
      <w:r w:rsidRPr="00E2351C">
        <w:rPr>
          <w:rStyle w:val="docsum-journal-citation"/>
          <w:rFonts w:ascii="Calibri" w:hAnsi="Calibri" w:cs="Calibri"/>
          <w:color w:val="212121"/>
          <w:sz w:val="16"/>
          <w:szCs w:val="16"/>
          <w:lang w:val="en"/>
        </w:rPr>
        <w:t xml:space="preserve"> 2012 Oct 8.</w:t>
      </w:r>
    </w:p>
    <w:p w:rsidR="00EF7AA8" w:rsidRPr="00EF7AA8" w:rsidRDefault="00EF7AA8" w:rsidP="00EF7AA8">
      <w:pPr>
        <w:pStyle w:val="EndnoteText"/>
        <w:rPr>
          <w:rFonts w:ascii="Calibri" w:hAnsi="Calibri" w:cs="Calibri"/>
          <w:sz w:val="16"/>
          <w:szCs w:val="16"/>
          <w:lang w:val="en-US"/>
        </w:rPr>
      </w:pPr>
    </w:p>
    <w:p w:rsidR="00EF7AA8" w:rsidRPr="00D65B92" w:rsidRDefault="00EF7AA8" w:rsidP="00EF7AA8">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523C6"/>
    <w:multiLevelType w:val="hybridMultilevel"/>
    <w:tmpl w:val="570CDC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6E54A72"/>
    <w:multiLevelType w:val="hybridMultilevel"/>
    <w:tmpl w:val="69BE0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AA8"/>
    <w:rsid w:val="003B632E"/>
    <w:rsid w:val="003F7BE7"/>
    <w:rsid w:val="00B254FD"/>
    <w:rsid w:val="00EF7AA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E7F6F8-D687-4FE0-9F29-1DF790FAD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AA8"/>
    <w:rPr>
      <w:lang w:val="en-GB"/>
    </w:rPr>
  </w:style>
  <w:style w:type="paragraph" w:styleId="Heading2">
    <w:name w:val="heading 2"/>
    <w:basedOn w:val="Normal"/>
    <w:next w:val="Normal"/>
    <w:link w:val="Heading2Char"/>
    <w:uiPriority w:val="9"/>
    <w:unhideWhenUsed/>
    <w:qFormat/>
    <w:rsid w:val="00EF7AA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EF7AA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F7AA8"/>
    <w:rPr>
      <w:rFonts w:asciiTheme="majorHAnsi" w:eastAsiaTheme="majorEastAsia" w:hAnsiTheme="majorHAnsi" w:cstheme="majorBidi"/>
      <w:color w:val="365F91" w:themeColor="accent1" w:themeShade="BF"/>
      <w:sz w:val="26"/>
      <w:szCs w:val="26"/>
      <w:lang w:val="en-GB"/>
    </w:rPr>
  </w:style>
  <w:style w:type="character" w:customStyle="1" w:styleId="Heading3Char">
    <w:name w:val="Heading 3 Char"/>
    <w:basedOn w:val="DefaultParagraphFont"/>
    <w:link w:val="Heading3"/>
    <w:uiPriority w:val="9"/>
    <w:rsid w:val="00EF7AA8"/>
    <w:rPr>
      <w:rFonts w:asciiTheme="majorHAnsi" w:eastAsiaTheme="majorEastAsia" w:hAnsiTheme="majorHAnsi" w:cstheme="majorBidi"/>
      <w:color w:val="243F60" w:themeColor="accent1" w:themeShade="7F"/>
      <w:sz w:val="24"/>
      <w:szCs w:val="24"/>
      <w:lang w:val="en-GB"/>
    </w:rPr>
  </w:style>
  <w:style w:type="character" w:styleId="Hyperlink">
    <w:name w:val="Hyperlink"/>
    <w:basedOn w:val="DefaultParagraphFont"/>
    <w:uiPriority w:val="99"/>
    <w:unhideWhenUsed/>
    <w:rsid w:val="00EF7AA8"/>
    <w:rPr>
      <w:color w:val="0000FF" w:themeColor="hyperlink"/>
      <w:u w:val="single"/>
    </w:rPr>
  </w:style>
  <w:style w:type="paragraph" w:styleId="ListParagraph">
    <w:name w:val="List Paragraph"/>
    <w:basedOn w:val="Normal"/>
    <w:uiPriority w:val="34"/>
    <w:qFormat/>
    <w:rsid w:val="00EF7AA8"/>
    <w:pPr>
      <w:ind w:left="720"/>
      <w:contextualSpacing/>
    </w:pPr>
  </w:style>
  <w:style w:type="paragraph" w:styleId="Caption">
    <w:name w:val="caption"/>
    <w:basedOn w:val="Normal"/>
    <w:next w:val="Normal"/>
    <w:uiPriority w:val="35"/>
    <w:unhideWhenUsed/>
    <w:qFormat/>
    <w:rsid w:val="00EF7AA8"/>
    <w:pPr>
      <w:spacing w:line="240" w:lineRule="auto"/>
    </w:pPr>
    <w:rPr>
      <w:i/>
      <w:iCs/>
      <w:color w:val="1F497D" w:themeColor="text2"/>
      <w:sz w:val="18"/>
      <w:szCs w:val="18"/>
    </w:rPr>
  </w:style>
  <w:style w:type="character" w:customStyle="1" w:styleId="EndnoteTextChar">
    <w:name w:val="Endnote Text Char"/>
    <w:basedOn w:val="DefaultParagraphFont"/>
    <w:link w:val="EndnoteText"/>
    <w:uiPriority w:val="99"/>
    <w:semiHidden/>
    <w:rsid w:val="00EF7AA8"/>
    <w:rPr>
      <w:sz w:val="20"/>
      <w:szCs w:val="20"/>
    </w:rPr>
  </w:style>
  <w:style w:type="paragraph" w:styleId="EndnoteText">
    <w:name w:val="endnote text"/>
    <w:basedOn w:val="Normal"/>
    <w:link w:val="EndnoteTextChar"/>
    <w:uiPriority w:val="99"/>
    <w:semiHidden/>
    <w:unhideWhenUsed/>
    <w:rsid w:val="00EF7AA8"/>
    <w:pPr>
      <w:spacing w:after="0" w:line="240" w:lineRule="auto"/>
    </w:pPr>
    <w:rPr>
      <w:sz w:val="20"/>
      <w:szCs w:val="20"/>
      <w:lang w:val="fr-BE"/>
    </w:rPr>
  </w:style>
  <w:style w:type="character" w:customStyle="1" w:styleId="EndnoteTextChar1">
    <w:name w:val="Endnote Text Char1"/>
    <w:basedOn w:val="DefaultParagraphFont"/>
    <w:uiPriority w:val="99"/>
    <w:semiHidden/>
    <w:rsid w:val="00EF7AA8"/>
    <w:rPr>
      <w:sz w:val="20"/>
      <w:szCs w:val="20"/>
      <w:lang w:val="en-GB"/>
    </w:rPr>
  </w:style>
  <w:style w:type="paragraph" w:styleId="FootnoteText">
    <w:name w:val="footnote text"/>
    <w:basedOn w:val="Normal"/>
    <w:link w:val="FootnoteTextChar"/>
    <w:uiPriority w:val="99"/>
    <w:semiHidden/>
    <w:unhideWhenUsed/>
    <w:rsid w:val="00EF7AA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7AA8"/>
    <w:rPr>
      <w:sz w:val="20"/>
      <w:szCs w:val="20"/>
      <w:lang w:val="en-GB"/>
    </w:rPr>
  </w:style>
  <w:style w:type="character" w:styleId="FootnoteReference">
    <w:name w:val="footnote reference"/>
    <w:basedOn w:val="DefaultParagraphFont"/>
    <w:uiPriority w:val="99"/>
    <w:semiHidden/>
    <w:unhideWhenUsed/>
    <w:rsid w:val="00EF7AA8"/>
    <w:rPr>
      <w:vertAlign w:val="superscript"/>
    </w:rPr>
  </w:style>
  <w:style w:type="character" w:customStyle="1" w:styleId="docsum-authors2">
    <w:name w:val="docsum-authors2"/>
    <w:basedOn w:val="DefaultParagraphFont"/>
    <w:rsid w:val="00EF7AA8"/>
  </w:style>
  <w:style w:type="character" w:customStyle="1" w:styleId="docsum-journal-citation">
    <w:name w:val="docsum-journal-citation"/>
    <w:basedOn w:val="DefaultParagraphFont"/>
    <w:rsid w:val="00EF7A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olibri.list.lu/"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pypi.org/project/coclust/" TargetMode="External"/><Relationship Id="rId2" Type="http://schemas.openxmlformats.org/officeDocument/2006/relationships/hyperlink" Target="https://www.nlm.nih.gov/mesh/meshhome.html" TargetMode="External"/><Relationship Id="rId1" Type="http://schemas.openxmlformats.org/officeDocument/2006/relationships/hyperlink" Target="https://www.geonam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Dumont</dc:creator>
  <cp:keywords/>
  <dc:description/>
  <cp:lastModifiedBy>Bruno Dumont</cp:lastModifiedBy>
  <cp:revision>1</cp:revision>
  <dcterms:created xsi:type="dcterms:W3CDTF">2020-12-10T14:44:00Z</dcterms:created>
  <dcterms:modified xsi:type="dcterms:W3CDTF">2020-12-10T14:45:00Z</dcterms:modified>
</cp:coreProperties>
</file>