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8D6A8" w14:textId="77777777" w:rsidR="00147939" w:rsidRDefault="00147939" w:rsidP="00147939">
      <w:pPr>
        <w:spacing w:line="360" w:lineRule="auto"/>
        <w:rPr>
          <w:rFonts w:cstheme="minorHAnsi"/>
          <w:sz w:val="24"/>
          <w:szCs w:val="24"/>
        </w:rPr>
      </w:pPr>
      <w:r w:rsidRPr="008E0942">
        <w:rPr>
          <w:rFonts w:cstheme="minorHAnsi"/>
          <w:sz w:val="24"/>
          <w:szCs w:val="24"/>
        </w:rPr>
        <w:t>Evaluating the contribution of aestivation to the persistence of malaria mosquitoes through the Sahelian dry season using stable isotopes</w:t>
      </w:r>
    </w:p>
    <w:p w14:paraId="69AFA71F" w14:textId="0406DCBE" w:rsidR="00147939" w:rsidRPr="00053AE4" w:rsidRDefault="00147939" w:rsidP="00147939">
      <w:pPr>
        <w:spacing w:line="480" w:lineRule="auto"/>
        <w:rPr>
          <w:rFonts w:cstheme="minorHAnsi"/>
        </w:rPr>
      </w:pPr>
      <w:r w:rsidRPr="00A011D3">
        <w:rPr>
          <w:rFonts w:cstheme="minorHAnsi"/>
        </w:rPr>
        <w:t>Roy Faiman</w:t>
      </w:r>
      <w:r w:rsidRPr="00A011D3">
        <w:rPr>
          <w:rFonts w:cstheme="minorHAnsi"/>
          <w:vertAlign w:val="superscript"/>
        </w:rPr>
        <w:t>1 ◊</w:t>
      </w:r>
      <w:r w:rsidRPr="00A011D3">
        <w:rPr>
          <w:rFonts w:cstheme="minorHAnsi"/>
        </w:rPr>
        <w:t>, Alpha S. Yaro</w:t>
      </w:r>
      <w:r w:rsidRPr="00A011D3">
        <w:rPr>
          <w:rFonts w:cstheme="minorHAnsi"/>
          <w:vertAlign w:val="superscript"/>
        </w:rPr>
        <w:t>2 ◊</w:t>
      </w:r>
      <w:r w:rsidRPr="00A011D3">
        <w:rPr>
          <w:rFonts w:cstheme="minorHAnsi"/>
        </w:rPr>
        <w:t>,</w:t>
      </w:r>
      <w:r w:rsidRPr="00B63EEB">
        <w:rPr>
          <w:rFonts w:cstheme="minorHAnsi"/>
        </w:rPr>
        <w:t xml:space="preserve"> Adama Dao</w:t>
      </w:r>
      <w:r>
        <w:rPr>
          <w:rFonts w:cstheme="minorHAnsi"/>
          <w:vertAlign w:val="superscript"/>
        </w:rPr>
        <w:t>2</w:t>
      </w:r>
      <w:r w:rsidRPr="00B63EEB">
        <w:rPr>
          <w:rFonts w:cstheme="minorHAnsi"/>
        </w:rPr>
        <w:t>, Zana L. Sanogo</w:t>
      </w:r>
      <w:r>
        <w:rPr>
          <w:rFonts w:cstheme="minorHAnsi"/>
          <w:vertAlign w:val="superscript"/>
        </w:rPr>
        <w:t>2</w:t>
      </w:r>
      <w:r w:rsidRPr="00B63EEB">
        <w:rPr>
          <w:rFonts w:cstheme="minorHAnsi"/>
        </w:rPr>
        <w:t>, Moussa Diallo</w:t>
      </w:r>
      <w:r>
        <w:rPr>
          <w:rFonts w:cstheme="minorHAnsi"/>
          <w:vertAlign w:val="superscript"/>
        </w:rPr>
        <w:t>2</w:t>
      </w:r>
      <w:r w:rsidRPr="00B63EEB">
        <w:rPr>
          <w:rFonts w:cstheme="minorHAnsi"/>
        </w:rPr>
        <w:t>, Djibril Samake</w:t>
      </w:r>
      <w:r>
        <w:rPr>
          <w:rFonts w:cstheme="minorHAnsi"/>
          <w:vertAlign w:val="superscript"/>
        </w:rPr>
        <w:t>2</w:t>
      </w:r>
      <w:r w:rsidRPr="00B63EEB">
        <w:rPr>
          <w:rFonts w:cstheme="minorHAnsi"/>
        </w:rPr>
        <w:t>, Ousmane Yossi</w:t>
      </w:r>
      <w:r>
        <w:rPr>
          <w:rFonts w:cstheme="minorHAnsi"/>
          <w:vertAlign w:val="superscript"/>
        </w:rPr>
        <w:t>2</w:t>
      </w:r>
      <w:r>
        <w:rPr>
          <w:rFonts w:cstheme="minorHAnsi"/>
        </w:rPr>
        <w:t>, Laura R. Veru</w:t>
      </w:r>
      <w:r w:rsidRPr="00647560">
        <w:rPr>
          <w:rFonts w:cstheme="minorHAnsi"/>
          <w:vertAlign w:val="superscript"/>
        </w:rPr>
        <w:t>1</w:t>
      </w:r>
      <w:r>
        <w:rPr>
          <w:rFonts w:cstheme="minorHAnsi"/>
        </w:rPr>
        <w:t xml:space="preserve">, </w:t>
      </w:r>
      <w:r w:rsidRPr="00053AE4">
        <w:rPr>
          <w:rFonts w:cstheme="minorHAnsi"/>
        </w:rPr>
        <w:t xml:space="preserve">Leland </w:t>
      </w:r>
      <w:r>
        <w:rPr>
          <w:rFonts w:cstheme="minorHAnsi"/>
        </w:rPr>
        <w:t xml:space="preserve">C. </w:t>
      </w:r>
      <w:r w:rsidRPr="00053AE4">
        <w:rPr>
          <w:rFonts w:cstheme="minorHAnsi"/>
        </w:rPr>
        <w:t>Graber</w:t>
      </w:r>
      <w:r w:rsidRPr="00051F01">
        <w:rPr>
          <w:rFonts w:cstheme="minorHAnsi"/>
          <w:vertAlign w:val="superscript"/>
        </w:rPr>
        <w:t>1</w:t>
      </w:r>
      <w:r>
        <w:rPr>
          <w:rFonts w:cstheme="minorHAnsi"/>
        </w:rPr>
        <w:t>, Abigail R. Conte</w:t>
      </w:r>
      <w:r w:rsidRPr="00A875FD">
        <w:rPr>
          <w:rFonts w:cstheme="minorHAnsi"/>
          <w:vertAlign w:val="superscript"/>
        </w:rPr>
        <w:t>1</w:t>
      </w:r>
      <w:r>
        <w:rPr>
          <w:rFonts w:cstheme="minorHAnsi"/>
        </w:rPr>
        <w:t xml:space="preserve">, </w:t>
      </w:r>
      <w:r w:rsidR="004537CD">
        <w:rPr>
          <w:rFonts w:cstheme="minorHAnsi"/>
        </w:rPr>
        <w:t>Cedric Kouam</w:t>
      </w:r>
      <w:r w:rsidR="004537CD" w:rsidRPr="004537CD">
        <w:rPr>
          <w:rFonts w:cstheme="minorHAnsi"/>
          <w:vertAlign w:val="superscript"/>
        </w:rPr>
        <w:t>1</w:t>
      </w:r>
      <w:r w:rsidR="004537CD">
        <w:rPr>
          <w:rFonts w:cstheme="minorHAnsi"/>
        </w:rPr>
        <w:t xml:space="preserve">, </w:t>
      </w:r>
      <w:r w:rsidRPr="008E0942">
        <w:rPr>
          <w:rFonts w:cstheme="minorHAnsi"/>
        </w:rPr>
        <w:t>Benjamin J. Krajacich</w:t>
      </w:r>
      <w:r w:rsidRPr="008E0942">
        <w:rPr>
          <w:rFonts w:cstheme="minorHAnsi"/>
          <w:vertAlign w:val="superscript"/>
        </w:rPr>
        <w:t>1</w:t>
      </w:r>
      <w:r>
        <w:rPr>
          <w:rFonts w:cstheme="minorHAnsi"/>
        </w:rPr>
        <w:t xml:space="preserve"> </w:t>
      </w:r>
      <w:r w:rsidRPr="00051F01">
        <w:rPr>
          <w:rFonts w:cstheme="minorHAnsi"/>
        </w:rPr>
        <w:t>and Tovi Lehmann</w:t>
      </w:r>
      <w:r w:rsidRPr="00051F01">
        <w:rPr>
          <w:rFonts w:cstheme="minorHAnsi"/>
          <w:vertAlign w:val="superscript"/>
        </w:rPr>
        <w:t>1</w:t>
      </w:r>
    </w:p>
    <w:p w14:paraId="12AB4407" w14:textId="77777777" w:rsidR="00147939" w:rsidRPr="004952E1" w:rsidRDefault="00147939" w:rsidP="00147939">
      <w:pPr>
        <w:spacing w:line="240" w:lineRule="auto"/>
        <w:rPr>
          <w:rFonts w:cstheme="minorHAnsi"/>
          <w:b/>
          <w:bCs/>
        </w:rPr>
      </w:pPr>
      <w:r>
        <w:rPr>
          <w:rFonts w:cstheme="minorHAnsi"/>
          <w:b/>
          <w:bCs/>
          <w:vertAlign w:val="superscript"/>
        </w:rPr>
        <w:t>◊</w:t>
      </w:r>
      <w:r w:rsidRPr="004952E1">
        <w:rPr>
          <w:rFonts w:cstheme="minorHAnsi"/>
        </w:rPr>
        <w:t xml:space="preserve"> Contributed equally</w:t>
      </w:r>
      <w:r>
        <w:rPr>
          <w:rFonts w:cstheme="minorHAnsi"/>
        </w:rPr>
        <w:t xml:space="preserve"> to paper and share first authorship</w:t>
      </w:r>
    </w:p>
    <w:p w14:paraId="4F5D8C5F" w14:textId="77777777" w:rsidR="00147939" w:rsidRPr="00174796" w:rsidRDefault="00147939" w:rsidP="00147939">
      <w:pPr>
        <w:spacing w:line="240" w:lineRule="auto"/>
        <w:rPr>
          <w:rFonts w:cstheme="minorHAnsi"/>
        </w:rPr>
      </w:pPr>
      <w:r w:rsidRPr="00DC7A3A">
        <w:rPr>
          <w:rFonts w:cstheme="minorHAnsi"/>
          <w:b/>
          <w:bCs/>
          <w:vertAlign w:val="superscript"/>
        </w:rPr>
        <w:t>1</w:t>
      </w:r>
      <w:r>
        <w:rPr>
          <w:rFonts w:cstheme="minorHAnsi"/>
          <w:b/>
          <w:bCs/>
          <w:vertAlign w:val="superscript"/>
        </w:rPr>
        <w:t xml:space="preserve"> ◊ </w:t>
      </w:r>
      <w:r>
        <w:rPr>
          <w:rFonts w:cstheme="minorHAnsi"/>
        </w:rPr>
        <w:t xml:space="preserve">Corresponding author email: </w:t>
      </w:r>
      <w:r w:rsidRPr="00BA2A1B">
        <w:rPr>
          <w:rFonts w:cstheme="minorHAnsi"/>
        </w:rPr>
        <w:t>roy.faiman@nih.gov</w:t>
      </w:r>
    </w:p>
    <w:p w14:paraId="52DEEB75" w14:textId="77777777" w:rsidR="00147939" w:rsidRPr="00174796" w:rsidRDefault="00147939" w:rsidP="00147939">
      <w:pPr>
        <w:widowControl w:val="0"/>
        <w:suppressAutoHyphens/>
        <w:autoSpaceDE w:val="0"/>
        <w:autoSpaceDN w:val="0"/>
        <w:adjustRightInd w:val="0"/>
        <w:spacing w:after="144" w:line="260" w:lineRule="atLeast"/>
        <w:textAlignment w:val="center"/>
        <w:rPr>
          <w:rFonts w:cstheme="minorHAnsi"/>
          <w:color w:val="000000"/>
        </w:rPr>
      </w:pPr>
      <w:r w:rsidRPr="00BA2A1B">
        <w:rPr>
          <w:rFonts w:cstheme="minorHAnsi"/>
          <w:color w:val="000000"/>
          <w:vertAlign w:val="superscript"/>
        </w:rPr>
        <w:t>1</w:t>
      </w:r>
      <w:r w:rsidRPr="00174796">
        <w:rPr>
          <w:rFonts w:cstheme="minorHAnsi"/>
          <w:color w:val="000000"/>
        </w:rPr>
        <w:t xml:space="preserve"> Laboratory of Malaria and Vector Research, NIAID, NIH, Rockville, Maryland, </w:t>
      </w:r>
      <w:r>
        <w:rPr>
          <w:rFonts w:cstheme="minorHAnsi"/>
          <w:color w:val="000000"/>
        </w:rPr>
        <w:t>USA</w:t>
      </w:r>
    </w:p>
    <w:p w14:paraId="4CFBC444" w14:textId="77777777" w:rsidR="00147939" w:rsidRPr="00174796" w:rsidRDefault="00147939" w:rsidP="00147939">
      <w:pPr>
        <w:widowControl w:val="0"/>
        <w:suppressAutoHyphens/>
        <w:autoSpaceDE w:val="0"/>
        <w:autoSpaceDN w:val="0"/>
        <w:adjustRightInd w:val="0"/>
        <w:spacing w:after="144" w:line="260" w:lineRule="atLeast"/>
        <w:textAlignment w:val="center"/>
        <w:rPr>
          <w:rFonts w:cstheme="minorHAnsi"/>
          <w:color w:val="000000"/>
        </w:rPr>
      </w:pPr>
      <w:r w:rsidRPr="00BA2A1B">
        <w:rPr>
          <w:rFonts w:cstheme="minorHAnsi"/>
          <w:color w:val="000000"/>
          <w:vertAlign w:val="superscript"/>
        </w:rPr>
        <w:t>2</w:t>
      </w:r>
      <w:r w:rsidRPr="00174796">
        <w:rPr>
          <w:rFonts w:cstheme="minorHAnsi"/>
          <w:color w:val="000000"/>
        </w:rPr>
        <w:t xml:space="preserve"> Malaria Research and Training Center (MRTC)/ Faculty of Medicine, Pharmacy and </w:t>
      </w:r>
      <w:proofErr w:type="spellStart"/>
      <w:r w:rsidRPr="00174796">
        <w:rPr>
          <w:rFonts w:cstheme="minorHAnsi"/>
          <w:color w:val="000000"/>
        </w:rPr>
        <w:t>Odonto</w:t>
      </w:r>
      <w:proofErr w:type="spellEnd"/>
      <w:r w:rsidRPr="00174796">
        <w:rPr>
          <w:rFonts w:cstheme="minorHAnsi"/>
          <w:color w:val="000000"/>
        </w:rPr>
        <w:t>-stomatology, University of Sciences, Techniques and Technologies, Bamako, Mali</w:t>
      </w:r>
    </w:p>
    <w:p w14:paraId="6B96C644" w14:textId="77777777" w:rsidR="004C4A3C" w:rsidRDefault="004C4A3C" w:rsidP="00FE689C"/>
    <w:p w14:paraId="7ACBF3F8" w14:textId="68C9D7E9" w:rsidR="00FE689C" w:rsidRPr="0009598C" w:rsidRDefault="00FE689C" w:rsidP="00FE689C">
      <w:pPr>
        <w:rPr>
          <w:b/>
          <w:bCs/>
          <w:sz w:val="28"/>
          <w:szCs w:val="28"/>
        </w:rPr>
      </w:pPr>
      <w:r w:rsidRPr="0009598C">
        <w:rPr>
          <w:b/>
          <w:bCs/>
          <w:sz w:val="28"/>
          <w:szCs w:val="28"/>
        </w:rPr>
        <w:t xml:space="preserve">Supplementary </w:t>
      </w:r>
      <w:r w:rsidR="004C4A3C" w:rsidRPr="0009598C">
        <w:rPr>
          <w:b/>
          <w:bCs/>
          <w:sz w:val="28"/>
          <w:szCs w:val="28"/>
        </w:rPr>
        <w:t>Information</w:t>
      </w:r>
    </w:p>
    <w:p w14:paraId="7D5B6DEC" w14:textId="5D13AFC5" w:rsidR="00FE689C" w:rsidRPr="006C08F4" w:rsidRDefault="00FE689C" w:rsidP="00FE689C">
      <w:pPr>
        <w:rPr>
          <w:b/>
          <w:bCs/>
          <w:sz w:val="24"/>
          <w:szCs w:val="24"/>
        </w:rPr>
      </w:pPr>
      <w:r w:rsidRPr="006C08F4">
        <w:rPr>
          <w:b/>
          <w:bCs/>
          <w:sz w:val="24"/>
          <w:szCs w:val="24"/>
        </w:rPr>
        <w:t>Methods</w:t>
      </w:r>
    </w:p>
    <w:p w14:paraId="2D1DE744" w14:textId="5126358A" w:rsidR="0009598C" w:rsidRDefault="0009598C" w:rsidP="0009598C">
      <w:pPr>
        <w:rPr>
          <w:b/>
          <w:bCs/>
        </w:rPr>
      </w:pPr>
    </w:p>
    <w:p w14:paraId="41E0CB4B" w14:textId="66FC4E7E" w:rsidR="00FE4B7E" w:rsidRDefault="00FE4B7E" w:rsidP="0009598C">
      <w:pPr>
        <w:rPr>
          <w:b/>
          <w:bCs/>
        </w:rPr>
      </w:pPr>
      <w:r>
        <w:rPr>
          <w:b/>
          <w:bCs/>
        </w:rPr>
        <w:t>Stable isotope marking</w:t>
      </w:r>
    </w:p>
    <w:p w14:paraId="032A3706" w14:textId="2B8C9E21" w:rsidR="00FE4B7E" w:rsidRDefault="00FE4B7E" w:rsidP="00FE4B7E">
      <w:pPr>
        <w:spacing w:line="360" w:lineRule="auto"/>
        <w:rPr>
          <w:rFonts w:cstheme="minorHAnsi"/>
        </w:rPr>
      </w:pPr>
      <w:r>
        <w:rPr>
          <w:rFonts w:cstheme="minorHAnsi"/>
        </w:rPr>
        <w:t>S</w:t>
      </w:r>
      <w:r w:rsidRPr="000B20A2">
        <w:rPr>
          <w:rFonts w:cstheme="minorHAnsi"/>
        </w:rPr>
        <w:t xml:space="preserve">table isotopes </w:t>
      </w:r>
      <w:r>
        <w:rPr>
          <w:rFonts w:cstheme="minorHAnsi"/>
        </w:rPr>
        <w:t xml:space="preserve">(e.g., </w:t>
      </w:r>
      <w:r w:rsidRPr="00224914">
        <w:rPr>
          <w:rFonts w:cstheme="minorHAnsi"/>
          <w:vertAlign w:val="superscript"/>
        </w:rPr>
        <w:t>13</w:t>
      </w:r>
      <w:r>
        <w:rPr>
          <w:rFonts w:cstheme="minorHAnsi"/>
        </w:rPr>
        <w:t xml:space="preserve">C, </w:t>
      </w:r>
      <w:r w:rsidRPr="00224914">
        <w:rPr>
          <w:rFonts w:cstheme="minorHAnsi"/>
          <w:vertAlign w:val="superscript"/>
        </w:rPr>
        <w:t>15</w:t>
      </w:r>
      <w:r>
        <w:rPr>
          <w:rFonts w:cstheme="minorHAnsi"/>
        </w:rPr>
        <w:t xml:space="preserve">N in glucose and plant fertilizer most commonly) </w:t>
      </w:r>
      <w:r w:rsidRPr="000B20A2">
        <w:rPr>
          <w:rFonts w:cstheme="minorHAnsi"/>
        </w:rPr>
        <w:t>have previously been used</w:t>
      </w:r>
      <w:r>
        <w:rPr>
          <w:rFonts w:cstheme="minorHAnsi"/>
        </w:rPr>
        <w:t xml:space="preserve"> through larval stage exposure</w:t>
      </w:r>
      <w:r w:rsidRPr="000B20A2">
        <w:rPr>
          <w:rFonts w:cstheme="minorHAnsi"/>
        </w:rPr>
        <w:t xml:space="preserve"> to mark </w:t>
      </w:r>
      <w:r>
        <w:rPr>
          <w:rFonts w:cstheme="minorHAnsi"/>
        </w:rPr>
        <w:t>and</w:t>
      </w:r>
      <w:r w:rsidRPr="000B20A2">
        <w:rPr>
          <w:rFonts w:cstheme="minorHAnsi"/>
        </w:rPr>
        <w:t xml:space="preserve"> track dispersal of </w:t>
      </w:r>
      <w:r w:rsidRPr="003632A4">
        <w:rPr>
          <w:rFonts w:cstheme="minorHAnsi"/>
          <w:i/>
          <w:iCs/>
        </w:rPr>
        <w:t xml:space="preserve">Culex </w:t>
      </w:r>
      <w:proofErr w:type="spellStart"/>
      <w:r w:rsidRPr="003632A4">
        <w:rPr>
          <w:rFonts w:cstheme="minorHAnsi"/>
          <w:i/>
          <w:iCs/>
        </w:rPr>
        <w:t>pipiens</w:t>
      </w:r>
      <w:proofErr w:type="spellEnd"/>
      <w:r w:rsidRPr="000B20A2">
        <w:rPr>
          <w:rFonts w:cstheme="minorHAnsi"/>
        </w:rPr>
        <w:t xml:space="preserve">, </w:t>
      </w:r>
      <w:r w:rsidRPr="003632A4">
        <w:rPr>
          <w:rFonts w:cstheme="minorHAnsi"/>
          <w:i/>
          <w:iCs/>
        </w:rPr>
        <w:t xml:space="preserve">C. </w:t>
      </w:r>
      <w:proofErr w:type="spellStart"/>
      <w:r w:rsidRPr="003632A4">
        <w:rPr>
          <w:rFonts w:cstheme="minorHAnsi"/>
          <w:i/>
          <w:iCs/>
        </w:rPr>
        <w:t>quinquefasciatus</w:t>
      </w:r>
      <w:proofErr w:type="spellEnd"/>
      <w:r>
        <w:rPr>
          <w:rFonts w:cstheme="minorHAnsi"/>
          <w:i/>
          <w:iCs/>
        </w:rPr>
        <w:t>,</w:t>
      </w:r>
      <w:r w:rsidRPr="000B20A2">
        <w:rPr>
          <w:rFonts w:cstheme="minorHAnsi"/>
        </w:rPr>
        <w:t xml:space="preserve"> </w:t>
      </w:r>
      <w:r w:rsidRPr="003632A4">
        <w:rPr>
          <w:rFonts w:cstheme="minorHAnsi"/>
          <w:i/>
          <w:iCs/>
        </w:rPr>
        <w:t>Aedes aegypti</w:t>
      </w:r>
      <w:r w:rsidRPr="000B20A2">
        <w:rPr>
          <w:rFonts w:cstheme="minorHAnsi"/>
        </w:rPr>
        <w:t xml:space="preserve">, </w:t>
      </w:r>
      <w:r w:rsidRPr="003632A4">
        <w:rPr>
          <w:rFonts w:cstheme="minorHAnsi"/>
          <w:i/>
          <w:iCs/>
        </w:rPr>
        <w:t>A</w:t>
      </w:r>
      <w:r>
        <w:rPr>
          <w:rFonts w:cstheme="minorHAnsi"/>
          <w:i/>
          <w:iCs/>
        </w:rPr>
        <w:t>e</w:t>
      </w:r>
      <w:r w:rsidRPr="003632A4">
        <w:rPr>
          <w:rFonts w:cstheme="minorHAnsi"/>
          <w:i/>
          <w:iCs/>
        </w:rPr>
        <w:t>. albopictus</w:t>
      </w:r>
      <w:r>
        <w:rPr>
          <w:rFonts w:cstheme="minorHAnsi"/>
          <w:i/>
          <w:iCs/>
        </w:rPr>
        <w:t xml:space="preserve"> </w:t>
      </w:r>
      <w:r>
        <w:rPr>
          <w:rFonts w:cstheme="minorHAnsi"/>
        </w:rPr>
        <w:t xml:space="preserve">and </w:t>
      </w:r>
      <w:r>
        <w:rPr>
          <w:rFonts w:cstheme="minorHAnsi"/>
          <w:i/>
          <w:iCs/>
        </w:rPr>
        <w:t xml:space="preserve">An. arabiensis </w:t>
      </w:r>
      <w:r>
        <w:rPr>
          <w:rFonts w:cstheme="minorHAnsi"/>
        </w:rPr>
        <w:t xml:space="preserve">over short </w:t>
      </w:r>
      <w:proofErr w:type="spellStart"/>
      <w:r>
        <w:rPr>
          <w:rFonts w:cstheme="minorHAnsi"/>
        </w:rPr>
        <w:t>spatio</w:t>
      </w:r>
      <w:proofErr w:type="spellEnd"/>
      <w:r>
        <w:rPr>
          <w:rFonts w:cstheme="minorHAnsi"/>
        </w:rPr>
        <w:t>-temporal scales</w:t>
      </w:r>
      <w:r w:rsidRPr="000B20A2">
        <w:rPr>
          <w:rFonts w:cstheme="minorHAnsi"/>
        </w:rPr>
        <w:t xml:space="preserve"> </w:t>
      </w:r>
      <w:r>
        <w:rPr>
          <w:rFonts w:cstheme="minorHAnsi"/>
        </w:rPr>
        <w:fldChar w:fldCharType="begin" w:fldLock="1"/>
      </w:r>
      <w:r w:rsidR="006C08F4">
        <w:rPr>
          <w:rFonts w:cstheme="minorHAnsi"/>
        </w:rPr>
        <w:instrText>ADDIN CSL_CITATION {"citationItems":[{"id":"ITEM-1","itemData":{"DOI":"10.1371/journal.pntd.0002768","ISSN":"1935-2735","abstract":"Dispersal is a critical life history behavior for mosquitoes and is important for the spread of mosquito-borne disease. We implemented the first stable isotope mark-capture study to measure mosquito dispersal, focusing on Culex pipiens in southwest suburban Chicago, Illinois, a hotspot of West Nile virus (WNV) transmission. We enriched nine catch basins in 2010 and 2011 with 15N-potassium nitrate and detected dispersal of enriched adult females emerging from these catch basins using CDC light and gravid traps to distances as far as 3 km. We detected 12 isotopically enriched pools of mosquitoes out of 2,442 tested during the two years and calculated a mean dispersal distance of 1.15 km and maximum flight range of 2.48 km. According to a logistic distribution function, 90% of the female Culex mosquitoes stayed within 3 km of their larval habitat, which corresponds with the distance-limited genetic variation of WNV observed in this study region. This study provides new insights on the dispersal of the most important vector of WNV in the eastern United States and demonstrates the utility of stable isotope enrichment for studying the biology of mosquitoes in other disease systems.","author":[{"dropping-particle":"","family":"Hamer","given":"Gabriel L.","non-dropping-particle":"","parse-names":false,"suffix":""},{"dropping-particle":"","family":"Anderson","given":"Tavis K.","non-dropping-particle":"","parse-names":false,"suffix":""},{"dropping-particle":"","family":"Donovan","given":"Danielle J.","non-dropping-particle":"","parse-names":false,"suffix":""},{"dropping-particle":"","family":"Brawn","given":"Jeffrey D.","non-dropping-particle":"","parse-names":false,"suffix":""},{"dropping-particle":"","family":"Krebs","given":"Bethany L.","non-dropping-particle":"","parse-names":false,"suffix":""},{"dropping-particle":"","family":"Gardner","given":"Allison M.","non-dropping-particle":"","parse-names":false,"suffix":""},{"dropping-particle":"","family":"Ruiz","given":"Marilyn O.","non-dropping-particle":"","parse-names":false,"suffix":""},{"dropping-particle":"","family":"Brown","given":"William M.","non-dropping-particle":"","parse-names":false,"suffix":""},{"dropping-particle":"","family":"Kitron","given":"Uriel D.","non-dropping-particle":"","parse-names":false,"suffix":""},{"dropping-particle":"","family":"Newman","given":"Christina M.","non-dropping-particle":"","parse-names":false,"suffix":""},{"dropping-particle":"","family":"Goldberg","given":"Tony L.","non-dropping-particle":"","parse-names":false,"suffix":""},{"dropping-particle":"","family":"Walker","given":"Edward D.","non-dropping-particle":"","parse-names":false,"suffix":""}],"container-title":"PLoS Neglected Tropical Diseases","editor":[{"dropping-particle":"","family":"Kittayapong","given":"Pattamaporn","non-dropping-particle":"","parse-names":false,"suffix":""}],"id":"ITEM-1","issue":"3","issued":{"date-parts":[["2014","3","27"]]},"page":"e2768","publisher":"Public Library of Science","title":"Dispersal of Adult Culex Mosquitoes in an Urban West Nile Virus Hotspot: A Mark-Capture Study Incorporating Stable Isotope Enrichment of Natural Larval Habitats","type":"article-journal","volume":"8"},"uris":["http://www.mendeley.com/documents/?uuid=7cf964d3-bc48-39b1-9cb9-a001823cd7bc"]},{"id":"ITEM-2","itemData":{"DOI":"10.1371/journal.pntd.0005347","ISSN":"1935-2735","author":[{"dropping-particle":"","family":"Medeiros","given":"Matthew C. I.","non-dropping-particle":"","parse-names":false,"suffix":""},{"dropping-particle":"","family":"Boothe","given":"Emily C.","non-dropping-particle":"","parse-names":false,"suffix":""},{"dropping-particle":"","family":"Roark","given":"E. Brendan","non-dropping-particle":"","parse-names":false,"suffix":""},{"dropping-particle":"","family":"Hamer","given":"Gabriel L.","non-dropping-particle":"","parse-names":false,"suffix":""}],"container-title":"PLOS Neglected Tropical Diseases","editor":[{"dropping-particle":"","family":"Dinglasan","given":"Rhoel Ramos","non-dropping-particle":"","parse-names":false,"suffix":""}],"id":"ITEM-2","issue":"1","issued":{"date-parts":[["2017","1","30"]]},"page":"e0005347","publisher":"Public Library of Science","title":"Dispersal of male and female Culex quinquefasciatus and Aedes albopictus mosquitoes using stable isotope enrichment","type":"article-journal","volume":"11"},"uris":["http://www.mendeley.com/documents/?uuid=d11c0d84-407f-3089-accf-bbc198c90c42"]},{"id":"ITEM-3","itemData":{"DOI":"10.1186/1475-2875-5-6","ISSN":"14752875","abstract":"Monitoring of sterile to wild insect ratios in field populations can be useful to follow the progress in genetic control programmes such as the Sterile Insect Technique (SIT). Of the numerous methods for marking insects most are not suitable for use in mass rearing and mass release. Suitable ones include dye marking, genetic marking and chemical marking. The feasibility of using the stable isotope of carbon, 13C, as a potential chemical marker for Anopheles arabiensis was evaluated in the laboratory. Labeled-13C glucose was incorporated into the larval diet in a powder or liquid form. The contribution of adult sugar feeding to the total mosquito carbon pool and the metabolically active carbon pool was determined by tracing the decline of the enrichment of the adult male mosquito as it switched from a labeled larval diet to an unlabeled adult diet. This decline in the adult was monitored by destructive sampling of the whole mosquito and analyzed using isotope ratio mass spectrometry. A two-pool model was used to describe the decline of the 13C-enrichment of adult mosquitoes. The proportion of the total adult carbon pool derived from the adult sugar diet over the life span of mosquitoes was determined and the ratio of structural carbon, with a low turnover rate to metabolically active non-structural carbon was assessed. The uptake and turnover of sugar in the metabolically active fraction suggests that after 3 days &gt;70% of the active fraction carbon is derived from sugar feeding (increasing to &gt;90% by day 7), indicating the high resource demand of male mosquitoes. It was possible to \"fix\" the isotopic label in adult An. arabiensis and to detect the label at an appropriate concentration up to 21 days post-emergence. The optimum labeling treatment would cost around 250 US$ per million mosquitoes. Stable isotope marking may thus aid research on the fate of released insects besides other population-based ecological studies.","author":[{"dropping-particle":"","family":"Hood-Nowotny","given":"Rebecca","non-dropping-particle":"","parse-names":false,"suffix":""},{"dropping-particle":"","family":"Mayr","given":"Leo","non-dropping-particle":"","parse-names":false,"suffix":""},{"dropping-particle":"","family":"Knols","given":"BartGJ","non-dropping-particle":"","parse-names":false,"suffix":""}],"container-title":"Malaria Journal","id":"ITEM-3","issue":"1","issued":{"date-parts":[["2006"]]},"page":"6","publisher":"BioMed Central","title":"Use of carbon-13 as a population marker for Anopheles arabiensis in a sterile insect technique (SIT) context","type":"article-journal","volume":"5"},"uris":["http://www.mendeley.com/documents/?uuid=674e1932-f048-34c8-960b-b0f0397d97bb"]}],"mendeley":{"formattedCitation":"&lt;sup&gt;1–3&lt;/sup&gt;","plainTextFormattedCitation":"1–3","previouslyFormattedCitation":"&lt;sup&gt;1–3&lt;/sup&gt;"},"properties":{"noteIndex":0},"schema":"https://github.com/citation-style-language/schema/raw/master/csl-citation.json"}</w:instrText>
      </w:r>
      <w:r>
        <w:rPr>
          <w:rFonts w:cstheme="minorHAnsi"/>
        </w:rPr>
        <w:fldChar w:fldCharType="separate"/>
      </w:r>
      <w:r w:rsidR="006C08F4" w:rsidRPr="006C08F4">
        <w:rPr>
          <w:rFonts w:cstheme="minorHAnsi"/>
          <w:noProof/>
          <w:vertAlign w:val="superscript"/>
        </w:rPr>
        <w:t>1–3</w:t>
      </w:r>
      <w:r>
        <w:rPr>
          <w:rFonts w:cstheme="minorHAnsi"/>
        </w:rPr>
        <w:fldChar w:fldCharType="end"/>
      </w:r>
      <w:r w:rsidRPr="000B20A2">
        <w:rPr>
          <w:rFonts w:cstheme="minorHAnsi"/>
        </w:rPr>
        <w:t>. Stable isotope enrichment of mosquito larval sites enables large-scale</w:t>
      </w:r>
      <w:r>
        <w:rPr>
          <w:rFonts w:cstheme="minorHAnsi"/>
        </w:rPr>
        <w:t>,</w:t>
      </w:r>
      <w:r w:rsidRPr="000B20A2">
        <w:rPr>
          <w:rFonts w:cstheme="minorHAnsi"/>
        </w:rPr>
        <w:t xml:space="preserve"> </w:t>
      </w:r>
      <w:r>
        <w:rPr>
          <w:rFonts w:cstheme="minorHAnsi"/>
        </w:rPr>
        <w:t xml:space="preserve">life-long </w:t>
      </w:r>
      <w:r w:rsidRPr="000B20A2">
        <w:rPr>
          <w:rFonts w:cstheme="minorHAnsi"/>
        </w:rPr>
        <w:t>marking of wild mosquitoes by continuously and non-invasively marking newly hatched larvae in-situ</w:t>
      </w:r>
      <w:r>
        <w:rPr>
          <w:rFonts w:cstheme="minorHAnsi"/>
        </w:rPr>
        <w:t xml:space="preserve"> as long as the marking agent is present </w:t>
      </w:r>
      <w:r>
        <w:rPr>
          <w:rFonts w:cstheme="minorHAnsi"/>
        </w:rPr>
        <w:fldChar w:fldCharType="begin" w:fldLock="1"/>
      </w:r>
      <w:r w:rsidR="006C08F4">
        <w:rPr>
          <w:rFonts w:cstheme="minorHAnsi"/>
        </w:rPr>
        <w:instrText>ADDIN CSL_CITATION {"citationItems":[{"id":"ITEM-1","itemData":{"DOI":"10.1371/journal.pntd.0002768","ISSN":"1935-2735","abstract":"Dispersal is a critical life history behavior for mosquitoes and is important for the spread of mosquito-borne disease. We implemented the first stable isotope mark-capture study to measure mosquito dispersal, focusing on Culex pipiens in southwest suburban Chicago, Illinois, a hotspot of West Nile virus (WNV) transmission. We enriched nine catch basins in 2010 and 2011 with 15N-potassium nitrate and detected dispersal of enriched adult females emerging from these catch basins using CDC light and gravid traps to distances as far as 3 km. We detected 12 isotopically enriched pools of mosquitoes out of 2,442 tested during the two years and calculated a mean dispersal distance of 1.15 km and maximum flight range of 2.48 km. According to a logistic distribution function, 90% of the female Culex mosquitoes stayed within 3 km of their larval habitat, which corresponds with the distance-limited genetic variation of WNV observed in this study region. This study provides new insights on the dispersal of the most important vector of WNV in the eastern United States and demonstrates the utility of stable isotope enrichment for studying the biology of mosquitoes in other disease systems.","author":[{"dropping-particle":"","family":"Hamer","given":"Gabriel L.","non-dropping-particle":"","parse-names":false,"suffix":""},{"dropping-particle":"","family":"Anderson","given":"Tavis K.","non-dropping-particle":"","parse-names":false,"suffix":""},{"dropping-particle":"","family":"Donovan","given":"Danielle J.","non-dropping-particle":"","parse-names":false,"suffix":""},{"dropping-particle":"","family":"Brawn","given":"Jeffrey D.","non-dropping-particle":"","parse-names":false,"suffix":""},{"dropping-particle":"","family":"Krebs","given":"Bethany L.","non-dropping-particle":"","parse-names":false,"suffix":""},{"dropping-particle":"","family":"Gardner","given":"Allison M.","non-dropping-particle":"","parse-names":false,"suffix":""},{"dropping-particle":"","family":"Ruiz","given":"Marilyn O.","non-dropping-particle":"","parse-names":false,"suffix":""},{"dropping-particle":"","family":"Brown","given":"William M.","non-dropping-particle":"","parse-names":false,"suffix":""},{"dropping-particle":"","family":"Kitron","given":"Uriel D.","non-dropping-particle":"","parse-names":false,"suffix":""},{"dropping-particle":"","family":"Newman","given":"Christina M.","non-dropping-particle":"","parse-names":false,"suffix":""},{"dropping-particle":"","family":"Goldberg","given":"Tony L.","non-dropping-particle":"","parse-names":false,"suffix":""},{"dropping-particle":"","family":"Walker","given":"Edward D.","non-dropping-particle":"","parse-names":false,"suffix":""}],"container-title":"PLoS Neglected Tropical Diseases","editor":[{"dropping-particle":"","family":"Kittayapong","given":"Pattamaporn","non-dropping-particle":"","parse-names":false,"suffix":""}],"id":"ITEM-1","issue":"3","issued":{"date-parts":[["2014","3","27"]]},"page":"e2768","publisher":"Public Library of Science","title":"Dispersal of Adult Culex Mosquitoes in an Urban West Nile Virus Hotspot: A Mark-Capture Study Incorporating Stable Isotope Enrichment of Natural Larval Habitats","type":"article-journal","volume":"8"},"uris":["http://www.mendeley.com/documents/?uuid=6f2b2ef0-88fc-3c6f-bd07-90bcad4831fb"]},{"id":"ITEM-2","itemData":{"DOI":"10.1371/journal.pntd.0005347","ISSN":"1935-2735","author":[{"dropping-particle":"","family":"Medeiros","given":"Matthew C. I.","non-dropping-particle":"","parse-names":false,"suffix":""},{"dropping-particle":"","family":"Boothe","given":"Emily C.","non-dropping-particle":"","parse-names":false,"suffix":""},{"dropping-particle":"","family":"Roark","given":"E. Brendan","non-dropping-particle":"","parse-names":false,"suffix":""},{"dropping-particle":"","family":"Hamer","given":"Gabriel L.","non-dropping-particle":"","parse-names":false,"suffix":""}],"container-title":"PLOS Neglected Tropical Diseases","editor":[{"dropping-particle":"","family":"Dinglasan","given":"Rhoel Ramos","non-dropping-particle":"","parse-names":false,"suffix":""}],"id":"ITEM-2","issue":"1","issued":{"date-parts":[["2017","1","30"]]},"page":"e0005347","publisher":"Public Library of Science","title":"Dispersal of male and female Culex quinquefasciatus and Aedes albopictus mosquitoes using stable isotope enrichment","type":"article-journal","volume":"11"},"uris":["http://www.mendeley.com/documents/?uuid=d11c0d84-407f-3089-accf-bbc198c90c42"]},{"id":"ITEM-3","itemData":{"DOI":"10.1111/j.1570-7458.2007.00572.x","ISSN":"0013-8703","author":[{"dropping-particle":"","family":"Hood-Nowotny","given":"Rebecca","non-dropping-particle":"","parse-names":false,"suffix":""},{"dropping-particle":"","family":"Knols","given":"Bart G. J.","non-dropping-particle":"","parse-names":false,"suffix":""}],"container-title":"Entomologia Experimentalis et Applicata","id":"ITEM-3","issue":"1","issued":{"date-parts":[["2007","7"]]},"page":"3-16","publisher":"Blackwell Publishing Ltd","title":"Stable isotope methods in biological and ecological studies of arthropods","type":"article-journal","volume":"124"},"uris":["http://www.mendeley.com/documents/?uuid=6a016473-55cb-365f-8172-ea9c3eb3629b"]},{"id":"ITEM-4","itemData":{"DOI":"10.1186/1475-2875-5-6","ISSN":"14752875","abstract":"Monitoring of sterile to wild insect ratios in field populations can be useful to follow the progress in genetic control programmes such as the Sterile Insect Technique (SIT). Of the numerous methods for marking insects most are not suitable for use in mass rearing and mass release. Suitable ones include dye marking, genetic marking and chemical marking. The feasibility of using the stable isotope of carbon, 13C, as a potential chemical marker for Anopheles arabiensis was evaluated in the laboratory. Labeled-13C glucose was incorporated into the larval diet in a powder or liquid form. The contribution of adult sugar feeding to the total mosquito carbon pool and the metabolically active carbon pool was determined by tracing the decline of the enrichment of the adult male mosquito as it switched from a labeled larval diet to an unlabeled adult diet. This decline in the adult was monitored by destructive sampling of the whole mosquito and analyzed using isotope ratio mass spectrometry. A two-pool model was used to describe the decline of the 13C-enrichment of adult mosquitoes. The proportion of the total adult carbon pool derived from the adult sugar diet over the life span of mosquitoes was determined and the ratio of structural carbon, with a low turnover rate to metabolically active non-structural carbon was assessed. The uptake and turnover of sugar in the metabolically active fraction suggests that after 3 days &gt;70% of the active fraction carbon is derived from sugar feeding (increasing to &gt;90% by day 7), indicating the high resource demand of male mosquitoes. It was possible to \"fix\" the isotopic label in adult An. arabiensis and to detect the label at an appropriate concentration up to 21 days post-emergence. The optimum labeling treatment would cost around 250 US$ per million mosquitoes. Stable isotope marking may thus aid research on the fate of released insects besides other population-based ecological studies.","author":[{"dropping-particle":"","family":"Hood-Nowotny","given":"Rebecca","non-dropping-particle":"","parse-names":false,"suffix":""},{"dropping-particle":"","family":"Mayr","given":"Leo","non-dropping-particle":"","parse-names":false,"suffix":""},{"dropping-particle":"","family":"Knols","given":"BartGJ","non-dropping-particle":"","parse-names":false,"suffix":""}],"container-title":"Malaria Journal","id":"ITEM-4","issue":"1","issued":{"date-parts":[["2006"]]},"page":"6","publisher":"BioMed Central","title":"Use of carbon-13 as a population marker for Anopheles arabiensis in a sterile insect technique (SIT) context","type":"article-journal","volume":"5"},"uris":["http://www.mendeley.com/documents/?uuid=674e1932-f048-34c8-960b-b0f0397d97bb"]},{"id":"ITEM-5","itemData":{"DOI":"https://doi.org/10.1111/2041-210X.13210","abstract":"Abstract Tracking mosquitoes using current methods of mark–release–recapture are limited to small spatial and temporal scales exposing major gaps in understanding long-range movements and extended survival. Novel approaches to track mosquitoes may yield fresh insights into their biology which improves intervention activities to reduce disease transmission. Stable isotope enrichment of natural mosquito breeding sites allows large-scale marking of wild mosquitoes absent human handling. Mosquito larvae that develop in 2H-enriched water are expected to be detectable for over 4 months using tissue mass fraction 2H measurements, providing opportunities for long-term mark–capture studies on a large scale. A laboratory study followed by a field experiment of mosquito larval habitat 2H enrichment was conducted in Mali, to evaluate potential labelling of wild mosquitoes. Twelve natural larval sites were enriched using [2H] deuterium oxide (D2O, 99%). Enrichment level was maintained by supplementation following dilution by rains. Availability of 2H to mosquito larvae was enhanced by locally collected and cultured microorganisms (i.e. protozoa, algae and bacteria) reared in deuterated water, and provided as larval diet. Putative natural predators were removed from the larval sites and first instar larvae Anopheles gambiae s.l. larvae were added every other day. Emergence traps enabled collection of eclosing adults. Adult mosquitoes were kept at laboratory conditions for analysis of label attrition with age. Deuterium enrichment of wild mosquitoes above background levels (maximum = 143.1 ppm) became apparent 5–6 days after initial exposure, after which 2H values increased steadily until c. 24 days later (to a mean of c. 220 ppm). Anopheles and Culex mosquitoes showed significantly different 2H values (211 and 194.2 ppm, respectively). Both genera exhibited exponential label attrition (e(-x)) amounting to 21.6% by day 30 post-emergence, after which attrition rate continuously decreased. Males of both taxa exhibited a higher mean 2H value compared to females. Deuterium oxide proved useful in marking mosquitoes in their natural larval sites and although costly, may prove valuable for studies of mosquitoes and other aquatic insects. Based on our field study, we provide a protocol for marking mosquito larval sites using deuterium oxide.","author":[{"dropping-particle":"","family":"Faiman","given":"Roy","non-dropping-particle":"","parse-names":false,"suffix":""},{"dropping-particle":"","family":"Dao","given":"Adama","non-dropping-particle":"","parse-names":false,"suffix":""},{"dropping-particle":"","family":"Yaro","given":"Alpha Seydou","non-dropping-particle":"","parse-names":false,"suffix":""},{"dropping-particle":"","family":"Diallo","given":"Moussa","non-dropping-particle":"","parse-names":false,"suffix":""},{"dropping-particle":"","family":"Djibril","given":"Samake","non-dropping-particle":"","parse-names":false,"suffix":""},{"dropping-particle":"","family":"Sanogo","given":"Zana Lamissa","non-dropping-particle":"","parse-names":false,"suffix":""},{"dropping-particle":"","family":"Ousmane","given":"Yossi","non-dropping-particle":"","parse-names":false,"suffix":""},{"dropping-particle":"","family":"Sullivan","given":"Margery","non-dropping-particle":"","parse-names":false,"suffix":""},{"dropping-particle":"","family":"Veru","given":"Laura","non-dropping-particle":"","parse-names":false,"suffix":""},{"dropping-particle":"","family":"Krajacich","given":"Benjamin J","non-dropping-particle":"","parse-names":false,"suffix":""},{"dropping-particle":"","family":"Krishna","given":"Asha","non-dropping-particle":"","parse-names":false,"suffix":""},{"dropping-particle":"","family":"Matthews","given":"Joy","non-dropping-particle":"","parse-names":false,"suffix":""},{"dropping-particle":"","family":"France","given":"Christine A M","non-dropping-particle":"","parse-names":false,"suffix":""},{"dropping-particle":"","family":"Hamer","given":"Gabriel","non-dropping-particle":"","parse-names":false,"suffix":""},{"dropping-particle":"","family":"Hobson","given":"Keith A","non-dropping-particle":"","parse-names":false,"suffix":""},{"dropping-particle":"","family":"Lehmann","given":"Tovi","non-dropping-particle":"","parse-names":false,"suffix":""}],"container-title":"Methods in Ecology and Evolution","id":"ITEM-5","issue":"8","issued":{"date-parts":[["2019"]]},"page":"1274-1285","title":"Marking mosquitoes in their natural larval sites using 2H-enriched water: A promising approach for tracking over extended temporal and spatial scales","type":"article-journal","volume":"10"},"uris":["http://www.mendeley.com/documents/?uuid=e94e96bd-293c-3086-9146-06edf66150f4"]}],"mendeley":{"formattedCitation":"&lt;sup&gt;2–6&lt;/sup&gt;","plainTextFormattedCitation":"2–6","previouslyFormattedCitation":"&lt;sup&gt;2–6&lt;/sup&gt;"},"properties":{"noteIndex":0},"schema":"https://github.com/citation-style-language/schema/raw/master/csl-citation.json"}</w:instrText>
      </w:r>
      <w:r>
        <w:rPr>
          <w:rFonts w:cstheme="minorHAnsi"/>
        </w:rPr>
        <w:fldChar w:fldCharType="separate"/>
      </w:r>
      <w:r w:rsidR="006C08F4" w:rsidRPr="006C08F4">
        <w:rPr>
          <w:rFonts w:cstheme="minorHAnsi"/>
          <w:noProof/>
          <w:vertAlign w:val="superscript"/>
        </w:rPr>
        <w:t>2–6</w:t>
      </w:r>
      <w:r>
        <w:rPr>
          <w:rFonts w:cstheme="minorHAnsi"/>
        </w:rPr>
        <w:fldChar w:fldCharType="end"/>
      </w:r>
      <w:r>
        <w:rPr>
          <w:rFonts w:cstheme="minorHAnsi"/>
        </w:rPr>
        <w:t>.</w:t>
      </w:r>
      <w:r w:rsidRPr="000B20A2">
        <w:rPr>
          <w:rFonts w:cstheme="minorHAnsi"/>
        </w:rPr>
        <w:t xml:space="preserve"> </w:t>
      </w:r>
      <w:r>
        <w:rPr>
          <w:rFonts w:cstheme="minorHAnsi"/>
        </w:rPr>
        <w:t>With possible residual effects of carbon and nitrogen assimilation into the local food webs as basic nutrients and metabolites</w:t>
      </w:r>
      <w:r>
        <w:rPr>
          <w:rFonts w:cstheme="minorHAnsi"/>
        </w:rPr>
        <w:fldChar w:fldCharType="begin" w:fldLock="1"/>
      </w:r>
      <w:r w:rsidR="006C08F4">
        <w:rPr>
          <w:rFonts w:cstheme="minorHAnsi"/>
        </w:rPr>
        <w:instrText>ADDIN CSL_CITATION {"citationItems":[{"id":"ITEM-1","itemData":{"ISBN":"0632038012","author":[{"dropping-particle":"","family":"M Begon, JL Harper","given":"CR Townsend","non-dropping-particle":"","parse-names":false,"suffix":""}],"edition":"3rd","id":"ITEM-1","issued":{"date-parts":[["1996"]]},"number-of-pages":"1068","publisher":"Blackwell Science Ltd","publisher-place":"Oxford","title":"Ecology. Individuals, populations and communities","type":"book"},"uris":["http://www.mendeley.com/documents/?uuid=6b9fadf0-ce71-40a6-bbe8-3bf30fc01405"]}],"mendeley":{"formattedCitation":"&lt;sup&gt;7&lt;/sup&gt;","plainTextFormattedCitation":"7","previouslyFormattedCitation":"&lt;sup&gt;7&lt;/sup&gt;"},"properties":{"noteIndex":0},"schema":"https://github.com/citation-style-language/schema/raw/master/csl-citation.json"}</w:instrText>
      </w:r>
      <w:r>
        <w:rPr>
          <w:rFonts w:cstheme="minorHAnsi"/>
        </w:rPr>
        <w:fldChar w:fldCharType="separate"/>
      </w:r>
      <w:r w:rsidR="006C08F4" w:rsidRPr="006C08F4">
        <w:rPr>
          <w:rFonts w:cstheme="minorHAnsi"/>
          <w:noProof/>
          <w:vertAlign w:val="superscript"/>
        </w:rPr>
        <w:t>7</w:t>
      </w:r>
      <w:r>
        <w:rPr>
          <w:rFonts w:cstheme="minorHAnsi"/>
        </w:rPr>
        <w:fldChar w:fldCharType="end"/>
      </w:r>
      <w:r>
        <w:rPr>
          <w:rFonts w:cstheme="minorHAnsi"/>
        </w:rPr>
        <w:t xml:space="preserve">, we selected hydrogen (in the form of deuterium-oxide, </w:t>
      </w:r>
      <w:r w:rsidRPr="003632A4">
        <w:rPr>
          <w:rFonts w:cstheme="minorHAnsi"/>
          <w:vertAlign w:val="superscript"/>
        </w:rPr>
        <w:t>2</w:t>
      </w:r>
      <w:r>
        <w:rPr>
          <w:rFonts w:cstheme="minorHAnsi"/>
        </w:rPr>
        <w:t>H</w:t>
      </w:r>
      <w:r w:rsidRPr="003632A4">
        <w:rPr>
          <w:rFonts w:cstheme="minorHAnsi"/>
          <w:vertAlign w:val="subscript"/>
        </w:rPr>
        <w:t>2</w:t>
      </w:r>
      <w:r>
        <w:rPr>
          <w:rFonts w:cstheme="minorHAnsi"/>
        </w:rPr>
        <w:t>O) which holds qualities not unlike those of water and bears negligible influence when assimilated</w:t>
      </w:r>
      <w:r>
        <w:rPr>
          <w:rFonts w:cstheme="minorHAnsi"/>
        </w:rPr>
        <w:fldChar w:fldCharType="begin" w:fldLock="1"/>
      </w:r>
      <w:r w:rsidR="006C08F4">
        <w:rPr>
          <w:rFonts w:cstheme="minorHAnsi"/>
        </w:rPr>
        <w:instrText>ADDIN CSL_CITATION {"citationItems":[{"id":"ITEM-1","itemData":{"DOI":"https://doi.org/10.1002/anie.201704146","ISSN":"1433-7851","abstract":"Abstract Hydrogen isotopes are unique tools for identifying and understanding biological and chemical processes. Hydrogen isotope labelling allows for the traceless and direct incorporation of an additional mass or radioactive tag into an organic molecule with almost no changes in its chemical structure, physical properties, or biological activity. Using deuterium-labelled isotopologues to study the unique mass-spectrometric patterns generated from mixtures of biologically relevant molecules drastically simplifies analysis. Such methods are now providing unprecedented levels of insight in a wide and continuously growing range of applications in the life sciences and beyond. Tritium (3H), in particular, has seen an increase in utilization, especially in pharmaceutical drug discovery. The efforts and costs associated with the synthesis of labelled compounds are more than compensated for by the enhanced molecular sensitivity during analysis and the high reliability of the data obtained. In this Review, advances in the application of hydrogen isotopes in the life sciences are described.","author":[{"dropping-particle":"","family":"Atzrodt","given":"Jens","non-dropping-particle":"","parse-names":false,"suffix":""},{"dropping-particle":"","family":"Derdau","given":"Volker","non-dropping-particle":"","parse-names":false,"suffix":""},{"dropping-particle":"","family":"Kerr","given":"William J","non-dropping-particle":"","parse-names":false,"suffix":""},{"dropping-particle":"","family":"Reid","given":"Marc","non-dropping-particle":"","parse-names":false,"suffix":""}],"container-title":"Angewandte Chemie International Edition","id":"ITEM-1","issue":"7","issued":{"date-parts":[["2018","2","12"]]},"note":"https://doi.org/10.1002/anie.201704146","page":"1758-1784","publisher":"John Wiley &amp; Sons, Ltd","title":"Deuterium- and Tritium-Labelled Compounds: Applications in the Life Sciences","type":"article-journal","volume":"57"},"uris":["http://www.mendeley.com/documents/?uuid=9177d299-a0e1-45e6-aa9e-38cf75c54452"]}],"mendeley":{"formattedCitation":"&lt;sup&gt;8&lt;/sup&gt;","plainTextFormattedCitation":"8","previouslyFormattedCitation":"&lt;sup&gt;8&lt;/sup&gt;"},"properties":{"noteIndex":0},"schema":"https://github.com/citation-style-language/schema/raw/master/csl-citation.json"}</w:instrText>
      </w:r>
      <w:r>
        <w:rPr>
          <w:rFonts w:cstheme="minorHAnsi"/>
        </w:rPr>
        <w:fldChar w:fldCharType="separate"/>
      </w:r>
      <w:r w:rsidR="006C08F4" w:rsidRPr="006C08F4">
        <w:rPr>
          <w:rFonts w:cstheme="minorHAnsi"/>
          <w:noProof/>
          <w:vertAlign w:val="superscript"/>
        </w:rPr>
        <w:t>8</w:t>
      </w:r>
      <w:r>
        <w:rPr>
          <w:rFonts w:cstheme="minorHAnsi"/>
        </w:rPr>
        <w:fldChar w:fldCharType="end"/>
      </w:r>
      <w:r>
        <w:rPr>
          <w:rFonts w:cstheme="minorHAnsi"/>
        </w:rPr>
        <w:t xml:space="preserve">.  </w:t>
      </w:r>
    </w:p>
    <w:p w14:paraId="785C2CA9" w14:textId="77777777" w:rsidR="00FE4B7E" w:rsidRDefault="00FE4B7E" w:rsidP="0009598C">
      <w:pPr>
        <w:rPr>
          <w:b/>
          <w:bCs/>
        </w:rPr>
      </w:pPr>
    </w:p>
    <w:p w14:paraId="3715C643" w14:textId="77777777" w:rsidR="0009598C" w:rsidRDefault="0009598C" w:rsidP="0009598C">
      <w:pPr>
        <w:rPr>
          <w:b/>
          <w:bCs/>
        </w:rPr>
      </w:pPr>
    </w:p>
    <w:p w14:paraId="12E6B98E" w14:textId="77777777" w:rsidR="006C08F4" w:rsidRDefault="006C08F4" w:rsidP="0009598C">
      <w:pPr>
        <w:rPr>
          <w:b/>
          <w:bCs/>
        </w:rPr>
      </w:pPr>
    </w:p>
    <w:p w14:paraId="36996528" w14:textId="77777777" w:rsidR="006C08F4" w:rsidRDefault="006C08F4" w:rsidP="0009598C">
      <w:pPr>
        <w:rPr>
          <w:b/>
          <w:bCs/>
        </w:rPr>
      </w:pPr>
    </w:p>
    <w:p w14:paraId="36554F90" w14:textId="77777777" w:rsidR="006C08F4" w:rsidRDefault="006C08F4" w:rsidP="0009598C">
      <w:pPr>
        <w:rPr>
          <w:b/>
          <w:bCs/>
        </w:rPr>
      </w:pPr>
    </w:p>
    <w:p w14:paraId="73D38C37" w14:textId="35CA8B78" w:rsidR="0009598C" w:rsidRDefault="0009598C" w:rsidP="0009598C">
      <w:pPr>
        <w:rPr>
          <w:b/>
          <w:bCs/>
        </w:rPr>
      </w:pPr>
      <w:r>
        <w:rPr>
          <w:b/>
          <w:bCs/>
        </w:rPr>
        <w:lastRenderedPageBreak/>
        <w:t>Figure S1.</w:t>
      </w:r>
    </w:p>
    <w:p w14:paraId="233CBD25" w14:textId="2CB0D54D" w:rsidR="0009598C" w:rsidRDefault="0009598C" w:rsidP="00FE689C">
      <w:r>
        <w:rPr>
          <w:noProof/>
        </w:rPr>
        <w:drawing>
          <wp:inline distT="0" distB="0" distL="0" distR="0" wp14:anchorId="16F3A6D8" wp14:editId="6B266A59">
            <wp:extent cx="5942477" cy="1301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2477" cy="1301750"/>
                    </a:xfrm>
                    <a:prstGeom prst="rect">
                      <a:avLst/>
                    </a:prstGeom>
                  </pic:spPr>
                </pic:pic>
              </a:graphicData>
            </a:graphic>
          </wp:inline>
        </w:drawing>
      </w:r>
    </w:p>
    <w:p w14:paraId="079C7F3D" w14:textId="3B6073E1" w:rsidR="0009598C" w:rsidRDefault="00A011D3" w:rsidP="00A011D3">
      <w:r w:rsidRPr="00A011D3">
        <w:rPr>
          <w:b/>
          <w:bCs/>
          <w:sz w:val="18"/>
          <w:szCs w:val="18"/>
        </w:rPr>
        <w:t xml:space="preserve">Figure S1. </w:t>
      </w:r>
      <w:r w:rsidRPr="00A011D3">
        <w:rPr>
          <w:sz w:val="18"/>
          <w:szCs w:val="18"/>
        </w:rPr>
        <w:t>Stable isotope MRR timeline. Line graph (</w:t>
      </w:r>
      <w:r>
        <w:rPr>
          <w:sz w:val="18"/>
          <w:szCs w:val="18"/>
        </w:rPr>
        <w:t>black</w:t>
      </w:r>
      <w:r w:rsidRPr="00A011D3">
        <w:rPr>
          <w:sz w:val="18"/>
          <w:szCs w:val="18"/>
        </w:rPr>
        <w:t xml:space="preserve">) shows Sahelian </w:t>
      </w:r>
      <w:r w:rsidRPr="00A011D3">
        <w:rPr>
          <w:i/>
          <w:iCs/>
          <w:sz w:val="18"/>
          <w:szCs w:val="18"/>
        </w:rPr>
        <w:t>An. coluzzii</w:t>
      </w:r>
      <w:r w:rsidRPr="00A011D3">
        <w:rPr>
          <w:sz w:val="18"/>
          <w:szCs w:val="18"/>
        </w:rPr>
        <w:t xml:space="preserve"> relative density (after Dao et al., 2014) by month. Rainy season depicted </w:t>
      </w:r>
      <w:r>
        <w:rPr>
          <w:sz w:val="18"/>
          <w:szCs w:val="18"/>
        </w:rPr>
        <w:t>in</w:t>
      </w:r>
      <w:r w:rsidRPr="00A011D3">
        <w:rPr>
          <w:sz w:val="18"/>
          <w:szCs w:val="18"/>
        </w:rPr>
        <w:t xml:space="preserve"> light-green background, the dry season in light </w:t>
      </w:r>
      <w:r>
        <w:rPr>
          <w:sz w:val="18"/>
          <w:szCs w:val="18"/>
        </w:rPr>
        <w:t>orange</w:t>
      </w:r>
      <w:r w:rsidRPr="00A011D3">
        <w:rPr>
          <w:sz w:val="18"/>
          <w:szCs w:val="18"/>
        </w:rPr>
        <w:t xml:space="preserve">. Larval sites enriched with </w:t>
      </w:r>
      <w:r w:rsidRPr="00A011D3">
        <w:rPr>
          <w:sz w:val="18"/>
          <w:szCs w:val="18"/>
          <w:vertAlign w:val="superscript"/>
        </w:rPr>
        <w:t>2</w:t>
      </w:r>
      <w:r w:rsidRPr="00A011D3">
        <w:rPr>
          <w:sz w:val="18"/>
          <w:szCs w:val="18"/>
        </w:rPr>
        <w:t>H during the end of the 2017 rainy season and until all water dried up in late November (</w:t>
      </w:r>
      <w:r>
        <w:rPr>
          <w:sz w:val="18"/>
          <w:szCs w:val="18"/>
        </w:rPr>
        <w:t xml:space="preserve">dark </w:t>
      </w:r>
      <w:r w:rsidRPr="00A011D3">
        <w:rPr>
          <w:sz w:val="18"/>
          <w:szCs w:val="18"/>
        </w:rPr>
        <w:t xml:space="preserve">orange arrow). Mosquito indoor sampling times throughout the experiment are depicted by mosquitoes. The first rain of 2018 fell on June 24 (blue arrow). </w:t>
      </w:r>
    </w:p>
    <w:p w14:paraId="7724F3EA" w14:textId="77777777" w:rsidR="0009598C" w:rsidRDefault="0009598C" w:rsidP="00FE689C"/>
    <w:p w14:paraId="3794E840" w14:textId="0D64C9A1" w:rsidR="00FE689C" w:rsidRDefault="00FE689C" w:rsidP="00FE689C">
      <w:r>
        <w:t xml:space="preserve">Although the MRR experiment was carried out in Thierola and M’Piabougou, our focal villages, we included samples from nearby villages: </w:t>
      </w:r>
      <w:bookmarkStart w:id="0" w:name="_Hlk92449761"/>
      <w:proofErr w:type="spellStart"/>
      <w:r>
        <w:t>Zanga</w:t>
      </w:r>
      <w:proofErr w:type="spellEnd"/>
      <w:r>
        <w:t xml:space="preserve">, Bako, </w:t>
      </w:r>
      <w:proofErr w:type="spellStart"/>
      <w:r w:rsidR="00FE4B7E">
        <w:t>Dougouguele</w:t>
      </w:r>
      <w:proofErr w:type="spellEnd"/>
      <w:r w:rsidR="00FE4B7E">
        <w:t xml:space="preserve"> </w:t>
      </w:r>
      <w:r>
        <w:t xml:space="preserve">and </w:t>
      </w:r>
      <w:proofErr w:type="spellStart"/>
      <w:r>
        <w:t>Dodougou</w:t>
      </w:r>
      <w:proofErr w:type="spellEnd"/>
      <w:r>
        <w:t xml:space="preserve"> </w:t>
      </w:r>
      <w:bookmarkEnd w:id="0"/>
      <w:r>
        <w:t xml:space="preserve">all within </w:t>
      </w:r>
      <w:r w:rsidR="0009598C">
        <w:t>3-</w:t>
      </w:r>
      <w:r>
        <w:t xml:space="preserve">7 km from our focal villages. Additionally, to better understand regional variation in natural </w:t>
      </w:r>
      <w:r w:rsidR="004C4A3C" w:rsidRPr="004C4A3C">
        <w:rPr>
          <w:vertAlign w:val="superscript"/>
        </w:rPr>
        <w:t>2</w:t>
      </w:r>
      <w:r>
        <w:t xml:space="preserve">H levels we included samples from </w:t>
      </w:r>
      <w:proofErr w:type="spellStart"/>
      <w:r>
        <w:t>Sokourani</w:t>
      </w:r>
      <w:proofErr w:type="spellEnd"/>
      <w:r>
        <w:t>, located in the Niono rice irrigated area (approximately 60 km long and 5 km wide</w:t>
      </w:r>
      <w:r w:rsidR="0009598C">
        <w:t xml:space="preserve"> in area</w:t>
      </w:r>
      <w:r>
        <w:t>) ~1</w:t>
      </w:r>
      <w:r w:rsidR="004C4A3C">
        <w:t>4</w:t>
      </w:r>
      <w:r>
        <w:t xml:space="preserve">0 km </w:t>
      </w:r>
      <w:r w:rsidR="0009598C">
        <w:t>NE of</w:t>
      </w:r>
      <w:r>
        <w:t xml:space="preserve"> the focal villages, as well as Ballabougou, a </w:t>
      </w:r>
      <w:r w:rsidR="0004634E">
        <w:t>village</w:t>
      </w:r>
      <w:r>
        <w:t xml:space="preserve"> located ~</w:t>
      </w:r>
      <w:r w:rsidR="004C4A3C">
        <w:t>25</w:t>
      </w:r>
      <w:r>
        <w:t xml:space="preserve"> km north of the focal villages (Fig. S</w:t>
      </w:r>
      <w:r w:rsidR="0009598C">
        <w:t>2</w:t>
      </w:r>
      <w:r>
        <w:t xml:space="preserve">). </w:t>
      </w:r>
    </w:p>
    <w:p w14:paraId="303349C1" w14:textId="77777777" w:rsidR="004C4A3C" w:rsidRDefault="004C4A3C" w:rsidP="00FE689C"/>
    <w:p w14:paraId="724E06B7" w14:textId="17D50C7F" w:rsidR="004C4A3C" w:rsidRDefault="004C4A3C" w:rsidP="00FE689C">
      <w:r>
        <w:rPr>
          <w:noProof/>
        </w:rPr>
        <w:drawing>
          <wp:inline distT="0" distB="0" distL="0" distR="0" wp14:anchorId="634D1729" wp14:editId="290BCD6F">
            <wp:extent cx="5276368" cy="3405439"/>
            <wp:effectExtent l="19050" t="19050" r="19685" b="241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312608" cy="3428829"/>
                    </a:xfrm>
                    <a:prstGeom prst="rect">
                      <a:avLst/>
                    </a:prstGeom>
                    <a:noFill/>
                    <a:ln>
                      <a:solidFill>
                        <a:schemeClr val="tx1"/>
                      </a:solidFill>
                    </a:ln>
                  </pic:spPr>
                </pic:pic>
              </a:graphicData>
            </a:graphic>
          </wp:inline>
        </w:drawing>
      </w:r>
    </w:p>
    <w:p w14:paraId="37492E7D" w14:textId="0051928B" w:rsidR="006C7749" w:rsidRPr="006C7749" w:rsidRDefault="006C7749" w:rsidP="006C7749">
      <w:pPr>
        <w:rPr>
          <w:sz w:val="18"/>
          <w:szCs w:val="18"/>
        </w:rPr>
      </w:pPr>
      <w:r w:rsidRPr="006C7749">
        <w:rPr>
          <w:b/>
          <w:bCs/>
          <w:sz w:val="18"/>
          <w:szCs w:val="18"/>
        </w:rPr>
        <w:t>Figure S2.</w:t>
      </w:r>
      <w:r w:rsidRPr="006C7749">
        <w:rPr>
          <w:sz w:val="18"/>
          <w:szCs w:val="18"/>
        </w:rPr>
        <w:t xml:space="preserve"> Map of study area including its location (orange rectangle) on a map of Mali (inset). Location of the focal villages (red) surrounded by nearby villages (green) and distant villages (blue) is shown. Maps plotted using SAS 9.4 which is licensed to include maps from </w:t>
      </w:r>
      <w:proofErr w:type="spellStart"/>
      <w:r w:rsidRPr="006C7749">
        <w:rPr>
          <w:sz w:val="18"/>
          <w:szCs w:val="18"/>
        </w:rPr>
        <w:t>Gfk</w:t>
      </w:r>
      <w:proofErr w:type="spellEnd"/>
      <w:r w:rsidRPr="006C7749">
        <w:rPr>
          <w:sz w:val="18"/>
          <w:szCs w:val="18"/>
        </w:rPr>
        <w:t xml:space="preserve"> </w:t>
      </w:r>
      <w:proofErr w:type="spellStart"/>
      <w:r w:rsidRPr="006C7749">
        <w:rPr>
          <w:sz w:val="18"/>
          <w:szCs w:val="18"/>
        </w:rPr>
        <w:t>GeoMarketing</w:t>
      </w:r>
      <w:proofErr w:type="spellEnd"/>
      <w:r w:rsidRPr="006C7749">
        <w:rPr>
          <w:sz w:val="18"/>
          <w:szCs w:val="18"/>
        </w:rPr>
        <w:t xml:space="preserve"> GmbH (inset) and Open Street map. </w:t>
      </w:r>
    </w:p>
    <w:p w14:paraId="2EC2FC6B" w14:textId="092C5CF4" w:rsidR="00EB16D1" w:rsidRDefault="00EB16D1" w:rsidP="00A57E68">
      <w:r>
        <w:lastRenderedPageBreak/>
        <w:t>Enrichment larval sites in Thierola and M’Piabougou in relation to the village’s houses are shown in Fig. S</w:t>
      </w:r>
      <w:r w:rsidR="0009598C">
        <w:t>3</w:t>
      </w:r>
      <w:r>
        <w:t xml:space="preserve">. In Thierola all larval sites, were sections of a single large </w:t>
      </w:r>
      <w:r w:rsidR="006C7749">
        <w:t xml:space="preserve">seasonal </w:t>
      </w:r>
      <w:r>
        <w:t>pond that flanks the villages from the northwest (Fig. S</w:t>
      </w:r>
      <w:r w:rsidR="0009598C">
        <w:t>3</w:t>
      </w:r>
      <w:r>
        <w:t xml:space="preserve">, </w:t>
      </w:r>
      <w:r w:rsidR="0009598C">
        <w:t>inset</w:t>
      </w:r>
      <w:r>
        <w:t>), except TLV1, which was a separate puddle, and TLV4, TLV7, and TLV10</w:t>
      </w:r>
      <w:r w:rsidR="0009598C">
        <w:t xml:space="preserve"> (top right)</w:t>
      </w:r>
      <w:r>
        <w:t xml:space="preserve">, which were sections from a second large puddle located ~1.2 km northeast of the village.    </w:t>
      </w:r>
    </w:p>
    <w:p w14:paraId="3728AEB4" w14:textId="77777777" w:rsidR="00EB16D1" w:rsidRDefault="00EB16D1" w:rsidP="00FE689C"/>
    <w:p w14:paraId="7AAE82BE" w14:textId="13DAB387" w:rsidR="004C4A3C" w:rsidRDefault="004C4A3C" w:rsidP="00FE689C"/>
    <w:p w14:paraId="3673E497" w14:textId="77777777" w:rsidR="00FE689C" w:rsidRDefault="00FE689C" w:rsidP="00FE689C">
      <w:pPr>
        <w:spacing w:line="240" w:lineRule="auto"/>
      </w:pPr>
      <w:r>
        <w:rPr>
          <w:noProof/>
        </w:rPr>
        <w:drawing>
          <wp:inline distT="0" distB="0" distL="0" distR="0" wp14:anchorId="194795CF" wp14:editId="6A4AF027">
            <wp:extent cx="5943600" cy="4754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17154ED9" w14:textId="77777777" w:rsidR="00FE689C" w:rsidRDefault="00FE689C" w:rsidP="00FE689C">
      <w:pPr>
        <w:spacing w:line="240" w:lineRule="auto"/>
      </w:pPr>
      <w:r>
        <w:rPr>
          <w:noProof/>
        </w:rPr>
        <w:lastRenderedPageBreak/>
        <w:drawing>
          <wp:inline distT="0" distB="0" distL="0" distR="0" wp14:anchorId="57EBECB8" wp14:editId="10E545E8">
            <wp:extent cx="59436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422BCEB" w14:textId="00F48D4F" w:rsidR="006C7749" w:rsidRPr="006C7749" w:rsidRDefault="006C7749" w:rsidP="006C7749">
      <w:pPr>
        <w:rPr>
          <w:sz w:val="18"/>
          <w:szCs w:val="18"/>
        </w:rPr>
      </w:pPr>
      <w:r w:rsidRPr="006C7749">
        <w:rPr>
          <w:b/>
          <w:bCs/>
          <w:sz w:val="18"/>
          <w:szCs w:val="18"/>
        </w:rPr>
        <w:t>Figure S3.</w:t>
      </w:r>
      <w:r w:rsidRPr="006C7749">
        <w:rPr>
          <w:sz w:val="18"/>
          <w:szCs w:val="18"/>
        </w:rPr>
        <w:t xml:space="preserve"> Thierola (top) and M’Piabougou (bottom) </w:t>
      </w:r>
      <w:r w:rsidR="00A57E68">
        <w:rPr>
          <w:sz w:val="18"/>
          <w:szCs w:val="18"/>
        </w:rPr>
        <w:t>satellite</w:t>
      </w:r>
      <w:r w:rsidRPr="006C7749">
        <w:rPr>
          <w:sz w:val="18"/>
          <w:szCs w:val="18"/>
        </w:rPr>
        <w:t xml:space="preserve"> images; houses (black empty circles) and larval sites (Navy-blue dots).</w:t>
      </w:r>
    </w:p>
    <w:p w14:paraId="277E9414" w14:textId="77777777" w:rsidR="00FE689C" w:rsidRDefault="00FE689C" w:rsidP="00FE689C">
      <w:r>
        <w:br w:type="page"/>
      </w:r>
    </w:p>
    <w:p w14:paraId="3E03946A" w14:textId="3D5B2243" w:rsidR="00FE689C" w:rsidRDefault="00FE689C" w:rsidP="00FE689C">
      <w:pPr>
        <w:spacing w:line="240" w:lineRule="auto"/>
      </w:pPr>
      <w:r>
        <w:lastRenderedPageBreak/>
        <w:t xml:space="preserve">To test if larval site </w:t>
      </w:r>
      <w:r w:rsidR="006C7749" w:rsidRPr="006C7749">
        <w:rPr>
          <w:vertAlign w:val="superscript"/>
        </w:rPr>
        <w:t>2</w:t>
      </w:r>
      <w:r w:rsidR="006C7749">
        <w:t>H-</w:t>
      </w:r>
      <w:r w:rsidR="00A57E68">
        <w:t>enrichment</w:t>
      </w:r>
      <w:r>
        <w:t xml:space="preserve"> had a </w:t>
      </w:r>
      <w:r w:rsidR="006C7749">
        <w:t>residual</w:t>
      </w:r>
      <w:r>
        <w:t xml:space="preserve"> effect beyond the year of treatment, we sampled the first cohort of fourth-instar larvae a</w:t>
      </w:r>
      <w:r w:rsidR="006C7749">
        <w:t>s well as</w:t>
      </w:r>
      <w:r>
        <w:t xml:space="preserve"> pupae from the same larval sites 11 days after the first rains (July 5-21, 2018) and compared their </w:t>
      </w:r>
      <w:r w:rsidR="004C4A3C" w:rsidRPr="004C4A3C">
        <w:rPr>
          <w:vertAlign w:val="superscript"/>
        </w:rPr>
        <w:t>2</w:t>
      </w:r>
      <w:r>
        <w:t xml:space="preserve">H levels with those of the previous year (collected indoors in September 2017) as well as fourth-instar larvae and pupae collected during the </w:t>
      </w:r>
      <w:r w:rsidR="006C7749" w:rsidRPr="006C7749">
        <w:rPr>
          <w:vertAlign w:val="superscript"/>
        </w:rPr>
        <w:t>2</w:t>
      </w:r>
      <w:r w:rsidR="006C7749">
        <w:t>H-</w:t>
      </w:r>
      <w:r>
        <w:t xml:space="preserve">enrichment experiment from these larval sites (November 2017). As expected, the results revealed no statistical differences in </w:t>
      </w:r>
      <w:r w:rsidR="004C4A3C" w:rsidRPr="004C4A3C">
        <w:rPr>
          <w:vertAlign w:val="superscript"/>
        </w:rPr>
        <w:t>2</w:t>
      </w:r>
      <w:r w:rsidR="004C4A3C">
        <w:t xml:space="preserve">H </w:t>
      </w:r>
      <w:r>
        <w:t>levels between pre-enrichment adults and those collected directly from larval sites the following rainy season but</w:t>
      </w:r>
      <w:r w:rsidR="006C7749">
        <w:t xml:space="preserve"> a</w:t>
      </w:r>
      <w:r>
        <w:t xml:space="preserve"> large difference between them and the freshly enriched mosquitoes (Fig. S</w:t>
      </w:r>
      <w:r w:rsidR="0009598C">
        <w:t>4</w:t>
      </w:r>
      <w:r>
        <w:t xml:space="preserve"> and Fig. 1). The results support that due to evaporation and possibly infiltration the lingering deuterium concentration</w:t>
      </w:r>
      <w:r w:rsidR="00A347BB">
        <w:t>s</w:t>
      </w:r>
      <w:r>
        <w:t xml:space="preserve"> in the enriched larval sites are negligible. </w:t>
      </w:r>
    </w:p>
    <w:p w14:paraId="2A61757C" w14:textId="21F076EB" w:rsidR="00FE689C" w:rsidRDefault="006C7749" w:rsidP="00FE689C">
      <w:pPr>
        <w:spacing w:line="240" w:lineRule="auto"/>
      </w:pPr>
      <w:r>
        <w:rPr>
          <w:noProof/>
        </w:rPr>
        <w:drawing>
          <wp:inline distT="0" distB="0" distL="0" distR="0" wp14:anchorId="210ECE8B" wp14:editId="501674AD">
            <wp:extent cx="4468495" cy="484060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8495" cy="4840605"/>
                    </a:xfrm>
                    <a:prstGeom prst="rect">
                      <a:avLst/>
                    </a:prstGeom>
                    <a:noFill/>
                  </pic:spPr>
                </pic:pic>
              </a:graphicData>
            </a:graphic>
          </wp:inline>
        </w:drawing>
      </w:r>
    </w:p>
    <w:p w14:paraId="03E22FC6" w14:textId="77777777" w:rsidR="006C7749" w:rsidRDefault="006C7749" w:rsidP="00FE689C">
      <w:pPr>
        <w:spacing w:line="240" w:lineRule="auto"/>
      </w:pPr>
    </w:p>
    <w:p w14:paraId="174F63CC" w14:textId="408D6701" w:rsidR="006C7749" w:rsidRPr="006C7749" w:rsidRDefault="006C7749" w:rsidP="006C7749">
      <w:pPr>
        <w:spacing w:line="240" w:lineRule="auto"/>
        <w:rPr>
          <w:sz w:val="18"/>
          <w:szCs w:val="18"/>
        </w:rPr>
      </w:pPr>
      <w:r w:rsidRPr="006C7749">
        <w:rPr>
          <w:b/>
          <w:bCs/>
          <w:sz w:val="18"/>
          <w:szCs w:val="18"/>
        </w:rPr>
        <w:t>Figure S4.</w:t>
      </w:r>
      <w:r w:rsidRPr="006C7749">
        <w:rPr>
          <w:sz w:val="18"/>
          <w:szCs w:val="18"/>
        </w:rPr>
        <w:t xml:space="preserve"> Differences between pre-enrichment mosquitoes from Thierola collected indoors (September 2017: </w:t>
      </w:r>
      <w:proofErr w:type="spellStart"/>
      <w:r w:rsidRPr="006C7749">
        <w:rPr>
          <w:sz w:val="18"/>
          <w:szCs w:val="18"/>
        </w:rPr>
        <w:t>PreEnrContInd</w:t>
      </w:r>
      <w:proofErr w:type="spellEnd"/>
      <w:r w:rsidRPr="006C7749">
        <w:rPr>
          <w:sz w:val="18"/>
          <w:szCs w:val="18"/>
        </w:rPr>
        <w:t>), experimentally marked mosquitoes collected as pupae and stage-4 instar</w:t>
      </w:r>
      <w:r w:rsidR="00A57E68">
        <w:rPr>
          <w:sz w:val="18"/>
          <w:szCs w:val="18"/>
        </w:rPr>
        <w:t xml:space="preserve"> larvae</w:t>
      </w:r>
      <w:r w:rsidRPr="006C7749">
        <w:rPr>
          <w:sz w:val="18"/>
          <w:szCs w:val="18"/>
        </w:rPr>
        <w:t xml:space="preserve"> from enriched larval sites during enrichment (LV1Enrich and LV5Enrich) and naturally occurring pupae and stage-4 instar</w:t>
      </w:r>
      <w:r w:rsidR="00A57E68">
        <w:rPr>
          <w:sz w:val="18"/>
          <w:szCs w:val="18"/>
        </w:rPr>
        <w:t xml:space="preserve"> larvae</w:t>
      </w:r>
      <w:r w:rsidRPr="006C7749">
        <w:rPr>
          <w:sz w:val="18"/>
          <w:szCs w:val="18"/>
        </w:rPr>
        <w:t xml:space="preserve"> collected after the first rain the following year (July 2018:  LV1PostEnrich and LV5PostEnrich). Sample size is shown in blue, and green reference lines show the range of natural </w:t>
      </w:r>
      <w:r w:rsidRPr="006C7749">
        <w:rPr>
          <w:sz w:val="18"/>
          <w:szCs w:val="18"/>
          <w:vertAlign w:val="superscript"/>
        </w:rPr>
        <w:t>2</w:t>
      </w:r>
      <w:r w:rsidRPr="006C7749">
        <w:rPr>
          <w:sz w:val="18"/>
          <w:szCs w:val="18"/>
        </w:rPr>
        <w:t xml:space="preserve">H levels as in Fig. 1. </w:t>
      </w:r>
    </w:p>
    <w:p w14:paraId="21A90D9C" w14:textId="2D454719" w:rsidR="00FE689C" w:rsidRDefault="00FE689C" w:rsidP="00FE689C">
      <w:pPr>
        <w:spacing w:line="240" w:lineRule="auto"/>
      </w:pPr>
    </w:p>
    <w:p w14:paraId="6D7BD7EF" w14:textId="77777777" w:rsidR="00FE689C" w:rsidRDefault="00FE689C" w:rsidP="00FE689C">
      <w:pPr>
        <w:spacing w:line="240" w:lineRule="auto"/>
      </w:pPr>
    </w:p>
    <w:p w14:paraId="4317E9DB" w14:textId="77777777" w:rsidR="00FE689C" w:rsidRDefault="00FE689C" w:rsidP="00FE689C">
      <w:pPr>
        <w:spacing w:line="240" w:lineRule="auto"/>
      </w:pPr>
    </w:p>
    <w:p w14:paraId="6B22CA48" w14:textId="77777777" w:rsidR="00FE689C" w:rsidRDefault="00FE689C" w:rsidP="00FE689C">
      <w:pPr>
        <w:spacing w:line="240" w:lineRule="auto"/>
      </w:pPr>
      <w:r>
        <w:rPr>
          <w:noProof/>
        </w:rPr>
        <w:drawing>
          <wp:inline distT="0" distB="0" distL="0" distR="0" wp14:anchorId="74EEEE18" wp14:editId="0D31087B">
            <wp:extent cx="5963285" cy="43119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0257" cy="4324248"/>
                    </a:xfrm>
                    <a:prstGeom prst="rect">
                      <a:avLst/>
                    </a:prstGeom>
                    <a:noFill/>
                  </pic:spPr>
                </pic:pic>
              </a:graphicData>
            </a:graphic>
          </wp:inline>
        </w:drawing>
      </w:r>
    </w:p>
    <w:p w14:paraId="33C793E8" w14:textId="39181150" w:rsidR="003C36F8" w:rsidRDefault="00366A60"/>
    <w:p w14:paraId="69B860E4" w14:textId="77777777" w:rsidR="006C7749" w:rsidRPr="006C7749" w:rsidRDefault="006C7749" w:rsidP="006C7749">
      <w:pPr>
        <w:spacing w:line="240" w:lineRule="auto"/>
        <w:rPr>
          <w:sz w:val="18"/>
          <w:szCs w:val="18"/>
        </w:rPr>
      </w:pPr>
      <w:r w:rsidRPr="006C7749">
        <w:rPr>
          <w:b/>
          <w:bCs/>
          <w:sz w:val="18"/>
          <w:szCs w:val="18"/>
        </w:rPr>
        <w:t>Figure S5.</w:t>
      </w:r>
      <w:r w:rsidRPr="006C7749">
        <w:rPr>
          <w:sz w:val="18"/>
          <w:szCs w:val="18"/>
        </w:rPr>
        <w:t xml:space="preserve"> Natural temporal variation within and between population in median </w:t>
      </w:r>
      <w:r w:rsidRPr="006C7749">
        <w:rPr>
          <w:sz w:val="18"/>
          <w:szCs w:val="18"/>
          <w:vertAlign w:val="superscript"/>
        </w:rPr>
        <w:t>2</w:t>
      </w:r>
      <w:r w:rsidRPr="006C7749">
        <w:rPr>
          <w:sz w:val="18"/>
          <w:szCs w:val="18"/>
        </w:rPr>
        <w:t xml:space="preserve">H (Y axis), spread of </w:t>
      </w:r>
      <w:r w:rsidRPr="006C7749">
        <w:rPr>
          <w:sz w:val="18"/>
          <w:szCs w:val="18"/>
          <w:vertAlign w:val="superscript"/>
        </w:rPr>
        <w:t>2</w:t>
      </w:r>
      <w:r w:rsidRPr="006C7749">
        <w:rPr>
          <w:sz w:val="18"/>
          <w:szCs w:val="18"/>
        </w:rPr>
        <w:t xml:space="preserve">H as measured by the inter-quartile range (bubble size), and skewness measured by the non-parametric skewness (values inside bubbles; blue denotes negative skewness and yellow and red denote weaker and stronger positive skewness, respectively as seen in scale bar). Sampling years (August to July) are shown on each line and the letters T and M denote samples for Thierola and M’Piabougou. </w:t>
      </w:r>
    </w:p>
    <w:p w14:paraId="6B5CFE21" w14:textId="698E308C" w:rsidR="008B5136" w:rsidRDefault="008B5136"/>
    <w:p w14:paraId="0EE94EBE" w14:textId="277E875F" w:rsidR="008B5136" w:rsidRDefault="008B5136"/>
    <w:p w14:paraId="3C1C11C4" w14:textId="1BE26645" w:rsidR="008B5136" w:rsidRDefault="008B5136"/>
    <w:p w14:paraId="577A2547" w14:textId="03F50830" w:rsidR="008B5136" w:rsidRDefault="008B5136"/>
    <w:p w14:paraId="6A47C26C" w14:textId="5DFA90C9" w:rsidR="008B5136" w:rsidRDefault="008B5136"/>
    <w:p w14:paraId="709149E8" w14:textId="10CD2FC9" w:rsidR="008B5136" w:rsidRDefault="008B5136"/>
    <w:p w14:paraId="2AAEF814" w14:textId="156FEABD" w:rsidR="008B5136" w:rsidRDefault="008B5136"/>
    <w:p w14:paraId="3C6E53DF" w14:textId="03454A2B" w:rsidR="008B5136" w:rsidRDefault="008B5136">
      <w:pPr>
        <w:sectPr w:rsidR="008B5136" w:rsidSect="008B5136">
          <w:footerReference w:type="default" r:id="rId13"/>
          <w:pgSz w:w="12240" w:h="15840"/>
          <w:pgMar w:top="1440" w:right="1440" w:bottom="1440" w:left="1440" w:header="720" w:footer="720" w:gutter="0"/>
          <w:cols w:space="720"/>
          <w:docGrid w:linePitch="360"/>
        </w:sectPr>
      </w:pPr>
    </w:p>
    <w:tbl>
      <w:tblPr>
        <w:tblpPr w:leftFromText="180" w:rightFromText="180" w:tblpY="703"/>
        <w:tblW w:w="12780" w:type="dxa"/>
        <w:tblLook w:val="04A0" w:firstRow="1" w:lastRow="0" w:firstColumn="1" w:lastColumn="0" w:noHBand="0" w:noVBand="1"/>
      </w:tblPr>
      <w:tblGrid>
        <w:gridCol w:w="1204"/>
        <w:gridCol w:w="1359"/>
        <w:gridCol w:w="2837"/>
        <w:gridCol w:w="2700"/>
        <w:gridCol w:w="2250"/>
        <w:gridCol w:w="1350"/>
        <w:gridCol w:w="1080"/>
      </w:tblGrid>
      <w:tr w:rsidR="008B5136" w:rsidRPr="00AF46B2" w14:paraId="681F1698" w14:textId="77777777" w:rsidTr="008B5136">
        <w:trPr>
          <w:trHeight w:val="271"/>
        </w:trPr>
        <w:tc>
          <w:tcPr>
            <w:tcW w:w="1204" w:type="dxa"/>
            <w:tcBorders>
              <w:top w:val="nil"/>
              <w:left w:val="nil"/>
              <w:bottom w:val="single" w:sz="4" w:space="0" w:color="auto"/>
              <w:right w:val="nil"/>
            </w:tcBorders>
            <w:shd w:val="clear" w:color="auto" w:fill="auto"/>
            <w:noWrap/>
            <w:vAlign w:val="bottom"/>
            <w:hideMark/>
          </w:tcPr>
          <w:p w14:paraId="4C8031B0" w14:textId="77777777" w:rsidR="008B5136" w:rsidRPr="00AF46B2" w:rsidRDefault="008B5136" w:rsidP="008B5136">
            <w:pPr>
              <w:spacing w:after="0" w:line="240" w:lineRule="auto"/>
              <w:rPr>
                <w:rFonts w:ascii="Calibri" w:eastAsia="Times New Roman" w:hAnsi="Calibri" w:cs="Calibri"/>
                <w:b/>
                <w:bCs/>
                <w:color w:val="000000"/>
                <w:sz w:val="18"/>
                <w:szCs w:val="18"/>
                <w:lang w:bidi="he-IL"/>
              </w:rPr>
            </w:pPr>
            <w:r w:rsidRPr="00AF46B2">
              <w:rPr>
                <w:rFonts w:ascii="Calibri" w:eastAsia="Times New Roman" w:hAnsi="Calibri" w:cs="Calibri"/>
                <w:b/>
                <w:bCs/>
                <w:color w:val="000000"/>
                <w:sz w:val="18"/>
                <w:szCs w:val="18"/>
                <w:lang w:bidi="he-IL"/>
              </w:rPr>
              <w:lastRenderedPageBreak/>
              <w:t>Period</w:t>
            </w:r>
          </w:p>
        </w:tc>
        <w:tc>
          <w:tcPr>
            <w:tcW w:w="1359" w:type="dxa"/>
            <w:tcBorders>
              <w:top w:val="nil"/>
              <w:left w:val="nil"/>
              <w:bottom w:val="single" w:sz="4" w:space="0" w:color="auto"/>
              <w:right w:val="nil"/>
            </w:tcBorders>
            <w:shd w:val="clear" w:color="auto" w:fill="auto"/>
            <w:noWrap/>
            <w:vAlign w:val="bottom"/>
            <w:hideMark/>
          </w:tcPr>
          <w:p w14:paraId="6CFF09C5" w14:textId="109A51AA" w:rsidR="008B5136" w:rsidRPr="00742FCA" w:rsidRDefault="008B5136" w:rsidP="008B5136">
            <w:pPr>
              <w:spacing w:after="0" w:line="240" w:lineRule="auto"/>
              <w:rPr>
                <w:rFonts w:ascii="Calibri" w:eastAsia="Times New Roman" w:hAnsi="Calibri" w:cs="Calibri"/>
                <w:b/>
                <w:bCs/>
                <w:sz w:val="18"/>
                <w:szCs w:val="18"/>
                <w:lang w:bidi="he-IL"/>
              </w:rPr>
            </w:pPr>
            <w:r w:rsidRPr="00742FCA">
              <w:rPr>
                <w:rFonts w:ascii="Calibri" w:eastAsia="Times New Roman" w:hAnsi="Calibri" w:cs="Calibri"/>
                <w:b/>
                <w:bCs/>
                <w:sz w:val="18"/>
                <w:szCs w:val="18"/>
                <w:lang w:bidi="he-IL"/>
              </w:rPr>
              <w:t>Population</w:t>
            </w:r>
            <w:r w:rsidR="00F51476" w:rsidRPr="00742FCA">
              <w:rPr>
                <w:rFonts w:ascii="Calibri" w:eastAsia="Times New Roman" w:hAnsi="Calibri" w:cs="Calibri"/>
                <w:sz w:val="18"/>
                <w:szCs w:val="18"/>
                <w:vertAlign w:val="superscript"/>
                <w:lang w:bidi="he-IL"/>
              </w:rPr>
              <w:t>1</w:t>
            </w:r>
          </w:p>
        </w:tc>
        <w:tc>
          <w:tcPr>
            <w:tcW w:w="2837" w:type="dxa"/>
            <w:tcBorders>
              <w:top w:val="nil"/>
              <w:left w:val="nil"/>
              <w:bottom w:val="single" w:sz="4" w:space="0" w:color="auto"/>
              <w:right w:val="nil"/>
            </w:tcBorders>
            <w:shd w:val="clear" w:color="auto" w:fill="auto"/>
            <w:noWrap/>
            <w:vAlign w:val="bottom"/>
            <w:hideMark/>
          </w:tcPr>
          <w:p w14:paraId="0F26CCCC" w14:textId="1952CC19" w:rsidR="008B5136" w:rsidRPr="00742FCA" w:rsidRDefault="00F51476" w:rsidP="008B5136">
            <w:pPr>
              <w:spacing w:after="0" w:line="240" w:lineRule="auto"/>
              <w:rPr>
                <w:rFonts w:ascii="Calibri" w:eastAsia="Times New Roman" w:hAnsi="Calibri" w:cs="Calibri"/>
                <w:b/>
                <w:bCs/>
                <w:sz w:val="18"/>
                <w:szCs w:val="18"/>
                <w:lang w:bidi="he-IL"/>
              </w:rPr>
            </w:pPr>
            <w:r w:rsidRPr="00742FCA">
              <w:rPr>
                <w:rFonts w:ascii="Calibri" w:eastAsia="Times New Roman" w:hAnsi="Calibri" w:cs="Calibri"/>
                <w:b/>
                <w:bCs/>
                <w:sz w:val="18"/>
                <w:szCs w:val="18"/>
                <w:lang w:bidi="he-IL"/>
              </w:rPr>
              <w:t>Enriched (%)</w:t>
            </w:r>
            <w:r w:rsidRPr="00742FCA">
              <w:rPr>
                <w:rFonts w:ascii="Calibri" w:eastAsia="Times New Roman" w:hAnsi="Calibri" w:cs="Calibri"/>
                <w:b/>
                <w:bCs/>
                <w:sz w:val="18"/>
                <w:szCs w:val="18"/>
                <w:vertAlign w:val="superscript"/>
                <w:lang w:bidi="he-IL"/>
              </w:rPr>
              <w:t>2</w:t>
            </w:r>
          </w:p>
        </w:tc>
        <w:tc>
          <w:tcPr>
            <w:tcW w:w="2700" w:type="dxa"/>
            <w:tcBorders>
              <w:top w:val="nil"/>
              <w:left w:val="nil"/>
              <w:bottom w:val="single" w:sz="4" w:space="0" w:color="auto"/>
              <w:right w:val="nil"/>
            </w:tcBorders>
            <w:shd w:val="clear" w:color="auto" w:fill="auto"/>
            <w:noWrap/>
            <w:vAlign w:val="bottom"/>
            <w:hideMark/>
          </w:tcPr>
          <w:p w14:paraId="7F1BCCF7" w14:textId="77777777" w:rsidR="00F51476" w:rsidRPr="00742FCA" w:rsidRDefault="008B5136" w:rsidP="008B5136">
            <w:pPr>
              <w:spacing w:after="0" w:line="240" w:lineRule="auto"/>
              <w:rPr>
                <w:rFonts w:ascii="Calibri" w:eastAsia="Times New Roman" w:hAnsi="Calibri" w:cs="Calibri"/>
                <w:b/>
                <w:bCs/>
                <w:sz w:val="18"/>
                <w:szCs w:val="18"/>
                <w:lang w:bidi="he-IL"/>
              </w:rPr>
            </w:pPr>
            <w:r w:rsidRPr="00742FCA">
              <w:rPr>
                <w:rFonts w:ascii="Calibri" w:eastAsia="Times New Roman" w:hAnsi="Calibri" w:cs="Calibri"/>
                <w:b/>
                <w:bCs/>
                <w:sz w:val="18"/>
                <w:szCs w:val="18"/>
                <w:lang w:bidi="he-IL"/>
              </w:rPr>
              <w:t>3rd quartile</w:t>
            </w:r>
          </w:p>
          <w:p w14:paraId="5E8B55E5" w14:textId="5B41B411" w:rsidR="008B5136" w:rsidRPr="00742FCA" w:rsidRDefault="00F51476" w:rsidP="008B5136">
            <w:pPr>
              <w:spacing w:after="0" w:line="240" w:lineRule="auto"/>
              <w:rPr>
                <w:rFonts w:ascii="Calibri" w:eastAsia="Times New Roman" w:hAnsi="Calibri" w:cs="Calibri"/>
                <w:b/>
                <w:bCs/>
                <w:sz w:val="18"/>
                <w:szCs w:val="18"/>
                <w:lang w:bidi="he-IL"/>
              </w:rPr>
            </w:pPr>
            <w:r w:rsidRPr="00742FCA">
              <w:rPr>
                <w:rFonts w:ascii="Calibri" w:eastAsia="Times New Roman" w:hAnsi="Calibri" w:cs="Calibri"/>
                <w:b/>
                <w:bCs/>
                <w:sz w:val="18"/>
                <w:szCs w:val="18"/>
                <w:lang w:bidi="he-IL"/>
              </w:rPr>
              <w:t>Excess (%)</w:t>
            </w:r>
            <w:r w:rsidRPr="00742FCA">
              <w:rPr>
                <w:rFonts w:ascii="Calibri" w:eastAsia="Times New Roman" w:hAnsi="Calibri" w:cs="Calibri"/>
                <w:sz w:val="18"/>
                <w:szCs w:val="18"/>
                <w:vertAlign w:val="superscript"/>
                <w:lang w:bidi="he-IL"/>
              </w:rPr>
              <w:t>3</w:t>
            </w:r>
            <w:r w:rsidR="008B5136" w:rsidRPr="00742FCA">
              <w:rPr>
                <w:rFonts w:ascii="Calibri" w:eastAsia="Times New Roman" w:hAnsi="Calibri" w:cs="Calibri"/>
                <w:b/>
                <w:bCs/>
                <w:sz w:val="18"/>
                <w:szCs w:val="18"/>
                <w:lang w:bidi="he-IL"/>
              </w:rPr>
              <w:t xml:space="preserve"> </w:t>
            </w:r>
          </w:p>
        </w:tc>
        <w:tc>
          <w:tcPr>
            <w:tcW w:w="2250" w:type="dxa"/>
            <w:tcBorders>
              <w:top w:val="nil"/>
              <w:left w:val="nil"/>
              <w:bottom w:val="single" w:sz="4" w:space="0" w:color="auto"/>
              <w:right w:val="nil"/>
            </w:tcBorders>
            <w:shd w:val="clear" w:color="auto" w:fill="auto"/>
            <w:noWrap/>
            <w:vAlign w:val="bottom"/>
            <w:hideMark/>
          </w:tcPr>
          <w:p w14:paraId="5D8ADFBF" w14:textId="77777777" w:rsidR="00F51476" w:rsidRDefault="008B5136" w:rsidP="008B5136">
            <w:pPr>
              <w:spacing w:after="0" w:line="240" w:lineRule="auto"/>
              <w:rPr>
                <w:rFonts w:ascii="Calibri" w:eastAsia="Times New Roman" w:hAnsi="Calibri" w:cs="Calibri"/>
                <w:b/>
                <w:bCs/>
                <w:color w:val="000000"/>
                <w:sz w:val="18"/>
                <w:szCs w:val="18"/>
                <w:lang w:bidi="he-IL"/>
              </w:rPr>
            </w:pPr>
            <w:r w:rsidRPr="00AF46B2">
              <w:rPr>
                <w:rFonts w:ascii="Calibri" w:eastAsia="Times New Roman" w:hAnsi="Calibri" w:cs="Calibri"/>
                <w:b/>
                <w:bCs/>
                <w:color w:val="000000"/>
                <w:sz w:val="18"/>
                <w:szCs w:val="18"/>
                <w:lang w:bidi="he-IL"/>
              </w:rPr>
              <w:t xml:space="preserve">FMM: Enriched </w:t>
            </w:r>
          </w:p>
          <w:p w14:paraId="226B1D57" w14:textId="4CC778B6" w:rsidR="008B5136" w:rsidRPr="00AF46B2" w:rsidRDefault="008B5136" w:rsidP="008B5136">
            <w:pPr>
              <w:spacing w:after="0" w:line="240" w:lineRule="auto"/>
              <w:rPr>
                <w:rFonts w:ascii="Calibri" w:eastAsia="Times New Roman" w:hAnsi="Calibri" w:cs="Calibri"/>
                <w:b/>
                <w:bCs/>
                <w:color w:val="000000"/>
                <w:sz w:val="18"/>
                <w:szCs w:val="18"/>
                <w:lang w:bidi="he-IL"/>
              </w:rPr>
            </w:pPr>
            <w:r w:rsidRPr="00AF46B2">
              <w:rPr>
                <w:rFonts w:ascii="Calibri" w:eastAsia="Times New Roman" w:hAnsi="Calibri" w:cs="Calibri"/>
                <w:b/>
                <w:bCs/>
                <w:color w:val="000000"/>
                <w:sz w:val="18"/>
                <w:szCs w:val="18"/>
                <w:lang w:bidi="he-IL"/>
              </w:rPr>
              <w:t>Sub</w:t>
            </w:r>
            <w:r w:rsidR="00F51476">
              <w:rPr>
                <w:rFonts w:ascii="Calibri" w:eastAsia="Times New Roman" w:hAnsi="Calibri" w:cs="Calibri"/>
                <w:b/>
                <w:bCs/>
                <w:color w:val="000000"/>
                <w:sz w:val="18"/>
                <w:szCs w:val="18"/>
                <w:lang w:bidi="he-IL"/>
              </w:rPr>
              <w:t>-</w:t>
            </w:r>
            <w:r w:rsidRPr="00AF46B2">
              <w:rPr>
                <w:rFonts w:ascii="Calibri" w:eastAsia="Times New Roman" w:hAnsi="Calibri" w:cs="Calibri"/>
                <w:b/>
                <w:bCs/>
                <w:color w:val="000000"/>
                <w:sz w:val="18"/>
                <w:szCs w:val="18"/>
                <w:lang w:bidi="he-IL"/>
              </w:rPr>
              <w:t>Pop</w:t>
            </w:r>
            <w:r w:rsidR="00F51476">
              <w:rPr>
                <w:rFonts w:ascii="Calibri" w:eastAsia="Times New Roman" w:hAnsi="Calibri" w:cs="Calibri"/>
                <w:b/>
                <w:bCs/>
                <w:color w:val="000000"/>
                <w:sz w:val="18"/>
                <w:szCs w:val="18"/>
                <w:lang w:bidi="he-IL"/>
              </w:rPr>
              <w:t xml:space="preserve">ulation </w:t>
            </w:r>
            <w:r w:rsidRPr="00AF46B2">
              <w:rPr>
                <w:rFonts w:ascii="Calibri" w:eastAsia="Times New Roman" w:hAnsi="Calibri" w:cs="Calibri"/>
                <w:b/>
                <w:bCs/>
                <w:color w:val="000000"/>
                <w:sz w:val="18"/>
                <w:szCs w:val="18"/>
                <w:lang w:bidi="he-IL"/>
              </w:rPr>
              <w:t>(P value)</w:t>
            </w:r>
          </w:p>
        </w:tc>
        <w:tc>
          <w:tcPr>
            <w:tcW w:w="1350" w:type="dxa"/>
            <w:tcBorders>
              <w:top w:val="nil"/>
              <w:left w:val="nil"/>
              <w:bottom w:val="single" w:sz="4" w:space="0" w:color="auto"/>
              <w:right w:val="nil"/>
            </w:tcBorders>
            <w:shd w:val="clear" w:color="auto" w:fill="auto"/>
            <w:noWrap/>
            <w:vAlign w:val="bottom"/>
            <w:hideMark/>
          </w:tcPr>
          <w:p w14:paraId="025162B5" w14:textId="77777777" w:rsidR="008B5136" w:rsidRPr="00AF46B2" w:rsidRDefault="008B5136" w:rsidP="008B5136">
            <w:pPr>
              <w:spacing w:after="0" w:line="240" w:lineRule="auto"/>
              <w:rPr>
                <w:rFonts w:ascii="Calibri" w:eastAsia="Times New Roman" w:hAnsi="Calibri" w:cs="Calibri"/>
                <w:b/>
                <w:bCs/>
                <w:color w:val="000000"/>
                <w:sz w:val="18"/>
                <w:szCs w:val="18"/>
                <w:lang w:bidi="he-IL"/>
              </w:rPr>
            </w:pPr>
            <w:r w:rsidRPr="00AF46B2">
              <w:rPr>
                <w:rFonts w:ascii="Calibri" w:eastAsia="Times New Roman" w:hAnsi="Calibri" w:cs="Calibri"/>
                <w:b/>
                <w:bCs/>
                <w:color w:val="000000"/>
                <w:sz w:val="18"/>
                <w:szCs w:val="18"/>
                <w:lang w:bidi="he-IL"/>
              </w:rPr>
              <w:t xml:space="preserve">Est. </w:t>
            </w:r>
            <w:r w:rsidRPr="00AF46B2">
              <w:rPr>
                <w:rFonts w:ascii="Calibri" w:eastAsia="Times New Roman" w:hAnsi="Calibri" w:cs="Calibri"/>
                <w:b/>
                <w:bCs/>
                <w:i/>
                <w:iCs/>
                <w:color w:val="000000"/>
                <w:sz w:val="18"/>
                <w:szCs w:val="18"/>
                <w:lang w:bidi="he-IL"/>
              </w:rPr>
              <w:t>A. coluzzii</w:t>
            </w:r>
            <w:r w:rsidRPr="00AF46B2">
              <w:rPr>
                <w:rFonts w:ascii="Calibri" w:eastAsia="Times New Roman" w:hAnsi="Calibri" w:cs="Calibri"/>
                <w:b/>
                <w:bCs/>
                <w:color w:val="000000"/>
                <w:sz w:val="18"/>
                <w:szCs w:val="18"/>
                <w:lang w:bidi="he-IL"/>
              </w:rPr>
              <w:t xml:space="preserve"> mean</w:t>
            </w:r>
          </w:p>
        </w:tc>
        <w:tc>
          <w:tcPr>
            <w:tcW w:w="1080" w:type="dxa"/>
            <w:tcBorders>
              <w:top w:val="nil"/>
              <w:left w:val="nil"/>
              <w:bottom w:val="single" w:sz="4" w:space="0" w:color="auto"/>
              <w:right w:val="nil"/>
            </w:tcBorders>
            <w:shd w:val="clear" w:color="auto" w:fill="auto"/>
            <w:noWrap/>
            <w:vAlign w:val="bottom"/>
            <w:hideMark/>
          </w:tcPr>
          <w:p w14:paraId="074473E7" w14:textId="77777777" w:rsidR="008B5136" w:rsidRPr="00AF46B2" w:rsidRDefault="008B5136" w:rsidP="008B5136">
            <w:pPr>
              <w:spacing w:after="0" w:line="240" w:lineRule="auto"/>
              <w:rPr>
                <w:rFonts w:ascii="Calibri" w:eastAsia="Times New Roman" w:hAnsi="Calibri" w:cs="Calibri"/>
                <w:b/>
                <w:bCs/>
                <w:color w:val="000000"/>
                <w:sz w:val="18"/>
                <w:szCs w:val="18"/>
                <w:lang w:bidi="he-IL"/>
              </w:rPr>
            </w:pPr>
            <w:r w:rsidRPr="00AF46B2">
              <w:rPr>
                <w:rFonts w:ascii="Calibri" w:eastAsia="Times New Roman" w:hAnsi="Calibri" w:cs="Calibri"/>
                <w:b/>
                <w:bCs/>
                <w:color w:val="000000"/>
                <w:sz w:val="18"/>
                <w:szCs w:val="18"/>
                <w:lang w:bidi="he-IL"/>
              </w:rPr>
              <w:t>Est. Aestivators</w:t>
            </w:r>
          </w:p>
        </w:tc>
      </w:tr>
      <w:tr w:rsidR="008B5136" w:rsidRPr="00AF46B2" w14:paraId="2FD86A84" w14:textId="77777777" w:rsidTr="008B5136">
        <w:trPr>
          <w:trHeight w:val="271"/>
        </w:trPr>
        <w:tc>
          <w:tcPr>
            <w:tcW w:w="1204" w:type="dxa"/>
            <w:tcBorders>
              <w:top w:val="nil"/>
              <w:left w:val="nil"/>
              <w:bottom w:val="nil"/>
              <w:right w:val="nil"/>
            </w:tcBorders>
            <w:shd w:val="clear" w:color="000000" w:fill="A9D08E"/>
            <w:noWrap/>
            <w:vAlign w:val="bottom"/>
            <w:hideMark/>
          </w:tcPr>
          <w:p w14:paraId="0BB2C677"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Late WS (2017)</w:t>
            </w:r>
          </w:p>
        </w:tc>
        <w:tc>
          <w:tcPr>
            <w:tcW w:w="1359" w:type="dxa"/>
            <w:tcBorders>
              <w:top w:val="nil"/>
              <w:left w:val="nil"/>
              <w:bottom w:val="nil"/>
              <w:right w:val="nil"/>
            </w:tcBorders>
            <w:shd w:val="clear" w:color="000000" w:fill="A9D08E"/>
            <w:noWrap/>
            <w:vAlign w:val="bottom"/>
            <w:hideMark/>
          </w:tcPr>
          <w:p w14:paraId="64747415"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Thierola</w:t>
            </w:r>
          </w:p>
        </w:tc>
        <w:tc>
          <w:tcPr>
            <w:tcW w:w="2837" w:type="dxa"/>
            <w:tcBorders>
              <w:top w:val="nil"/>
              <w:left w:val="nil"/>
              <w:bottom w:val="nil"/>
              <w:right w:val="nil"/>
            </w:tcBorders>
            <w:shd w:val="clear" w:color="000000" w:fill="A9D08E"/>
            <w:noWrap/>
            <w:vAlign w:val="bottom"/>
            <w:hideMark/>
          </w:tcPr>
          <w:p w14:paraId="629633F3"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56.4% (&gt;160 ppm)</w:t>
            </w:r>
          </w:p>
        </w:tc>
        <w:tc>
          <w:tcPr>
            <w:tcW w:w="2700" w:type="dxa"/>
            <w:tcBorders>
              <w:top w:val="nil"/>
              <w:left w:val="nil"/>
              <w:bottom w:val="nil"/>
              <w:right w:val="nil"/>
            </w:tcBorders>
            <w:shd w:val="clear" w:color="000000" w:fill="A9D08E"/>
            <w:noWrap/>
            <w:vAlign w:val="bottom"/>
            <w:hideMark/>
          </w:tcPr>
          <w:p w14:paraId="3753E7D1"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ND</w:t>
            </w:r>
          </w:p>
        </w:tc>
        <w:tc>
          <w:tcPr>
            <w:tcW w:w="2250" w:type="dxa"/>
            <w:tcBorders>
              <w:top w:val="nil"/>
              <w:left w:val="nil"/>
              <w:bottom w:val="nil"/>
              <w:right w:val="nil"/>
            </w:tcBorders>
            <w:shd w:val="clear" w:color="000000" w:fill="A9D08E"/>
            <w:noWrap/>
            <w:vAlign w:val="bottom"/>
            <w:hideMark/>
          </w:tcPr>
          <w:p w14:paraId="28F0FE0A"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ND</w:t>
            </w:r>
          </w:p>
        </w:tc>
        <w:tc>
          <w:tcPr>
            <w:tcW w:w="1350" w:type="dxa"/>
            <w:tcBorders>
              <w:top w:val="nil"/>
              <w:left w:val="nil"/>
              <w:bottom w:val="nil"/>
              <w:right w:val="nil"/>
            </w:tcBorders>
            <w:shd w:val="clear" w:color="000000" w:fill="A9D08E"/>
            <w:noWrap/>
            <w:vAlign w:val="bottom"/>
            <w:hideMark/>
          </w:tcPr>
          <w:p w14:paraId="404E998E"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1080" w:type="dxa"/>
            <w:tcBorders>
              <w:top w:val="nil"/>
              <w:left w:val="nil"/>
              <w:bottom w:val="nil"/>
              <w:right w:val="nil"/>
            </w:tcBorders>
            <w:shd w:val="clear" w:color="000000" w:fill="A9D08E"/>
            <w:noWrap/>
            <w:vAlign w:val="bottom"/>
            <w:hideMark/>
          </w:tcPr>
          <w:p w14:paraId="2265A0D9"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r>
      <w:tr w:rsidR="008B5136" w:rsidRPr="00AF46B2" w14:paraId="744216FA" w14:textId="77777777" w:rsidTr="008B5136">
        <w:trPr>
          <w:trHeight w:val="271"/>
        </w:trPr>
        <w:tc>
          <w:tcPr>
            <w:tcW w:w="1204" w:type="dxa"/>
            <w:tcBorders>
              <w:top w:val="nil"/>
              <w:left w:val="nil"/>
              <w:bottom w:val="nil"/>
              <w:right w:val="nil"/>
            </w:tcBorders>
            <w:shd w:val="clear" w:color="000000" w:fill="A9D08E"/>
            <w:noWrap/>
            <w:vAlign w:val="bottom"/>
            <w:hideMark/>
          </w:tcPr>
          <w:p w14:paraId="1C7B20F3"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Late WS (2017)</w:t>
            </w:r>
          </w:p>
        </w:tc>
        <w:tc>
          <w:tcPr>
            <w:tcW w:w="1359" w:type="dxa"/>
            <w:tcBorders>
              <w:top w:val="nil"/>
              <w:left w:val="nil"/>
              <w:bottom w:val="nil"/>
              <w:right w:val="nil"/>
            </w:tcBorders>
            <w:shd w:val="clear" w:color="000000" w:fill="A9D08E"/>
            <w:noWrap/>
            <w:vAlign w:val="bottom"/>
            <w:hideMark/>
          </w:tcPr>
          <w:p w14:paraId="3AABB955"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M'Piabougou</w:t>
            </w:r>
          </w:p>
        </w:tc>
        <w:tc>
          <w:tcPr>
            <w:tcW w:w="2837" w:type="dxa"/>
            <w:tcBorders>
              <w:top w:val="nil"/>
              <w:left w:val="nil"/>
              <w:bottom w:val="nil"/>
              <w:right w:val="nil"/>
            </w:tcBorders>
            <w:shd w:val="clear" w:color="000000" w:fill="A9D08E"/>
            <w:noWrap/>
            <w:vAlign w:val="bottom"/>
            <w:hideMark/>
          </w:tcPr>
          <w:p w14:paraId="68F1CE6A"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10% (&gt;160 ppm)</w:t>
            </w:r>
          </w:p>
        </w:tc>
        <w:tc>
          <w:tcPr>
            <w:tcW w:w="2700" w:type="dxa"/>
            <w:tcBorders>
              <w:top w:val="nil"/>
              <w:left w:val="nil"/>
              <w:bottom w:val="nil"/>
              <w:right w:val="nil"/>
            </w:tcBorders>
            <w:shd w:val="clear" w:color="000000" w:fill="A9D08E"/>
            <w:noWrap/>
            <w:vAlign w:val="bottom"/>
            <w:hideMark/>
          </w:tcPr>
          <w:p w14:paraId="1F889EDD"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ND</w:t>
            </w:r>
          </w:p>
        </w:tc>
        <w:tc>
          <w:tcPr>
            <w:tcW w:w="2250" w:type="dxa"/>
            <w:tcBorders>
              <w:top w:val="nil"/>
              <w:left w:val="nil"/>
              <w:bottom w:val="nil"/>
              <w:right w:val="nil"/>
            </w:tcBorders>
            <w:shd w:val="clear" w:color="000000" w:fill="A9D08E"/>
            <w:noWrap/>
            <w:vAlign w:val="bottom"/>
            <w:hideMark/>
          </w:tcPr>
          <w:p w14:paraId="57433C68"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ND</w:t>
            </w:r>
          </w:p>
        </w:tc>
        <w:tc>
          <w:tcPr>
            <w:tcW w:w="1350" w:type="dxa"/>
            <w:tcBorders>
              <w:top w:val="nil"/>
              <w:left w:val="nil"/>
              <w:bottom w:val="nil"/>
              <w:right w:val="nil"/>
            </w:tcBorders>
            <w:shd w:val="clear" w:color="000000" w:fill="A9D08E"/>
            <w:noWrap/>
            <w:vAlign w:val="bottom"/>
            <w:hideMark/>
          </w:tcPr>
          <w:p w14:paraId="49713D7E"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1080" w:type="dxa"/>
            <w:tcBorders>
              <w:top w:val="nil"/>
              <w:left w:val="nil"/>
              <w:bottom w:val="nil"/>
              <w:right w:val="nil"/>
            </w:tcBorders>
            <w:shd w:val="clear" w:color="000000" w:fill="A9D08E"/>
            <w:noWrap/>
            <w:vAlign w:val="bottom"/>
            <w:hideMark/>
          </w:tcPr>
          <w:p w14:paraId="1850F134"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r>
      <w:tr w:rsidR="008B5136" w:rsidRPr="00AF46B2" w14:paraId="47C2B753" w14:textId="77777777" w:rsidTr="008B5136">
        <w:trPr>
          <w:trHeight w:val="271"/>
        </w:trPr>
        <w:tc>
          <w:tcPr>
            <w:tcW w:w="1204" w:type="dxa"/>
            <w:tcBorders>
              <w:top w:val="nil"/>
              <w:left w:val="nil"/>
              <w:bottom w:val="nil"/>
              <w:right w:val="nil"/>
            </w:tcBorders>
            <w:shd w:val="clear" w:color="000000" w:fill="A9D08E"/>
            <w:noWrap/>
            <w:vAlign w:val="bottom"/>
            <w:hideMark/>
          </w:tcPr>
          <w:p w14:paraId="267872C7"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Late WS (2017)</w:t>
            </w:r>
          </w:p>
        </w:tc>
        <w:tc>
          <w:tcPr>
            <w:tcW w:w="1359" w:type="dxa"/>
            <w:tcBorders>
              <w:top w:val="nil"/>
              <w:left w:val="nil"/>
              <w:bottom w:val="nil"/>
              <w:right w:val="nil"/>
            </w:tcBorders>
            <w:shd w:val="clear" w:color="000000" w:fill="A9D08E"/>
            <w:noWrap/>
            <w:vAlign w:val="bottom"/>
            <w:hideMark/>
          </w:tcPr>
          <w:p w14:paraId="75D7FCCE" w14:textId="35A7AF83" w:rsidR="008B5136" w:rsidRPr="00AF46B2" w:rsidRDefault="00F5147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Pooled</w:t>
            </w:r>
          </w:p>
        </w:tc>
        <w:tc>
          <w:tcPr>
            <w:tcW w:w="2837" w:type="dxa"/>
            <w:tcBorders>
              <w:top w:val="nil"/>
              <w:left w:val="nil"/>
              <w:bottom w:val="nil"/>
              <w:right w:val="nil"/>
            </w:tcBorders>
            <w:shd w:val="clear" w:color="000000" w:fill="A9D08E"/>
            <w:noWrap/>
            <w:vAlign w:val="bottom"/>
            <w:hideMark/>
          </w:tcPr>
          <w:p w14:paraId="7A0A53BB"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33%</w:t>
            </w:r>
          </w:p>
        </w:tc>
        <w:tc>
          <w:tcPr>
            <w:tcW w:w="2700" w:type="dxa"/>
            <w:tcBorders>
              <w:top w:val="nil"/>
              <w:left w:val="nil"/>
              <w:bottom w:val="nil"/>
              <w:right w:val="nil"/>
            </w:tcBorders>
            <w:shd w:val="clear" w:color="000000" w:fill="A9D08E"/>
            <w:noWrap/>
            <w:vAlign w:val="bottom"/>
            <w:hideMark/>
          </w:tcPr>
          <w:p w14:paraId="793B3886"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2250" w:type="dxa"/>
            <w:tcBorders>
              <w:top w:val="nil"/>
              <w:left w:val="nil"/>
              <w:bottom w:val="nil"/>
              <w:right w:val="nil"/>
            </w:tcBorders>
            <w:shd w:val="clear" w:color="000000" w:fill="A9D08E"/>
            <w:noWrap/>
            <w:vAlign w:val="bottom"/>
            <w:hideMark/>
          </w:tcPr>
          <w:p w14:paraId="6FF455CD"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1350" w:type="dxa"/>
            <w:tcBorders>
              <w:top w:val="nil"/>
              <w:left w:val="nil"/>
              <w:bottom w:val="nil"/>
              <w:right w:val="nil"/>
            </w:tcBorders>
            <w:shd w:val="clear" w:color="000000" w:fill="A9D08E"/>
            <w:noWrap/>
            <w:vAlign w:val="bottom"/>
            <w:hideMark/>
          </w:tcPr>
          <w:p w14:paraId="0B8C93AF"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33%</w:t>
            </w:r>
          </w:p>
        </w:tc>
        <w:tc>
          <w:tcPr>
            <w:tcW w:w="1080" w:type="dxa"/>
            <w:tcBorders>
              <w:top w:val="nil"/>
              <w:left w:val="nil"/>
              <w:bottom w:val="nil"/>
              <w:right w:val="nil"/>
            </w:tcBorders>
            <w:shd w:val="clear" w:color="000000" w:fill="A9D08E"/>
            <w:noWrap/>
            <w:vAlign w:val="bottom"/>
            <w:hideMark/>
          </w:tcPr>
          <w:p w14:paraId="2B0A5DF1"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100%</w:t>
            </w:r>
          </w:p>
        </w:tc>
      </w:tr>
      <w:tr w:rsidR="008B5136" w:rsidRPr="00AF46B2" w14:paraId="5CB585C7" w14:textId="77777777" w:rsidTr="008B5136">
        <w:trPr>
          <w:trHeight w:val="271"/>
        </w:trPr>
        <w:tc>
          <w:tcPr>
            <w:tcW w:w="1204" w:type="dxa"/>
            <w:tcBorders>
              <w:top w:val="nil"/>
              <w:left w:val="nil"/>
              <w:bottom w:val="nil"/>
              <w:right w:val="nil"/>
            </w:tcBorders>
            <w:shd w:val="clear" w:color="000000" w:fill="FCE4D6"/>
            <w:noWrap/>
            <w:vAlign w:val="bottom"/>
            <w:hideMark/>
          </w:tcPr>
          <w:p w14:paraId="13FFBDA7"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Early DS (2017-8)</w:t>
            </w:r>
          </w:p>
        </w:tc>
        <w:tc>
          <w:tcPr>
            <w:tcW w:w="1359" w:type="dxa"/>
            <w:tcBorders>
              <w:top w:val="nil"/>
              <w:left w:val="nil"/>
              <w:bottom w:val="nil"/>
              <w:right w:val="nil"/>
            </w:tcBorders>
            <w:shd w:val="clear" w:color="000000" w:fill="FCE4D6"/>
            <w:noWrap/>
            <w:vAlign w:val="bottom"/>
            <w:hideMark/>
          </w:tcPr>
          <w:p w14:paraId="551B629E"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Thierola</w:t>
            </w:r>
          </w:p>
        </w:tc>
        <w:tc>
          <w:tcPr>
            <w:tcW w:w="2837" w:type="dxa"/>
            <w:tcBorders>
              <w:top w:val="nil"/>
              <w:left w:val="nil"/>
              <w:bottom w:val="nil"/>
              <w:right w:val="nil"/>
            </w:tcBorders>
            <w:shd w:val="clear" w:color="000000" w:fill="FCE4D6"/>
            <w:noWrap/>
            <w:vAlign w:val="bottom"/>
            <w:hideMark/>
          </w:tcPr>
          <w:p w14:paraId="16A33505"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33% (&gt;152 ppm)</w:t>
            </w:r>
          </w:p>
        </w:tc>
        <w:tc>
          <w:tcPr>
            <w:tcW w:w="2700" w:type="dxa"/>
            <w:tcBorders>
              <w:top w:val="nil"/>
              <w:left w:val="nil"/>
              <w:bottom w:val="nil"/>
              <w:right w:val="nil"/>
            </w:tcBorders>
            <w:shd w:val="clear" w:color="000000" w:fill="FCE4D6"/>
            <w:noWrap/>
            <w:vAlign w:val="bottom"/>
            <w:hideMark/>
          </w:tcPr>
          <w:p w14:paraId="0E35D0B1"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ND</w:t>
            </w:r>
          </w:p>
        </w:tc>
        <w:tc>
          <w:tcPr>
            <w:tcW w:w="2250" w:type="dxa"/>
            <w:tcBorders>
              <w:top w:val="nil"/>
              <w:left w:val="nil"/>
              <w:bottom w:val="nil"/>
              <w:right w:val="nil"/>
            </w:tcBorders>
            <w:shd w:val="clear" w:color="000000" w:fill="FCE4D6"/>
            <w:noWrap/>
            <w:vAlign w:val="bottom"/>
            <w:hideMark/>
          </w:tcPr>
          <w:p w14:paraId="4193E1E7"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ND</w:t>
            </w:r>
          </w:p>
        </w:tc>
        <w:tc>
          <w:tcPr>
            <w:tcW w:w="1350" w:type="dxa"/>
            <w:tcBorders>
              <w:top w:val="nil"/>
              <w:left w:val="nil"/>
              <w:bottom w:val="nil"/>
              <w:right w:val="nil"/>
            </w:tcBorders>
            <w:shd w:val="clear" w:color="000000" w:fill="FCE4D6"/>
            <w:noWrap/>
            <w:vAlign w:val="bottom"/>
            <w:hideMark/>
          </w:tcPr>
          <w:p w14:paraId="614E3F52"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1080" w:type="dxa"/>
            <w:tcBorders>
              <w:top w:val="nil"/>
              <w:left w:val="nil"/>
              <w:bottom w:val="nil"/>
              <w:right w:val="nil"/>
            </w:tcBorders>
            <w:shd w:val="clear" w:color="000000" w:fill="FCE4D6"/>
            <w:noWrap/>
            <w:vAlign w:val="bottom"/>
            <w:hideMark/>
          </w:tcPr>
          <w:p w14:paraId="11E015EB"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r>
      <w:tr w:rsidR="008B5136" w:rsidRPr="00AF46B2" w14:paraId="1DB59292" w14:textId="77777777" w:rsidTr="008B5136">
        <w:trPr>
          <w:trHeight w:val="271"/>
        </w:trPr>
        <w:tc>
          <w:tcPr>
            <w:tcW w:w="1204" w:type="dxa"/>
            <w:tcBorders>
              <w:top w:val="nil"/>
              <w:left w:val="nil"/>
              <w:bottom w:val="nil"/>
              <w:right w:val="nil"/>
            </w:tcBorders>
            <w:shd w:val="clear" w:color="000000" w:fill="FCE4D6"/>
            <w:noWrap/>
            <w:vAlign w:val="bottom"/>
            <w:hideMark/>
          </w:tcPr>
          <w:p w14:paraId="3AD9FFFB"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Early DS (2017-8)</w:t>
            </w:r>
          </w:p>
        </w:tc>
        <w:tc>
          <w:tcPr>
            <w:tcW w:w="1359" w:type="dxa"/>
            <w:tcBorders>
              <w:top w:val="nil"/>
              <w:left w:val="nil"/>
              <w:bottom w:val="nil"/>
              <w:right w:val="nil"/>
            </w:tcBorders>
            <w:shd w:val="clear" w:color="000000" w:fill="FCE4D6"/>
            <w:noWrap/>
            <w:vAlign w:val="bottom"/>
            <w:hideMark/>
          </w:tcPr>
          <w:p w14:paraId="583E0E1C"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M'Piabougou</w:t>
            </w:r>
          </w:p>
        </w:tc>
        <w:tc>
          <w:tcPr>
            <w:tcW w:w="2837" w:type="dxa"/>
            <w:tcBorders>
              <w:top w:val="nil"/>
              <w:left w:val="nil"/>
              <w:bottom w:val="nil"/>
              <w:right w:val="nil"/>
            </w:tcBorders>
            <w:shd w:val="clear" w:color="000000" w:fill="FCE4D6"/>
            <w:noWrap/>
            <w:vAlign w:val="bottom"/>
            <w:hideMark/>
          </w:tcPr>
          <w:p w14:paraId="5FB01E6A"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0</w:t>
            </w:r>
            <w:proofErr w:type="gramStart"/>
            <w:r w:rsidRPr="00AF46B2">
              <w:rPr>
                <w:rFonts w:ascii="Calibri" w:eastAsia="Times New Roman" w:hAnsi="Calibri" w:cs="Calibri"/>
                <w:color w:val="000000"/>
                <w:sz w:val="18"/>
                <w:szCs w:val="18"/>
                <w:lang w:bidi="he-IL"/>
              </w:rPr>
              <w:t>%  (</w:t>
            </w:r>
            <w:proofErr w:type="gramEnd"/>
            <w:r w:rsidRPr="00AF46B2">
              <w:rPr>
                <w:rFonts w:ascii="Calibri" w:eastAsia="Times New Roman" w:hAnsi="Calibri" w:cs="Calibri"/>
                <w:color w:val="000000"/>
                <w:sz w:val="18"/>
                <w:szCs w:val="18"/>
                <w:lang w:bidi="he-IL"/>
              </w:rPr>
              <w:t>1 mosquito collected)</w:t>
            </w:r>
          </w:p>
        </w:tc>
        <w:tc>
          <w:tcPr>
            <w:tcW w:w="2700" w:type="dxa"/>
            <w:tcBorders>
              <w:top w:val="nil"/>
              <w:left w:val="nil"/>
              <w:bottom w:val="nil"/>
              <w:right w:val="nil"/>
            </w:tcBorders>
            <w:shd w:val="clear" w:color="000000" w:fill="FCE4D6"/>
            <w:noWrap/>
            <w:vAlign w:val="bottom"/>
            <w:hideMark/>
          </w:tcPr>
          <w:p w14:paraId="028BA4F9"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xml:space="preserve"> ND</w:t>
            </w:r>
          </w:p>
        </w:tc>
        <w:tc>
          <w:tcPr>
            <w:tcW w:w="2250" w:type="dxa"/>
            <w:tcBorders>
              <w:top w:val="nil"/>
              <w:left w:val="nil"/>
              <w:bottom w:val="nil"/>
              <w:right w:val="nil"/>
            </w:tcBorders>
            <w:shd w:val="clear" w:color="000000" w:fill="FCE4D6"/>
            <w:noWrap/>
            <w:vAlign w:val="bottom"/>
            <w:hideMark/>
          </w:tcPr>
          <w:p w14:paraId="42449D7A"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ND</w:t>
            </w:r>
          </w:p>
        </w:tc>
        <w:tc>
          <w:tcPr>
            <w:tcW w:w="1350" w:type="dxa"/>
            <w:tcBorders>
              <w:top w:val="nil"/>
              <w:left w:val="nil"/>
              <w:bottom w:val="nil"/>
              <w:right w:val="nil"/>
            </w:tcBorders>
            <w:shd w:val="clear" w:color="000000" w:fill="FCE4D6"/>
            <w:noWrap/>
            <w:vAlign w:val="bottom"/>
            <w:hideMark/>
          </w:tcPr>
          <w:p w14:paraId="5D5A33ED"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29%</w:t>
            </w:r>
          </w:p>
        </w:tc>
        <w:tc>
          <w:tcPr>
            <w:tcW w:w="1080" w:type="dxa"/>
            <w:tcBorders>
              <w:top w:val="nil"/>
              <w:left w:val="nil"/>
              <w:bottom w:val="nil"/>
              <w:right w:val="nil"/>
            </w:tcBorders>
            <w:shd w:val="clear" w:color="000000" w:fill="FCE4D6"/>
            <w:noWrap/>
            <w:vAlign w:val="bottom"/>
            <w:hideMark/>
          </w:tcPr>
          <w:p w14:paraId="6886FD70"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87%</w:t>
            </w:r>
          </w:p>
        </w:tc>
      </w:tr>
      <w:tr w:rsidR="008B5136" w:rsidRPr="00AF46B2" w14:paraId="253E7C10" w14:textId="77777777" w:rsidTr="008B5136">
        <w:trPr>
          <w:trHeight w:val="271"/>
        </w:trPr>
        <w:tc>
          <w:tcPr>
            <w:tcW w:w="1204" w:type="dxa"/>
            <w:tcBorders>
              <w:top w:val="nil"/>
              <w:left w:val="nil"/>
              <w:bottom w:val="nil"/>
              <w:right w:val="nil"/>
            </w:tcBorders>
            <w:shd w:val="clear" w:color="000000" w:fill="FCE4D6"/>
            <w:noWrap/>
            <w:vAlign w:val="bottom"/>
            <w:hideMark/>
          </w:tcPr>
          <w:p w14:paraId="59C4BF8F"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Early DS (2017-8)</w:t>
            </w:r>
          </w:p>
        </w:tc>
        <w:tc>
          <w:tcPr>
            <w:tcW w:w="1359" w:type="dxa"/>
            <w:tcBorders>
              <w:top w:val="nil"/>
              <w:left w:val="nil"/>
              <w:bottom w:val="nil"/>
              <w:right w:val="nil"/>
            </w:tcBorders>
            <w:shd w:val="clear" w:color="000000" w:fill="FCE4D6"/>
            <w:noWrap/>
            <w:vAlign w:val="bottom"/>
            <w:hideMark/>
          </w:tcPr>
          <w:p w14:paraId="6BF5A697"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Pooled</w:t>
            </w:r>
          </w:p>
        </w:tc>
        <w:tc>
          <w:tcPr>
            <w:tcW w:w="2837" w:type="dxa"/>
            <w:tcBorders>
              <w:top w:val="nil"/>
              <w:left w:val="nil"/>
              <w:bottom w:val="nil"/>
              <w:right w:val="nil"/>
            </w:tcBorders>
            <w:shd w:val="clear" w:color="000000" w:fill="FCE4D6"/>
            <w:noWrap/>
            <w:vAlign w:val="bottom"/>
            <w:hideMark/>
          </w:tcPr>
          <w:p w14:paraId="4A04E04C" w14:textId="77777777" w:rsidR="008B5136" w:rsidRPr="00AF46B2" w:rsidRDefault="008B5136" w:rsidP="008B5136">
            <w:pPr>
              <w:spacing w:after="0" w:line="240" w:lineRule="auto"/>
              <w:rPr>
                <w:rFonts w:ascii="Calibri" w:eastAsia="Times New Roman" w:hAnsi="Calibri" w:cs="Calibri"/>
                <w:sz w:val="18"/>
                <w:szCs w:val="18"/>
                <w:lang w:bidi="he-IL"/>
              </w:rPr>
            </w:pPr>
            <w:r w:rsidRPr="00AF46B2">
              <w:rPr>
                <w:rFonts w:ascii="Calibri" w:eastAsia="Times New Roman" w:hAnsi="Calibri" w:cs="Calibri"/>
                <w:sz w:val="18"/>
                <w:szCs w:val="18"/>
                <w:lang w:bidi="he-IL"/>
              </w:rPr>
              <w:t>29%</w:t>
            </w:r>
          </w:p>
        </w:tc>
        <w:tc>
          <w:tcPr>
            <w:tcW w:w="2700" w:type="dxa"/>
            <w:tcBorders>
              <w:top w:val="nil"/>
              <w:left w:val="nil"/>
              <w:bottom w:val="nil"/>
              <w:right w:val="nil"/>
            </w:tcBorders>
            <w:shd w:val="clear" w:color="000000" w:fill="FCE4D6"/>
            <w:noWrap/>
            <w:vAlign w:val="bottom"/>
            <w:hideMark/>
          </w:tcPr>
          <w:p w14:paraId="381D9DC0"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2250" w:type="dxa"/>
            <w:tcBorders>
              <w:top w:val="nil"/>
              <w:left w:val="nil"/>
              <w:bottom w:val="nil"/>
              <w:right w:val="nil"/>
            </w:tcBorders>
            <w:shd w:val="clear" w:color="000000" w:fill="FCE4D6"/>
            <w:noWrap/>
            <w:vAlign w:val="bottom"/>
            <w:hideMark/>
          </w:tcPr>
          <w:p w14:paraId="633995EE"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1350" w:type="dxa"/>
            <w:tcBorders>
              <w:top w:val="nil"/>
              <w:left w:val="nil"/>
              <w:bottom w:val="nil"/>
              <w:right w:val="nil"/>
            </w:tcBorders>
            <w:shd w:val="clear" w:color="000000" w:fill="FCE4D6"/>
            <w:noWrap/>
            <w:vAlign w:val="bottom"/>
            <w:hideMark/>
          </w:tcPr>
          <w:p w14:paraId="3339BABB"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1080" w:type="dxa"/>
            <w:tcBorders>
              <w:top w:val="nil"/>
              <w:left w:val="nil"/>
              <w:bottom w:val="nil"/>
              <w:right w:val="nil"/>
            </w:tcBorders>
            <w:shd w:val="clear" w:color="000000" w:fill="FCE4D6"/>
            <w:noWrap/>
            <w:vAlign w:val="bottom"/>
            <w:hideMark/>
          </w:tcPr>
          <w:p w14:paraId="48BD67A8"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r>
      <w:tr w:rsidR="008B5136" w:rsidRPr="00AF46B2" w14:paraId="13459E2E" w14:textId="77777777" w:rsidTr="008B5136">
        <w:trPr>
          <w:trHeight w:val="271"/>
        </w:trPr>
        <w:tc>
          <w:tcPr>
            <w:tcW w:w="1204" w:type="dxa"/>
            <w:tcBorders>
              <w:top w:val="nil"/>
              <w:left w:val="nil"/>
              <w:bottom w:val="nil"/>
              <w:right w:val="nil"/>
            </w:tcBorders>
            <w:shd w:val="clear" w:color="000000" w:fill="F4B084"/>
            <w:noWrap/>
            <w:vAlign w:val="bottom"/>
            <w:hideMark/>
          </w:tcPr>
          <w:p w14:paraId="692A3818"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Late DS (2018)</w:t>
            </w:r>
          </w:p>
        </w:tc>
        <w:tc>
          <w:tcPr>
            <w:tcW w:w="1359" w:type="dxa"/>
            <w:tcBorders>
              <w:top w:val="nil"/>
              <w:left w:val="nil"/>
              <w:bottom w:val="nil"/>
              <w:right w:val="nil"/>
            </w:tcBorders>
            <w:shd w:val="clear" w:color="000000" w:fill="F4B084"/>
            <w:noWrap/>
            <w:vAlign w:val="bottom"/>
            <w:hideMark/>
          </w:tcPr>
          <w:p w14:paraId="13B6D919"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Thierola</w:t>
            </w:r>
          </w:p>
        </w:tc>
        <w:tc>
          <w:tcPr>
            <w:tcW w:w="2837" w:type="dxa"/>
            <w:tcBorders>
              <w:top w:val="nil"/>
              <w:left w:val="nil"/>
              <w:bottom w:val="nil"/>
              <w:right w:val="nil"/>
            </w:tcBorders>
            <w:shd w:val="clear" w:color="000000" w:fill="F4B084"/>
            <w:noWrap/>
            <w:vAlign w:val="bottom"/>
            <w:hideMark/>
          </w:tcPr>
          <w:p w14:paraId="68B34888"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24% (&gt;142 ppm), 6.5% (Late DS 2016)</w:t>
            </w:r>
          </w:p>
        </w:tc>
        <w:tc>
          <w:tcPr>
            <w:tcW w:w="2700" w:type="dxa"/>
            <w:tcBorders>
              <w:top w:val="nil"/>
              <w:left w:val="nil"/>
              <w:bottom w:val="nil"/>
              <w:right w:val="nil"/>
            </w:tcBorders>
            <w:shd w:val="clear" w:color="000000" w:fill="F4B084"/>
            <w:noWrap/>
            <w:vAlign w:val="bottom"/>
            <w:hideMark/>
          </w:tcPr>
          <w:p w14:paraId="40F268F1"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33%</w:t>
            </w:r>
            <w:r w:rsidRPr="00AF46B2">
              <w:rPr>
                <w:rFonts w:ascii="Calibri" w:eastAsia="Times New Roman" w:hAnsi="Calibri" w:cs="Calibri"/>
                <w:b/>
                <w:bCs/>
                <w:color w:val="000000"/>
                <w:sz w:val="18"/>
                <w:szCs w:val="18"/>
                <w:lang w:bidi="he-IL"/>
              </w:rPr>
              <w:t>*</w:t>
            </w:r>
            <w:r w:rsidRPr="00AF46B2">
              <w:rPr>
                <w:rFonts w:ascii="Calibri" w:eastAsia="Times New Roman" w:hAnsi="Calibri" w:cs="Calibri"/>
                <w:color w:val="000000"/>
                <w:sz w:val="18"/>
                <w:szCs w:val="18"/>
                <w:lang w:bidi="he-IL"/>
              </w:rPr>
              <w:t xml:space="preserve"> (pre-enrich)</w:t>
            </w:r>
            <w:proofErr w:type="gramStart"/>
            <w:r w:rsidRPr="00AF46B2">
              <w:rPr>
                <w:rFonts w:ascii="Calibri" w:eastAsia="Times New Roman" w:hAnsi="Calibri" w:cs="Calibri"/>
                <w:color w:val="000000"/>
                <w:sz w:val="18"/>
                <w:szCs w:val="18"/>
                <w:lang w:bidi="he-IL"/>
              </w:rPr>
              <w:t>,  -</w:t>
            </w:r>
            <w:proofErr w:type="gramEnd"/>
            <w:r w:rsidRPr="00AF46B2">
              <w:rPr>
                <w:rFonts w:ascii="Calibri" w:eastAsia="Times New Roman" w:hAnsi="Calibri" w:cs="Calibri"/>
                <w:color w:val="000000"/>
                <w:sz w:val="18"/>
                <w:szCs w:val="18"/>
                <w:lang w:bidi="he-IL"/>
              </w:rPr>
              <w:t>2%</w:t>
            </w:r>
            <w:r w:rsidRPr="00AF46B2">
              <w:rPr>
                <w:rFonts w:ascii="Calibri" w:eastAsia="Times New Roman" w:hAnsi="Calibri" w:cs="Calibri"/>
                <w:color w:val="000000"/>
                <w:sz w:val="18"/>
                <w:szCs w:val="18"/>
                <w:vertAlign w:val="superscript"/>
                <w:lang w:bidi="he-IL"/>
              </w:rPr>
              <w:t>ns</w:t>
            </w:r>
            <w:r w:rsidRPr="00AF46B2">
              <w:rPr>
                <w:rFonts w:ascii="Calibri" w:eastAsia="Times New Roman" w:hAnsi="Calibri" w:cs="Calibri"/>
                <w:color w:val="000000"/>
                <w:sz w:val="18"/>
                <w:szCs w:val="18"/>
                <w:lang w:bidi="he-IL"/>
              </w:rPr>
              <w:t xml:space="preserve"> (Late DS 2016)</w:t>
            </w:r>
          </w:p>
        </w:tc>
        <w:tc>
          <w:tcPr>
            <w:tcW w:w="2250" w:type="dxa"/>
            <w:tcBorders>
              <w:top w:val="nil"/>
              <w:left w:val="nil"/>
              <w:bottom w:val="nil"/>
              <w:right w:val="nil"/>
            </w:tcBorders>
            <w:shd w:val="clear" w:color="000000" w:fill="F4B084"/>
            <w:noWrap/>
            <w:vAlign w:val="bottom"/>
            <w:hideMark/>
          </w:tcPr>
          <w:p w14:paraId="2EB0AFBB"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19% (</w:t>
            </w:r>
            <w:proofErr w:type="gramStart"/>
            <w:r w:rsidRPr="00AF46B2">
              <w:rPr>
                <w:rFonts w:ascii="Calibri" w:eastAsia="Times New Roman" w:hAnsi="Calibri" w:cs="Calibri"/>
                <w:color w:val="000000"/>
                <w:sz w:val="18"/>
                <w:szCs w:val="18"/>
                <w:lang w:bidi="he-IL"/>
              </w:rPr>
              <w:t>F,*</w:t>
            </w:r>
            <w:proofErr w:type="gramEnd"/>
            <w:r w:rsidRPr="00AF46B2">
              <w:rPr>
                <w:rFonts w:ascii="Calibri" w:eastAsia="Times New Roman" w:hAnsi="Calibri" w:cs="Calibri"/>
                <w:color w:val="000000"/>
                <w:sz w:val="18"/>
                <w:szCs w:val="18"/>
                <w:lang w:bidi="he-IL"/>
              </w:rPr>
              <w:t>**)(M, ns)</w:t>
            </w:r>
          </w:p>
        </w:tc>
        <w:tc>
          <w:tcPr>
            <w:tcW w:w="1350" w:type="dxa"/>
            <w:tcBorders>
              <w:top w:val="nil"/>
              <w:left w:val="nil"/>
              <w:bottom w:val="nil"/>
              <w:right w:val="nil"/>
            </w:tcBorders>
            <w:shd w:val="clear" w:color="000000" w:fill="F4B084"/>
            <w:noWrap/>
            <w:vAlign w:val="bottom"/>
            <w:hideMark/>
          </w:tcPr>
          <w:p w14:paraId="4B526C07"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1080" w:type="dxa"/>
            <w:tcBorders>
              <w:top w:val="nil"/>
              <w:left w:val="nil"/>
              <w:bottom w:val="nil"/>
              <w:right w:val="nil"/>
            </w:tcBorders>
            <w:shd w:val="clear" w:color="000000" w:fill="F4B084"/>
            <w:noWrap/>
            <w:vAlign w:val="bottom"/>
            <w:hideMark/>
          </w:tcPr>
          <w:p w14:paraId="3407333E"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r>
      <w:tr w:rsidR="008B5136" w:rsidRPr="00AF46B2" w14:paraId="344F4867" w14:textId="77777777" w:rsidTr="008B5136">
        <w:trPr>
          <w:trHeight w:val="271"/>
        </w:trPr>
        <w:tc>
          <w:tcPr>
            <w:tcW w:w="1204" w:type="dxa"/>
            <w:tcBorders>
              <w:top w:val="nil"/>
              <w:left w:val="nil"/>
              <w:bottom w:val="nil"/>
              <w:right w:val="nil"/>
            </w:tcBorders>
            <w:shd w:val="clear" w:color="000000" w:fill="F4B084"/>
            <w:noWrap/>
            <w:vAlign w:val="bottom"/>
            <w:hideMark/>
          </w:tcPr>
          <w:p w14:paraId="70D1F737"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Late DS (2018)</w:t>
            </w:r>
          </w:p>
        </w:tc>
        <w:tc>
          <w:tcPr>
            <w:tcW w:w="1359" w:type="dxa"/>
            <w:tcBorders>
              <w:top w:val="nil"/>
              <w:left w:val="nil"/>
              <w:bottom w:val="nil"/>
              <w:right w:val="nil"/>
            </w:tcBorders>
            <w:shd w:val="clear" w:color="000000" w:fill="F4B084"/>
            <w:noWrap/>
            <w:vAlign w:val="bottom"/>
            <w:hideMark/>
          </w:tcPr>
          <w:p w14:paraId="4205F523"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M'Piabougou</w:t>
            </w:r>
          </w:p>
        </w:tc>
        <w:tc>
          <w:tcPr>
            <w:tcW w:w="2837" w:type="dxa"/>
            <w:tcBorders>
              <w:top w:val="nil"/>
              <w:left w:val="nil"/>
              <w:bottom w:val="nil"/>
              <w:right w:val="nil"/>
            </w:tcBorders>
            <w:shd w:val="clear" w:color="000000" w:fill="F4B084"/>
            <w:noWrap/>
            <w:vAlign w:val="bottom"/>
            <w:hideMark/>
          </w:tcPr>
          <w:p w14:paraId="799A18CD"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No samples available</w:t>
            </w:r>
          </w:p>
        </w:tc>
        <w:tc>
          <w:tcPr>
            <w:tcW w:w="2700" w:type="dxa"/>
            <w:tcBorders>
              <w:top w:val="nil"/>
              <w:left w:val="nil"/>
              <w:bottom w:val="nil"/>
              <w:right w:val="nil"/>
            </w:tcBorders>
            <w:shd w:val="clear" w:color="000000" w:fill="F4B084"/>
            <w:noWrap/>
            <w:vAlign w:val="bottom"/>
            <w:hideMark/>
          </w:tcPr>
          <w:p w14:paraId="27B66F8E"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No samples available</w:t>
            </w:r>
          </w:p>
        </w:tc>
        <w:tc>
          <w:tcPr>
            <w:tcW w:w="2250" w:type="dxa"/>
            <w:tcBorders>
              <w:top w:val="nil"/>
              <w:left w:val="nil"/>
              <w:bottom w:val="nil"/>
              <w:right w:val="nil"/>
            </w:tcBorders>
            <w:shd w:val="clear" w:color="000000" w:fill="F4B084"/>
            <w:noWrap/>
            <w:vAlign w:val="bottom"/>
            <w:hideMark/>
          </w:tcPr>
          <w:p w14:paraId="1CE25076"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1350" w:type="dxa"/>
            <w:tcBorders>
              <w:top w:val="nil"/>
              <w:left w:val="nil"/>
              <w:bottom w:val="nil"/>
              <w:right w:val="nil"/>
            </w:tcBorders>
            <w:shd w:val="clear" w:color="000000" w:fill="F4B084"/>
            <w:noWrap/>
            <w:vAlign w:val="bottom"/>
            <w:hideMark/>
          </w:tcPr>
          <w:p w14:paraId="31358959"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1080" w:type="dxa"/>
            <w:tcBorders>
              <w:top w:val="nil"/>
              <w:left w:val="nil"/>
              <w:bottom w:val="nil"/>
              <w:right w:val="nil"/>
            </w:tcBorders>
            <w:shd w:val="clear" w:color="000000" w:fill="F4B084"/>
            <w:noWrap/>
            <w:vAlign w:val="bottom"/>
            <w:hideMark/>
          </w:tcPr>
          <w:p w14:paraId="6DE2E3EF"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r>
      <w:tr w:rsidR="008B5136" w:rsidRPr="00AF46B2" w14:paraId="1C8D4D30" w14:textId="77777777" w:rsidTr="008B5136">
        <w:trPr>
          <w:trHeight w:val="271"/>
        </w:trPr>
        <w:tc>
          <w:tcPr>
            <w:tcW w:w="1204" w:type="dxa"/>
            <w:tcBorders>
              <w:top w:val="nil"/>
              <w:left w:val="nil"/>
              <w:bottom w:val="nil"/>
              <w:right w:val="nil"/>
            </w:tcBorders>
            <w:shd w:val="clear" w:color="000000" w:fill="F4B084"/>
            <w:noWrap/>
            <w:vAlign w:val="bottom"/>
            <w:hideMark/>
          </w:tcPr>
          <w:p w14:paraId="60996591"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Late DS (2018)</w:t>
            </w:r>
          </w:p>
        </w:tc>
        <w:tc>
          <w:tcPr>
            <w:tcW w:w="1359" w:type="dxa"/>
            <w:tcBorders>
              <w:top w:val="nil"/>
              <w:left w:val="nil"/>
              <w:bottom w:val="nil"/>
              <w:right w:val="nil"/>
            </w:tcBorders>
            <w:shd w:val="clear" w:color="000000" w:fill="F4B084"/>
            <w:noWrap/>
            <w:vAlign w:val="bottom"/>
            <w:hideMark/>
          </w:tcPr>
          <w:p w14:paraId="77DA56D2"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Pooled</w:t>
            </w:r>
          </w:p>
        </w:tc>
        <w:tc>
          <w:tcPr>
            <w:tcW w:w="2837" w:type="dxa"/>
            <w:tcBorders>
              <w:top w:val="nil"/>
              <w:left w:val="nil"/>
              <w:bottom w:val="nil"/>
              <w:right w:val="nil"/>
            </w:tcBorders>
            <w:shd w:val="clear" w:color="000000" w:fill="F4B084"/>
            <w:noWrap/>
            <w:vAlign w:val="bottom"/>
            <w:hideMark/>
          </w:tcPr>
          <w:p w14:paraId="0E41ACC1"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2700" w:type="dxa"/>
            <w:tcBorders>
              <w:top w:val="nil"/>
              <w:left w:val="nil"/>
              <w:bottom w:val="nil"/>
              <w:right w:val="nil"/>
            </w:tcBorders>
            <w:shd w:val="clear" w:color="000000" w:fill="F4B084"/>
            <w:noWrap/>
            <w:vAlign w:val="bottom"/>
            <w:hideMark/>
          </w:tcPr>
          <w:p w14:paraId="088D2256"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2250" w:type="dxa"/>
            <w:tcBorders>
              <w:top w:val="nil"/>
              <w:left w:val="nil"/>
              <w:bottom w:val="nil"/>
              <w:right w:val="nil"/>
            </w:tcBorders>
            <w:shd w:val="clear" w:color="000000" w:fill="F4B084"/>
            <w:noWrap/>
            <w:vAlign w:val="bottom"/>
            <w:hideMark/>
          </w:tcPr>
          <w:p w14:paraId="296AF5E4"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 </w:t>
            </w:r>
          </w:p>
        </w:tc>
        <w:tc>
          <w:tcPr>
            <w:tcW w:w="1350" w:type="dxa"/>
            <w:tcBorders>
              <w:top w:val="nil"/>
              <w:left w:val="nil"/>
              <w:bottom w:val="nil"/>
              <w:right w:val="nil"/>
            </w:tcBorders>
            <w:shd w:val="clear" w:color="000000" w:fill="F4B084"/>
            <w:noWrap/>
            <w:vAlign w:val="bottom"/>
            <w:hideMark/>
          </w:tcPr>
          <w:p w14:paraId="0767EB99"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16.5</w:t>
            </w:r>
          </w:p>
        </w:tc>
        <w:tc>
          <w:tcPr>
            <w:tcW w:w="1080" w:type="dxa"/>
            <w:tcBorders>
              <w:top w:val="nil"/>
              <w:left w:val="nil"/>
              <w:bottom w:val="nil"/>
              <w:right w:val="nil"/>
            </w:tcBorders>
            <w:shd w:val="clear" w:color="000000" w:fill="F4B084"/>
            <w:noWrap/>
            <w:vAlign w:val="bottom"/>
            <w:hideMark/>
          </w:tcPr>
          <w:p w14:paraId="38C5EFCD"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50%</w:t>
            </w:r>
          </w:p>
        </w:tc>
      </w:tr>
      <w:tr w:rsidR="008B5136" w:rsidRPr="00AF46B2" w14:paraId="4368D439" w14:textId="77777777" w:rsidTr="008B5136">
        <w:trPr>
          <w:trHeight w:val="271"/>
        </w:trPr>
        <w:tc>
          <w:tcPr>
            <w:tcW w:w="1204" w:type="dxa"/>
            <w:tcBorders>
              <w:top w:val="nil"/>
              <w:left w:val="nil"/>
              <w:bottom w:val="single" w:sz="4" w:space="0" w:color="auto"/>
              <w:right w:val="nil"/>
            </w:tcBorders>
            <w:shd w:val="clear" w:color="000000" w:fill="9BC2E6"/>
            <w:noWrap/>
            <w:vAlign w:val="bottom"/>
            <w:hideMark/>
          </w:tcPr>
          <w:p w14:paraId="73D6E960"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Rain Onset (2018)</w:t>
            </w:r>
          </w:p>
        </w:tc>
        <w:tc>
          <w:tcPr>
            <w:tcW w:w="1359" w:type="dxa"/>
            <w:tcBorders>
              <w:top w:val="nil"/>
              <w:left w:val="nil"/>
              <w:bottom w:val="single" w:sz="4" w:space="0" w:color="auto"/>
              <w:right w:val="nil"/>
            </w:tcBorders>
            <w:shd w:val="clear" w:color="000000" w:fill="9BC2E6"/>
            <w:noWrap/>
            <w:vAlign w:val="bottom"/>
            <w:hideMark/>
          </w:tcPr>
          <w:p w14:paraId="16C3F7E5"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Pooled</w:t>
            </w:r>
          </w:p>
        </w:tc>
        <w:tc>
          <w:tcPr>
            <w:tcW w:w="2837" w:type="dxa"/>
            <w:tcBorders>
              <w:top w:val="nil"/>
              <w:left w:val="nil"/>
              <w:bottom w:val="single" w:sz="4" w:space="0" w:color="auto"/>
              <w:right w:val="nil"/>
            </w:tcBorders>
            <w:shd w:val="clear" w:color="000000" w:fill="9BC2E6"/>
            <w:noWrap/>
            <w:vAlign w:val="bottom"/>
            <w:hideMark/>
          </w:tcPr>
          <w:p w14:paraId="7709D4F2" w14:textId="02E200E3"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6.5% (&gt;142 ppm), 0% (Neighbor. Village: 2018)</w:t>
            </w:r>
          </w:p>
        </w:tc>
        <w:tc>
          <w:tcPr>
            <w:tcW w:w="2700" w:type="dxa"/>
            <w:tcBorders>
              <w:top w:val="nil"/>
              <w:left w:val="nil"/>
              <w:bottom w:val="single" w:sz="4" w:space="0" w:color="auto"/>
              <w:right w:val="nil"/>
            </w:tcBorders>
            <w:shd w:val="clear" w:color="000000" w:fill="9BC2E6"/>
            <w:noWrap/>
            <w:vAlign w:val="bottom"/>
            <w:hideMark/>
          </w:tcPr>
          <w:p w14:paraId="4F3B3010" w14:textId="3348C102"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21%* (pre-enrich), 8.5%ns (Neighbor. Village: 2018)</w:t>
            </w:r>
          </w:p>
        </w:tc>
        <w:tc>
          <w:tcPr>
            <w:tcW w:w="2250" w:type="dxa"/>
            <w:tcBorders>
              <w:top w:val="nil"/>
              <w:left w:val="nil"/>
              <w:bottom w:val="single" w:sz="4" w:space="0" w:color="auto"/>
              <w:right w:val="nil"/>
            </w:tcBorders>
            <w:shd w:val="clear" w:color="000000" w:fill="9BC2E6"/>
            <w:noWrap/>
            <w:vAlign w:val="bottom"/>
            <w:hideMark/>
          </w:tcPr>
          <w:p w14:paraId="2CAFC23C"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2.5% (***)</w:t>
            </w:r>
          </w:p>
        </w:tc>
        <w:tc>
          <w:tcPr>
            <w:tcW w:w="1350" w:type="dxa"/>
            <w:tcBorders>
              <w:top w:val="nil"/>
              <w:left w:val="nil"/>
              <w:bottom w:val="single" w:sz="4" w:space="0" w:color="auto"/>
              <w:right w:val="nil"/>
            </w:tcBorders>
            <w:shd w:val="clear" w:color="000000" w:fill="9BC2E6"/>
            <w:noWrap/>
            <w:vAlign w:val="bottom"/>
            <w:hideMark/>
          </w:tcPr>
          <w:p w14:paraId="6DBB4B44"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6.1</w:t>
            </w:r>
          </w:p>
        </w:tc>
        <w:tc>
          <w:tcPr>
            <w:tcW w:w="1080" w:type="dxa"/>
            <w:tcBorders>
              <w:top w:val="nil"/>
              <w:left w:val="nil"/>
              <w:bottom w:val="single" w:sz="4" w:space="0" w:color="auto"/>
              <w:right w:val="nil"/>
            </w:tcBorders>
            <w:shd w:val="clear" w:color="000000" w:fill="9BC2E6"/>
            <w:noWrap/>
            <w:vAlign w:val="bottom"/>
            <w:hideMark/>
          </w:tcPr>
          <w:p w14:paraId="454356E1" w14:textId="77777777" w:rsidR="008B5136" w:rsidRPr="00AF46B2" w:rsidRDefault="008B5136" w:rsidP="008B5136">
            <w:pPr>
              <w:spacing w:after="0" w:line="240" w:lineRule="auto"/>
              <w:rPr>
                <w:rFonts w:ascii="Calibri" w:eastAsia="Times New Roman" w:hAnsi="Calibri" w:cs="Calibri"/>
                <w:color w:val="000000"/>
                <w:sz w:val="18"/>
                <w:szCs w:val="18"/>
                <w:lang w:bidi="he-IL"/>
              </w:rPr>
            </w:pPr>
            <w:r w:rsidRPr="00AF46B2">
              <w:rPr>
                <w:rFonts w:ascii="Calibri" w:eastAsia="Times New Roman" w:hAnsi="Calibri" w:cs="Calibri"/>
                <w:color w:val="000000"/>
                <w:sz w:val="18"/>
                <w:szCs w:val="18"/>
                <w:lang w:bidi="he-IL"/>
              </w:rPr>
              <w:t>18%</w:t>
            </w:r>
          </w:p>
        </w:tc>
      </w:tr>
      <w:tr w:rsidR="008B5136" w:rsidRPr="00AF46B2" w14:paraId="0BDE7B68" w14:textId="77777777" w:rsidTr="008B5136">
        <w:trPr>
          <w:trHeight w:val="271"/>
        </w:trPr>
        <w:tc>
          <w:tcPr>
            <w:tcW w:w="10350" w:type="dxa"/>
            <w:gridSpan w:val="5"/>
            <w:tcBorders>
              <w:top w:val="nil"/>
              <w:left w:val="nil"/>
              <w:bottom w:val="nil"/>
              <w:right w:val="nil"/>
            </w:tcBorders>
            <w:shd w:val="clear" w:color="auto" w:fill="auto"/>
            <w:noWrap/>
            <w:vAlign w:val="bottom"/>
            <w:hideMark/>
          </w:tcPr>
          <w:p w14:paraId="0E4C21E7" w14:textId="77777777" w:rsidR="00F51476" w:rsidRDefault="008B5136" w:rsidP="008B5136">
            <w:pPr>
              <w:spacing w:after="0" w:line="240" w:lineRule="auto"/>
              <w:rPr>
                <w:rFonts w:ascii="Calibri" w:eastAsia="Times New Roman" w:hAnsi="Calibri" w:cs="Calibri"/>
                <w:color w:val="000000"/>
                <w:sz w:val="16"/>
                <w:szCs w:val="16"/>
                <w:lang w:bidi="he-IL"/>
              </w:rPr>
            </w:pPr>
            <w:r w:rsidRPr="00AF46B2">
              <w:rPr>
                <w:rFonts w:ascii="Calibri" w:eastAsia="Times New Roman" w:hAnsi="Calibri" w:cs="Calibri"/>
                <w:color w:val="000000"/>
                <w:sz w:val="16"/>
                <w:szCs w:val="16"/>
                <w:vertAlign w:val="superscript"/>
                <w:lang w:bidi="he-IL"/>
              </w:rPr>
              <w:t>1</w:t>
            </w:r>
            <w:r w:rsidR="00F51476" w:rsidRPr="00AF46B2">
              <w:rPr>
                <w:rFonts w:ascii="Calibri" w:eastAsia="Times New Roman" w:hAnsi="Calibri" w:cs="Calibri"/>
                <w:color w:val="000000"/>
                <w:sz w:val="16"/>
                <w:szCs w:val="16"/>
                <w:lang w:bidi="he-IL"/>
              </w:rPr>
              <w:t>Pooled</w:t>
            </w:r>
            <w:r w:rsidR="00F51476">
              <w:rPr>
                <w:rFonts w:ascii="Calibri" w:eastAsia="Times New Roman" w:hAnsi="Calibri" w:cs="Calibri"/>
                <w:color w:val="000000"/>
                <w:sz w:val="16"/>
                <w:szCs w:val="16"/>
                <w:lang w:bidi="he-IL"/>
              </w:rPr>
              <w:t xml:space="preserve"> populations:</w:t>
            </w:r>
            <w:r w:rsidR="00F51476" w:rsidRPr="00AF46B2">
              <w:rPr>
                <w:rFonts w:ascii="Calibri" w:eastAsia="Times New Roman" w:hAnsi="Calibri" w:cs="Calibri"/>
                <w:color w:val="000000"/>
                <w:sz w:val="16"/>
                <w:szCs w:val="16"/>
                <w:lang w:bidi="he-IL"/>
              </w:rPr>
              <w:t xml:space="preserve"> values reflect means over Thierola and M'Piabougou </w:t>
            </w:r>
          </w:p>
          <w:p w14:paraId="27A26A6C" w14:textId="09F61D9D" w:rsidR="008B5136" w:rsidRPr="00AF46B2" w:rsidRDefault="00F51476" w:rsidP="008B5136">
            <w:pPr>
              <w:spacing w:after="0" w:line="240" w:lineRule="auto"/>
              <w:rPr>
                <w:rFonts w:ascii="Calibri" w:eastAsia="Times New Roman" w:hAnsi="Calibri" w:cs="Calibri"/>
                <w:color w:val="000000"/>
                <w:sz w:val="16"/>
                <w:szCs w:val="16"/>
                <w:lang w:bidi="he-IL"/>
              </w:rPr>
            </w:pPr>
            <w:r w:rsidRPr="00F51476">
              <w:rPr>
                <w:rFonts w:ascii="Calibri" w:eastAsia="Times New Roman" w:hAnsi="Calibri" w:cs="Calibri"/>
                <w:color w:val="000000"/>
                <w:sz w:val="16"/>
                <w:szCs w:val="16"/>
                <w:vertAlign w:val="superscript"/>
                <w:lang w:bidi="he-IL"/>
              </w:rPr>
              <w:t>2</w:t>
            </w:r>
            <w:r w:rsidR="008B5136" w:rsidRPr="00AF46B2">
              <w:rPr>
                <w:rFonts w:ascii="Calibri" w:eastAsia="Times New Roman" w:hAnsi="Calibri" w:cs="Calibri"/>
                <w:color w:val="000000"/>
                <w:sz w:val="16"/>
                <w:szCs w:val="16"/>
                <w:lang w:bidi="he-IL"/>
              </w:rPr>
              <w:t xml:space="preserve">Based on the maximum </w:t>
            </w:r>
            <w:r w:rsidR="008B5136" w:rsidRPr="00F51476">
              <w:rPr>
                <w:rFonts w:ascii="Calibri" w:eastAsia="Times New Roman" w:hAnsi="Calibri" w:cs="Calibri"/>
                <w:color w:val="000000"/>
                <w:sz w:val="16"/>
                <w:szCs w:val="16"/>
                <w:vertAlign w:val="superscript"/>
                <w:lang w:bidi="he-IL"/>
              </w:rPr>
              <w:t>2</w:t>
            </w:r>
            <w:r w:rsidR="008B5136">
              <w:rPr>
                <w:rFonts w:ascii="Calibri" w:eastAsia="Times New Roman" w:hAnsi="Calibri" w:cs="Calibri"/>
                <w:color w:val="000000"/>
                <w:sz w:val="16"/>
                <w:szCs w:val="16"/>
                <w:lang w:bidi="he-IL"/>
              </w:rPr>
              <w:t>H</w:t>
            </w:r>
            <w:r w:rsidR="008B5136" w:rsidRPr="00AF46B2">
              <w:rPr>
                <w:rFonts w:ascii="Calibri" w:eastAsia="Times New Roman" w:hAnsi="Calibri" w:cs="Calibri"/>
                <w:color w:val="000000"/>
                <w:sz w:val="16"/>
                <w:szCs w:val="16"/>
                <w:lang w:bidi="he-IL"/>
              </w:rPr>
              <w:t xml:space="preserve"> value in the pre-enrichment sample, 142 ppm (see text). No additional tests were needed if </w:t>
            </w:r>
            <w:r w:rsidR="008B5136" w:rsidRPr="00F51476">
              <w:rPr>
                <w:rFonts w:ascii="Calibri" w:eastAsia="Times New Roman" w:hAnsi="Calibri" w:cs="Calibri"/>
                <w:color w:val="000000"/>
                <w:sz w:val="16"/>
                <w:szCs w:val="16"/>
                <w:vertAlign w:val="superscript"/>
                <w:lang w:bidi="he-IL"/>
              </w:rPr>
              <w:t>2</w:t>
            </w:r>
            <w:r w:rsidR="008B5136">
              <w:rPr>
                <w:rFonts w:ascii="Calibri" w:eastAsia="Times New Roman" w:hAnsi="Calibri" w:cs="Calibri"/>
                <w:color w:val="000000"/>
                <w:sz w:val="16"/>
                <w:szCs w:val="16"/>
                <w:lang w:bidi="he-IL"/>
              </w:rPr>
              <w:t>H</w:t>
            </w:r>
            <w:r w:rsidR="008B5136" w:rsidRPr="00AF46B2">
              <w:rPr>
                <w:rFonts w:ascii="Calibri" w:eastAsia="Times New Roman" w:hAnsi="Calibri" w:cs="Calibri"/>
                <w:color w:val="000000"/>
                <w:sz w:val="16"/>
                <w:szCs w:val="16"/>
                <w:lang w:bidi="he-IL"/>
              </w:rPr>
              <w:t xml:space="preserve"> values of suspected enriched were much larger than the threshold, e.g., 160 ppm.</w:t>
            </w:r>
          </w:p>
        </w:tc>
        <w:tc>
          <w:tcPr>
            <w:tcW w:w="1350" w:type="dxa"/>
            <w:tcBorders>
              <w:top w:val="nil"/>
              <w:left w:val="nil"/>
              <w:bottom w:val="nil"/>
              <w:right w:val="nil"/>
            </w:tcBorders>
            <w:shd w:val="clear" w:color="auto" w:fill="auto"/>
            <w:noWrap/>
            <w:vAlign w:val="bottom"/>
            <w:hideMark/>
          </w:tcPr>
          <w:p w14:paraId="1CD9714D" w14:textId="77777777" w:rsidR="008B5136" w:rsidRPr="00AF46B2" w:rsidRDefault="008B5136" w:rsidP="008B5136">
            <w:pPr>
              <w:spacing w:after="0" w:line="240" w:lineRule="auto"/>
              <w:rPr>
                <w:rFonts w:ascii="Calibri" w:eastAsia="Times New Roman" w:hAnsi="Calibri" w:cs="Calibri"/>
                <w:color w:val="000000"/>
                <w:sz w:val="16"/>
                <w:szCs w:val="16"/>
                <w:lang w:bidi="he-IL"/>
              </w:rPr>
            </w:pPr>
          </w:p>
        </w:tc>
        <w:tc>
          <w:tcPr>
            <w:tcW w:w="1080" w:type="dxa"/>
            <w:tcBorders>
              <w:top w:val="nil"/>
              <w:left w:val="nil"/>
              <w:bottom w:val="nil"/>
              <w:right w:val="nil"/>
            </w:tcBorders>
            <w:shd w:val="clear" w:color="auto" w:fill="auto"/>
            <w:noWrap/>
            <w:vAlign w:val="bottom"/>
            <w:hideMark/>
          </w:tcPr>
          <w:p w14:paraId="5CDC5610" w14:textId="77777777" w:rsidR="008B5136" w:rsidRPr="00AF46B2" w:rsidRDefault="008B5136" w:rsidP="008B5136">
            <w:pPr>
              <w:spacing w:after="0" w:line="240" w:lineRule="auto"/>
              <w:rPr>
                <w:rFonts w:ascii="Times New Roman" w:eastAsia="Times New Roman" w:hAnsi="Times New Roman" w:cs="Times New Roman"/>
                <w:sz w:val="20"/>
                <w:szCs w:val="20"/>
                <w:lang w:bidi="he-IL"/>
              </w:rPr>
            </w:pPr>
          </w:p>
        </w:tc>
      </w:tr>
      <w:tr w:rsidR="008B5136" w:rsidRPr="00AF46B2" w14:paraId="7F698AC5" w14:textId="77777777" w:rsidTr="008B5136">
        <w:trPr>
          <w:trHeight w:val="271"/>
        </w:trPr>
        <w:tc>
          <w:tcPr>
            <w:tcW w:w="8100" w:type="dxa"/>
            <w:gridSpan w:val="4"/>
            <w:tcBorders>
              <w:top w:val="nil"/>
              <w:left w:val="nil"/>
              <w:bottom w:val="nil"/>
              <w:right w:val="nil"/>
            </w:tcBorders>
            <w:shd w:val="clear" w:color="auto" w:fill="auto"/>
            <w:noWrap/>
            <w:vAlign w:val="bottom"/>
            <w:hideMark/>
          </w:tcPr>
          <w:p w14:paraId="71310538" w14:textId="01AABD55" w:rsidR="008B5136" w:rsidRPr="00AF46B2" w:rsidRDefault="00F51476" w:rsidP="008B5136">
            <w:pPr>
              <w:spacing w:after="0" w:line="240" w:lineRule="auto"/>
              <w:rPr>
                <w:rFonts w:ascii="Calibri" w:eastAsia="Times New Roman" w:hAnsi="Calibri" w:cs="Calibri"/>
                <w:color w:val="000000"/>
                <w:sz w:val="16"/>
                <w:szCs w:val="16"/>
                <w:lang w:bidi="he-IL"/>
              </w:rPr>
            </w:pPr>
            <w:r>
              <w:rPr>
                <w:rFonts w:ascii="Calibri" w:eastAsia="Times New Roman" w:hAnsi="Calibri" w:cs="Calibri"/>
                <w:color w:val="000000"/>
                <w:sz w:val="16"/>
                <w:szCs w:val="16"/>
                <w:vertAlign w:val="superscript"/>
                <w:lang w:bidi="he-IL"/>
              </w:rPr>
              <w:t>3</w:t>
            </w:r>
            <w:r w:rsidR="008B5136" w:rsidRPr="00AF46B2">
              <w:rPr>
                <w:rFonts w:ascii="Calibri" w:eastAsia="Times New Roman" w:hAnsi="Calibri" w:cs="Calibri"/>
                <w:color w:val="000000"/>
                <w:sz w:val="16"/>
                <w:szCs w:val="16"/>
                <w:lang w:bidi="he-IL"/>
              </w:rPr>
              <w:t>Based on the 3rd quartile of the pre-enrichment or another reference population. Statistical significance is based on excess above the upper 95% CL of the 3rd quartile.</w:t>
            </w:r>
          </w:p>
        </w:tc>
        <w:tc>
          <w:tcPr>
            <w:tcW w:w="2250" w:type="dxa"/>
            <w:tcBorders>
              <w:top w:val="nil"/>
              <w:left w:val="nil"/>
              <w:bottom w:val="nil"/>
              <w:right w:val="nil"/>
            </w:tcBorders>
            <w:shd w:val="clear" w:color="auto" w:fill="auto"/>
            <w:noWrap/>
            <w:vAlign w:val="bottom"/>
            <w:hideMark/>
          </w:tcPr>
          <w:p w14:paraId="00A21747" w14:textId="77777777" w:rsidR="008B5136" w:rsidRPr="00AF46B2" w:rsidRDefault="008B5136" w:rsidP="008B5136">
            <w:pPr>
              <w:spacing w:after="0" w:line="240" w:lineRule="auto"/>
              <w:rPr>
                <w:rFonts w:ascii="Calibri" w:eastAsia="Times New Roman" w:hAnsi="Calibri" w:cs="Calibri"/>
                <w:color w:val="000000"/>
                <w:sz w:val="16"/>
                <w:szCs w:val="16"/>
                <w:lang w:bidi="he-IL"/>
              </w:rPr>
            </w:pPr>
          </w:p>
        </w:tc>
        <w:tc>
          <w:tcPr>
            <w:tcW w:w="1350" w:type="dxa"/>
            <w:tcBorders>
              <w:top w:val="nil"/>
              <w:left w:val="nil"/>
              <w:bottom w:val="nil"/>
              <w:right w:val="nil"/>
            </w:tcBorders>
            <w:shd w:val="clear" w:color="auto" w:fill="auto"/>
            <w:noWrap/>
            <w:vAlign w:val="bottom"/>
            <w:hideMark/>
          </w:tcPr>
          <w:p w14:paraId="6563C1DA" w14:textId="77777777" w:rsidR="008B5136" w:rsidRPr="00AF46B2" w:rsidRDefault="008B5136" w:rsidP="008B5136">
            <w:pPr>
              <w:spacing w:after="0" w:line="240" w:lineRule="auto"/>
              <w:rPr>
                <w:rFonts w:ascii="Times New Roman" w:eastAsia="Times New Roman" w:hAnsi="Times New Roman" w:cs="Times New Roman"/>
                <w:sz w:val="20"/>
                <w:szCs w:val="20"/>
                <w:lang w:bidi="he-IL"/>
              </w:rPr>
            </w:pPr>
          </w:p>
        </w:tc>
        <w:tc>
          <w:tcPr>
            <w:tcW w:w="1080" w:type="dxa"/>
            <w:tcBorders>
              <w:top w:val="nil"/>
              <w:left w:val="nil"/>
              <w:bottom w:val="nil"/>
              <w:right w:val="nil"/>
            </w:tcBorders>
            <w:shd w:val="clear" w:color="auto" w:fill="auto"/>
            <w:noWrap/>
            <w:vAlign w:val="bottom"/>
            <w:hideMark/>
          </w:tcPr>
          <w:p w14:paraId="3F10B7D7" w14:textId="77777777" w:rsidR="008B5136" w:rsidRPr="00AF46B2" w:rsidRDefault="008B5136" w:rsidP="008B5136">
            <w:pPr>
              <w:spacing w:after="0" w:line="240" w:lineRule="auto"/>
              <w:rPr>
                <w:rFonts w:ascii="Times New Roman" w:eastAsia="Times New Roman" w:hAnsi="Times New Roman" w:cs="Times New Roman"/>
                <w:sz w:val="20"/>
                <w:szCs w:val="20"/>
                <w:lang w:bidi="he-IL"/>
              </w:rPr>
            </w:pPr>
          </w:p>
        </w:tc>
      </w:tr>
      <w:tr w:rsidR="00F51476" w:rsidRPr="00AF46B2" w14:paraId="06AA5EA5" w14:textId="77777777" w:rsidTr="008B5136">
        <w:trPr>
          <w:trHeight w:val="271"/>
        </w:trPr>
        <w:tc>
          <w:tcPr>
            <w:tcW w:w="5400" w:type="dxa"/>
            <w:gridSpan w:val="3"/>
            <w:tcBorders>
              <w:top w:val="nil"/>
              <w:left w:val="nil"/>
              <w:bottom w:val="nil"/>
              <w:right w:val="nil"/>
            </w:tcBorders>
            <w:shd w:val="clear" w:color="auto" w:fill="auto"/>
            <w:noWrap/>
            <w:vAlign w:val="bottom"/>
            <w:hideMark/>
          </w:tcPr>
          <w:p w14:paraId="0EFD9557" w14:textId="5AB49DC9" w:rsidR="00F51476" w:rsidRPr="00AF46B2" w:rsidRDefault="00F51476" w:rsidP="008B5136">
            <w:pPr>
              <w:spacing w:after="0" w:line="240" w:lineRule="auto"/>
              <w:rPr>
                <w:rFonts w:ascii="Calibri" w:eastAsia="Times New Roman" w:hAnsi="Calibri" w:cs="Calibri"/>
                <w:color w:val="000000"/>
                <w:sz w:val="16"/>
                <w:szCs w:val="16"/>
                <w:lang w:bidi="he-IL"/>
              </w:rPr>
            </w:pPr>
            <w:r w:rsidRPr="00AF46B2">
              <w:rPr>
                <w:rFonts w:ascii="Calibri" w:eastAsia="Times New Roman" w:hAnsi="Calibri" w:cs="Calibri"/>
                <w:color w:val="000000"/>
                <w:sz w:val="16"/>
                <w:szCs w:val="16"/>
                <w:lang w:bidi="he-IL"/>
              </w:rPr>
              <w:t xml:space="preserve">WS - wet season, DS - dry season, Pct - percent, ND - not done, </w:t>
            </w:r>
            <w:r w:rsidR="00A128D4">
              <w:rPr>
                <w:rFonts w:ascii="Calibri" w:eastAsia="Times New Roman" w:hAnsi="Calibri" w:cs="Calibri"/>
                <w:color w:val="000000"/>
                <w:sz w:val="16"/>
                <w:szCs w:val="16"/>
                <w:lang w:bidi="he-IL"/>
              </w:rPr>
              <w:t xml:space="preserve">F – females, M – males, </w:t>
            </w:r>
            <w:r w:rsidRPr="00AF46B2">
              <w:rPr>
                <w:rFonts w:ascii="Calibri" w:eastAsia="Times New Roman" w:hAnsi="Calibri" w:cs="Calibri"/>
                <w:color w:val="000000"/>
                <w:sz w:val="16"/>
                <w:szCs w:val="16"/>
                <w:lang w:bidi="he-IL"/>
              </w:rPr>
              <w:t>ns - non-</w:t>
            </w:r>
            <w:r w:rsidR="00A128D4">
              <w:rPr>
                <w:rFonts w:ascii="Calibri" w:eastAsia="Times New Roman" w:hAnsi="Calibri" w:cs="Calibri"/>
                <w:color w:val="000000"/>
                <w:sz w:val="16"/>
                <w:szCs w:val="16"/>
                <w:lang w:bidi="he-IL"/>
              </w:rPr>
              <w:t>s</w:t>
            </w:r>
            <w:r w:rsidRPr="00AF46B2">
              <w:rPr>
                <w:rFonts w:ascii="Calibri" w:eastAsia="Times New Roman" w:hAnsi="Calibri" w:cs="Calibri"/>
                <w:color w:val="000000"/>
                <w:sz w:val="16"/>
                <w:szCs w:val="16"/>
                <w:lang w:bidi="he-IL"/>
              </w:rPr>
              <w:t>ignificant, * - P&lt;0.05, *** - P&lt;0.001</w:t>
            </w:r>
          </w:p>
        </w:tc>
        <w:tc>
          <w:tcPr>
            <w:tcW w:w="2700" w:type="dxa"/>
            <w:tcBorders>
              <w:top w:val="nil"/>
              <w:left w:val="nil"/>
              <w:bottom w:val="nil"/>
              <w:right w:val="nil"/>
            </w:tcBorders>
            <w:shd w:val="clear" w:color="auto" w:fill="auto"/>
            <w:noWrap/>
            <w:vAlign w:val="bottom"/>
            <w:hideMark/>
          </w:tcPr>
          <w:p w14:paraId="3156E221" w14:textId="77777777" w:rsidR="00F51476" w:rsidRPr="00AF46B2" w:rsidRDefault="00F51476" w:rsidP="008B5136">
            <w:pPr>
              <w:spacing w:after="0" w:line="240" w:lineRule="auto"/>
              <w:rPr>
                <w:rFonts w:ascii="Calibri" w:eastAsia="Times New Roman" w:hAnsi="Calibri" w:cs="Calibri"/>
                <w:color w:val="000000"/>
                <w:sz w:val="16"/>
                <w:szCs w:val="16"/>
                <w:lang w:bidi="he-IL"/>
              </w:rPr>
            </w:pPr>
          </w:p>
        </w:tc>
        <w:tc>
          <w:tcPr>
            <w:tcW w:w="2250" w:type="dxa"/>
            <w:tcBorders>
              <w:top w:val="nil"/>
              <w:left w:val="nil"/>
              <w:bottom w:val="nil"/>
              <w:right w:val="nil"/>
            </w:tcBorders>
            <w:shd w:val="clear" w:color="auto" w:fill="auto"/>
            <w:noWrap/>
            <w:vAlign w:val="bottom"/>
            <w:hideMark/>
          </w:tcPr>
          <w:p w14:paraId="6D2DD651" w14:textId="77777777" w:rsidR="00F51476" w:rsidRPr="00AF46B2" w:rsidRDefault="00F51476" w:rsidP="008B5136">
            <w:pPr>
              <w:spacing w:after="0" w:line="240" w:lineRule="auto"/>
              <w:rPr>
                <w:rFonts w:ascii="Times New Roman" w:eastAsia="Times New Roman" w:hAnsi="Times New Roman" w:cs="Times New Roman"/>
                <w:sz w:val="20"/>
                <w:szCs w:val="20"/>
                <w:lang w:bidi="he-IL"/>
              </w:rPr>
            </w:pPr>
          </w:p>
        </w:tc>
        <w:tc>
          <w:tcPr>
            <w:tcW w:w="1350" w:type="dxa"/>
            <w:tcBorders>
              <w:top w:val="nil"/>
              <w:left w:val="nil"/>
              <w:bottom w:val="nil"/>
              <w:right w:val="nil"/>
            </w:tcBorders>
            <w:shd w:val="clear" w:color="auto" w:fill="auto"/>
            <w:noWrap/>
            <w:vAlign w:val="bottom"/>
            <w:hideMark/>
          </w:tcPr>
          <w:p w14:paraId="1283C276" w14:textId="77777777" w:rsidR="00F51476" w:rsidRPr="00AF46B2" w:rsidRDefault="00F51476" w:rsidP="008B5136">
            <w:pPr>
              <w:spacing w:after="0" w:line="240" w:lineRule="auto"/>
              <w:rPr>
                <w:rFonts w:ascii="Times New Roman" w:eastAsia="Times New Roman" w:hAnsi="Times New Roman" w:cs="Times New Roman"/>
                <w:sz w:val="20"/>
                <w:szCs w:val="20"/>
                <w:lang w:bidi="he-IL"/>
              </w:rPr>
            </w:pPr>
          </w:p>
        </w:tc>
        <w:tc>
          <w:tcPr>
            <w:tcW w:w="1080" w:type="dxa"/>
            <w:tcBorders>
              <w:top w:val="nil"/>
              <w:left w:val="nil"/>
              <w:bottom w:val="nil"/>
              <w:right w:val="nil"/>
            </w:tcBorders>
            <w:shd w:val="clear" w:color="auto" w:fill="auto"/>
            <w:noWrap/>
            <w:vAlign w:val="bottom"/>
            <w:hideMark/>
          </w:tcPr>
          <w:p w14:paraId="63C7E508" w14:textId="77777777" w:rsidR="00F51476" w:rsidRPr="00AF46B2" w:rsidRDefault="00F51476" w:rsidP="008B5136">
            <w:pPr>
              <w:spacing w:after="0" w:line="240" w:lineRule="auto"/>
              <w:rPr>
                <w:rFonts w:ascii="Times New Roman" w:eastAsia="Times New Roman" w:hAnsi="Times New Roman" w:cs="Times New Roman"/>
                <w:sz w:val="20"/>
                <w:szCs w:val="20"/>
                <w:lang w:bidi="he-IL"/>
              </w:rPr>
            </w:pPr>
          </w:p>
        </w:tc>
      </w:tr>
      <w:tr w:rsidR="00F51476" w:rsidRPr="00AF46B2" w14:paraId="7D748384" w14:textId="77777777" w:rsidTr="00B12694">
        <w:trPr>
          <w:trHeight w:val="271"/>
        </w:trPr>
        <w:tc>
          <w:tcPr>
            <w:tcW w:w="5400" w:type="dxa"/>
            <w:gridSpan w:val="3"/>
            <w:tcBorders>
              <w:top w:val="nil"/>
              <w:left w:val="nil"/>
              <w:bottom w:val="nil"/>
              <w:right w:val="nil"/>
            </w:tcBorders>
            <w:shd w:val="clear" w:color="auto" w:fill="auto"/>
            <w:noWrap/>
            <w:vAlign w:val="bottom"/>
          </w:tcPr>
          <w:p w14:paraId="50FD8149" w14:textId="31D0AAAA" w:rsidR="00F51476" w:rsidRPr="00AF46B2" w:rsidRDefault="00F51476" w:rsidP="008B5136">
            <w:pPr>
              <w:spacing w:after="0" w:line="240" w:lineRule="auto"/>
              <w:rPr>
                <w:rFonts w:ascii="Calibri" w:eastAsia="Times New Roman" w:hAnsi="Calibri" w:cs="Calibri"/>
                <w:color w:val="000000"/>
                <w:sz w:val="16"/>
                <w:szCs w:val="16"/>
                <w:lang w:bidi="he-IL"/>
              </w:rPr>
            </w:pPr>
          </w:p>
        </w:tc>
        <w:tc>
          <w:tcPr>
            <w:tcW w:w="2700" w:type="dxa"/>
            <w:tcBorders>
              <w:top w:val="nil"/>
              <w:left w:val="nil"/>
              <w:bottom w:val="nil"/>
              <w:right w:val="nil"/>
            </w:tcBorders>
            <w:shd w:val="clear" w:color="auto" w:fill="auto"/>
            <w:noWrap/>
            <w:vAlign w:val="bottom"/>
            <w:hideMark/>
          </w:tcPr>
          <w:p w14:paraId="2855A0D7" w14:textId="77777777" w:rsidR="00F51476" w:rsidRPr="00AF46B2" w:rsidRDefault="00F51476" w:rsidP="008B5136">
            <w:pPr>
              <w:spacing w:after="0" w:line="240" w:lineRule="auto"/>
              <w:rPr>
                <w:rFonts w:ascii="Calibri" w:eastAsia="Times New Roman" w:hAnsi="Calibri" w:cs="Calibri"/>
                <w:color w:val="000000"/>
                <w:sz w:val="16"/>
                <w:szCs w:val="16"/>
                <w:lang w:bidi="he-IL"/>
              </w:rPr>
            </w:pPr>
          </w:p>
        </w:tc>
        <w:tc>
          <w:tcPr>
            <w:tcW w:w="2250" w:type="dxa"/>
            <w:tcBorders>
              <w:top w:val="nil"/>
              <w:left w:val="nil"/>
              <w:bottom w:val="nil"/>
              <w:right w:val="nil"/>
            </w:tcBorders>
            <w:shd w:val="clear" w:color="auto" w:fill="auto"/>
            <w:noWrap/>
            <w:vAlign w:val="bottom"/>
            <w:hideMark/>
          </w:tcPr>
          <w:p w14:paraId="78083158" w14:textId="77777777" w:rsidR="00F51476" w:rsidRPr="00AF46B2" w:rsidRDefault="00F51476" w:rsidP="008B5136">
            <w:pPr>
              <w:spacing w:after="0" w:line="240" w:lineRule="auto"/>
              <w:rPr>
                <w:rFonts w:ascii="Times New Roman" w:eastAsia="Times New Roman" w:hAnsi="Times New Roman" w:cs="Times New Roman"/>
                <w:sz w:val="20"/>
                <w:szCs w:val="20"/>
                <w:lang w:bidi="he-IL"/>
              </w:rPr>
            </w:pPr>
          </w:p>
        </w:tc>
        <w:tc>
          <w:tcPr>
            <w:tcW w:w="1350" w:type="dxa"/>
            <w:tcBorders>
              <w:top w:val="nil"/>
              <w:left w:val="nil"/>
              <w:bottom w:val="nil"/>
              <w:right w:val="nil"/>
            </w:tcBorders>
            <w:shd w:val="clear" w:color="auto" w:fill="auto"/>
            <w:noWrap/>
            <w:vAlign w:val="bottom"/>
            <w:hideMark/>
          </w:tcPr>
          <w:p w14:paraId="6D59E39E" w14:textId="77777777" w:rsidR="00F51476" w:rsidRPr="00AF46B2" w:rsidRDefault="00F51476" w:rsidP="008B5136">
            <w:pPr>
              <w:spacing w:after="0" w:line="240" w:lineRule="auto"/>
              <w:rPr>
                <w:rFonts w:ascii="Times New Roman" w:eastAsia="Times New Roman" w:hAnsi="Times New Roman" w:cs="Times New Roman"/>
                <w:sz w:val="20"/>
                <w:szCs w:val="20"/>
                <w:lang w:bidi="he-IL"/>
              </w:rPr>
            </w:pPr>
          </w:p>
        </w:tc>
        <w:tc>
          <w:tcPr>
            <w:tcW w:w="1080" w:type="dxa"/>
            <w:tcBorders>
              <w:top w:val="nil"/>
              <w:left w:val="nil"/>
              <w:bottom w:val="nil"/>
              <w:right w:val="nil"/>
            </w:tcBorders>
            <w:shd w:val="clear" w:color="auto" w:fill="auto"/>
            <w:noWrap/>
            <w:vAlign w:val="bottom"/>
            <w:hideMark/>
          </w:tcPr>
          <w:p w14:paraId="2C7E1EE8" w14:textId="77777777" w:rsidR="00F51476" w:rsidRPr="00AF46B2" w:rsidRDefault="00F51476" w:rsidP="008B5136">
            <w:pPr>
              <w:spacing w:after="0" w:line="240" w:lineRule="auto"/>
              <w:rPr>
                <w:rFonts w:ascii="Times New Roman" w:eastAsia="Times New Roman" w:hAnsi="Times New Roman" w:cs="Times New Roman"/>
                <w:sz w:val="20"/>
                <w:szCs w:val="20"/>
                <w:lang w:bidi="he-IL"/>
              </w:rPr>
            </w:pPr>
          </w:p>
        </w:tc>
      </w:tr>
    </w:tbl>
    <w:p w14:paraId="502BBA54" w14:textId="5B71CF78" w:rsidR="00AD16C6" w:rsidRPr="000E016C" w:rsidRDefault="00AD16C6" w:rsidP="00AD16C6">
      <w:pPr>
        <w:spacing w:line="360" w:lineRule="auto"/>
        <w:rPr>
          <w:rFonts w:cstheme="minorHAnsi"/>
        </w:rPr>
      </w:pPr>
      <w:r w:rsidRPr="000E016C">
        <w:rPr>
          <w:rFonts w:cstheme="minorHAnsi"/>
          <w:b/>
          <w:bCs/>
        </w:rPr>
        <w:t xml:space="preserve">Table </w:t>
      </w:r>
      <w:r>
        <w:rPr>
          <w:rFonts w:cstheme="minorHAnsi"/>
          <w:b/>
          <w:bCs/>
        </w:rPr>
        <w:t>S</w:t>
      </w:r>
      <w:r w:rsidRPr="000E016C">
        <w:rPr>
          <w:rFonts w:cstheme="minorHAnsi"/>
          <w:b/>
          <w:bCs/>
        </w:rPr>
        <w:t>1.</w:t>
      </w:r>
      <w:r w:rsidRPr="000E016C">
        <w:rPr>
          <w:rFonts w:cstheme="minorHAnsi"/>
        </w:rPr>
        <w:t xml:space="preserve"> Summary of the estimates of the fraction of mosquitoes with elevated </w:t>
      </w:r>
      <w:r w:rsidRPr="00515C68">
        <w:rPr>
          <w:rFonts w:cstheme="minorHAnsi"/>
          <w:vertAlign w:val="superscript"/>
        </w:rPr>
        <w:t>2</w:t>
      </w:r>
      <w:r>
        <w:rPr>
          <w:rFonts w:cstheme="minorHAnsi"/>
        </w:rPr>
        <w:t>H</w:t>
      </w:r>
      <w:r w:rsidRPr="000E016C">
        <w:rPr>
          <w:rFonts w:cstheme="minorHAnsi"/>
        </w:rPr>
        <w:t xml:space="preserve"> over the experiment</w:t>
      </w:r>
      <w:r w:rsidR="00DC6AD2">
        <w:rPr>
          <w:rFonts w:cstheme="minorHAnsi"/>
        </w:rPr>
        <w:t>.</w:t>
      </w:r>
    </w:p>
    <w:p w14:paraId="018D157A" w14:textId="082CDEDC" w:rsidR="008B5136" w:rsidRDefault="008B5136"/>
    <w:p w14:paraId="1E2D041B" w14:textId="19CB9EC1" w:rsidR="008B5136" w:rsidRDefault="008B5136"/>
    <w:p w14:paraId="3396133A" w14:textId="1F6C6BFE" w:rsidR="00A347BB" w:rsidRDefault="00A347BB"/>
    <w:p w14:paraId="1D77B389" w14:textId="142F5475" w:rsidR="00A347BB" w:rsidRDefault="00A347BB"/>
    <w:p w14:paraId="76C7BD21" w14:textId="67AF96C5" w:rsidR="00A347BB" w:rsidRDefault="00A347BB"/>
    <w:p w14:paraId="3EA974DB" w14:textId="2A594BD0" w:rsidR="006C08F4" w:rsidRPr="006C08F4" w:rsidRDefault="006C08F4" w:rsidP="006C08F4">
      <w:pPr>
        <w:widowControl w:val="0"/>
        <w:autoSpaceDE w:val="0"/>
        <w:autoSpaceDN w:val="0"/>
        <w:adjustRightInd w:val="0"/>
        <w:spacing w:line="240" w:lineRule="auto"/>
        <w:ind w:left="640" w:hanging="640"/>
        <w:rPr>
          <w:rFonts w:ascii="Calibri" w:hAnsi="Calibri" w:cs="Calibri"/>
          <w:noProof/>
          <w:szCs w:val="24"/>
        </w:rPr>
      </w:pPr>
      <w:r>
        <w:lastRenderedPageBreak/>
        <w:fldChar w:fldCharType="begin" w:fldLock="1"/>
      </w:r>
      <w:r>
        <w:instrText xml:space="preserve">ADDIN Mendeley Bibliography CSL_BIBLIOGRAPHY </w:instrText>
      </w:r>
      <w:r>
        <w:fldChar w:fldCharType="separate"/>
      </w:r>
      <w:r w:rsidRPr="006C08F4">
        <w:rPr>
          <w:rFonts w:ascii="Calibri" w:hAnsi="Calibri" w:cs="Calibri"/>
          <w:noProof/>
          <w:szCs w:val="24"/>
        </w:rPr>
        <w:t>1.</w:t>
      </w:r>
      <w:r w:rsidRPr="006C08F4">
        <w:rPr>
          <w:rFonts w:ascii="Calibri" w:hAnsi="Calibri" w:cs="Calibri"/>
          <w:noProof/>
          <w:szCs w:val="24"/>
        </w:rPr>
        <w:tab/>
        <w:t xml:space="preserve">Hamer, G. L. </w:t>
      </w:r>
      <w:r w:rsidRPr="006C08F4">
        <w:rPr>
          <w:rFonts w:ascii="Calibri" w:hAnsi="Calibri" w:cs="Calibri"/>
          <w:i/>
          <w:iCs/>
          <w:noProof/>
          <w:szCs w:val="24"/>
        </w:rPr>
        <w:t>et al.</w:t>
      </w:r>
      <w:r w:rsidRPr="006C08F4">
        <w:rPr>
          <w:rFonts w:ascii="Calibri" w:hAnsi="Calibri" w:cs="Calibri"/>
          <w:noProof/>
          <w:szCs w:val="24"/>
        </w:rPr>
        <w:t xml:space="preserve"> Dispersal of Adult Culex Mosquitoes in an Urban West Nile Virus Hotspot: A Mark-Capture Study Incorporating Stable Isotope Enrichment of Natural Larval Habitats. </w:t>
      </w:r>
      <w:r w:rsidRPr="006C08F4">
        <w:rPr>
          <w:rFonts w:ascii="Calibri" w:hAnsi="Calibri" w:cs="Calibri"/>
          <w:i/>
          <w:iCs/>
          <w:noProof/>
          <w:szCs w:val="24"/>
        </w:rPr>
        <w:t>PLoS Negl. Trop. Dis.</w:t>
      </w:r>
      <w:r w:rsidRPr="006C08F4">
        <w:rPr>
          <w:rFonts w:ascii="Calibri" w:hAnsi="Calibri" w:cs="Calibri"/>
          <w:noProof/>
          <w:szCs w:val="24"/>
        </w:rPr>
        <w:t xml:space="preserve"> </w:t>
      </w:r>
      <w:r w:rsidRPr="006C08F4">
        <w:rPr>
          <w:rFonts w:ascii="Calibri" w:hAnsi="Calibri" w:cs="Calibri"/>
          <w:b/>
          <w:bCs/>
          <w:noProof/>
          <w:szCs w:val="24"/>
        </w:rPr>
        <w:t>8</w:t>
      </w:r>
      <w:r w:rsidRPr="006C08F4">
        <w:rPr>
          <w:rFonts w:ascii="Calibri" w:hAnsi="Calibri" w:cs="Calibri"/>
          <w:noProof/>
          <w:szCs w:val="24"/>
        </w:rPr>
        <w:t>, e2768 (2014).</w:t>
      </w:r>
    </w:p>
    <w:p w14:paraId="05F4C476" w14:textId="77777777" w:rsidR="006C08F4" w:rsidRPr="006C08F4" w:rsidRDefault="006C08F4" w:rsidP="006C08F4">
      <w:pPr>
        <w:widowControl w:val="0"/>
        <w:autoSpaceDE w:val="0"/>
        <w:autoSpaceDN w:val="0"/>
        <w:adjustRightInd w:val="0"/>
        <w:spacing w:line="240" w:lineRule="auto"/>
        <w:ind w:left="640" w:hanging="640"/>
        <w:rPr>
          <w:rFonts w:ascii="Calibri" w:hAnsi="Calibri" w:cs="Calibri"/>
          <w:noProof/>
          <w:szCs w:val="24"/>
        </w:rPr>
      </w:pPr>
      <w:r w:rsidRPr="006C08F4">
        <w:rPr>
          <w:rFonts w:ascii="Calibri" w:hAnsi="Calibri" w:cs="Calibri"/>
          <w:noProof/>
          <w:szCs w:val="24"/>
        </w:rPr>
        <w:t>2.</w:t>
      </w:r>
      <w:r w:rsidRPr="006C08F4">
        <w:rPr>
          <w:rFonts w:ascii="Calibri" w:hAnsi="Calibri" w:cs="Calibri"/>
          <w:noProof/>
          <w:szCs w:val="24"/>
        </w:rPr>
        <w:tab/>
        <w:t xml:space="preserve">Medeiros, M. C. I., Boothe, E. C., Roark, E. B. &amp; Hamer, G. L. Dispersal of male and female Culex quinquefasciatus and Aedes albopictus mosquitoes using stable isotope enrichment. </w:t>
      </w:r>
      <w:r w:rsidRPr="006C08F4">
        <w:rPr>
          <w:rFonts w:ascii="Calibri" w:hAnsi="Calibri" w:cs="Calibri"/>
          <w:i/>
          <w:iCs/>
          <w:noProof/>
          <w:szCs w:val="24"/>
        </w:rPr>
        <w:t>PLoS Negl. Trop. Dis.</w:t>
      </w:r>
      <w:r w:rsidRPr="006C08F4">
        <w:rPr>
          <w:rFonts w:ascii="Calibri" w:hAnsi="Calibri" w:cs="Calibri"/>
          <w:noProof/>
          <w:szCs w:val="24"/>
        </w:rPr>
        <w:t xml:space="preserve"> </w:t>
      </w:r>
      <w:r w:rsidRPr="006C08F4">
        <w:rPr>
          <w:rFonts w:ascii="Calibri" w:hAnsi="Calibri" w:cs="Calibri"/>
          <w:b/>
          <w:bCs/>
          <w:noProof/>
          <w:szCs w:val="24"/>
        </w:rPr>
        <w:t>11</w:t>
      </w:r>
      <w:r w:rsidRPr="006C08F4">
        <w:rPr>
          <w:rFonts w:ascii="Calibri" w:hAnsi="Calibri" w:cs="Calibri"/>
          <w:noProof/>
          <w:szCs w:val="24"/>
        </w:rPr>
        <w:t>, e0005347 (2017).</w:t>
      </w:r>
    </w:p>
    <w:p w14:paraId="1A21A09C" w14:textId="77777777" w:rsidR="006C08F4" w:rsidRPr="006C08F4" w:rsidRDefault="006C08F4" w:rsidP="006C08F4">
      <w:pPr>
        <w:widowControl w:val="0"/>
        <w:autoSpaceDE w:val="0"/>
        <w:autoSpaceDN w:val="0"/>
        <w:adjustRightInd w:val="0"/>
        <w:spacing w:line="240" w:lineRule="auto"/>
        <w:ind w:left="640" w:hanging="640"/>
        <w:rPr>
          <w:rFonts w:ascii="Calibri" w:hAnsi="Calibri" w:cs="Calibri"/>
          <w:noProof/>
          <w:szCs w:val="24"/>
        </w:rPr>
      </w:pPr>
      <w:r w:rsidRPr="006C08F4">
        <w:rPr>
          <w:rFonts w:ascii="Calibri" w:hAnsi="Calibri" w:cs="Calibri"/>
          <w:noProof/>
          <w:szCs w:val="24"/>
        </w:rPr>
        <w:t>3.</w:t>
      </w:r>
      <w:r w:rsidRPr="006C08F4">
        <w:rPr>
          <w:rFonts w:ascii="Calibri" w:hAnsi="Calibri" w:cs="Calibri"/>
          <w:noProof/>
          <w:szCs w:val="24"/>
        </w:rPr>
        <w:tab/>
        <w:t xml:space="preserve">Hood-Nowotny, R., Mayr, L. &amp; Knols, B. Use of carbon-13 as a population marker for Anopheles arabiensis in a sterile insect technique (SIT) context. </w:t>
      </w:r>
      <w:r w:rsidRPr="006C08F4">
        <w:rPr>
          <w:rFonts w:ascii="Calibri" w:hAnsi="Calibri" w:cs="Calibri"/>
          <w:i/>
          <w:iCs/>
          <w:noProof/>
          <w:szCs w:val="24"/>
        </w:rPr>
        <w:t>Malar. J.</w:t>
      </w:r>
      <w:r w:rsidRPr="006C08F4">
        <w:rPr>
          <w:rFonts w:ascii="Calibri" w:hAnsi="Calibri" w:cs="Calibri"/>
          <w:noProof/>
          <w:szCs w:val="24"/>
        </w:rPr>
        <w:t xml:space="preserve"> </w:t>
      </w:r>
      <w:r w:rsidRPr="006C08F4">
        <w:rPr>
          <w:rFonts w:ascii="Calibri" w:hAnsi="Calibri" w:cs="Calibri"/>
          <w:b/>
          <w:bCs/>
          <w:noProof/>
          <w:szCs w:val="24"/>
        </w:rPr>
        <w:t>5</w:t>
      </w:r>
      <w:r w:rsidRPr="006C08F4">
        <w:rPr>
          <w:rFonts w:ascii="Calibri" w:hAnsi="Calibri" w:cs="Calibri"/>
          <w:noProof/>
          <w:szCs w:val="24"/>
        </w:rPr>
        <w:t>, 6 (2006).</w:t>
      </w:r>
    </w:p>
    <w:p w14:paraId="171B4DED" w14:textId="77777777" w:rsidR="006C08F4" w:rsidRPr="006C08F4" w:rsidRDefault="006C08F4" w:rsidP="006C08F4">
      <w:pPr>
        <w:widowControl w:val="0"/>
        <w:autoSpaceDE w:val="0"/>
        <w:autoSpaceDN w:val="0"/>
        <w:adjustRightInd w:val="0"/>
        <w:spacing w:line="240" w:lineRule="auto"/>
        <w:ind w:left="640" w:hanging="640"/>
        <w:rPr>
          <w:rFonts w:ascii="Calibri" w:hAnsi="Calibri" w:cs="Calibri"/>
          <w:noProof/>
          <w:szCs w:val="24"/>
        </w:rPr>
      </w:pPr>
      <w:r w:rsidRPr="006C08F4">
        <w:rPr>
          <w:rFonts w:ascii="Calibri" w:hAnsi="Calibri" w:cs="Calibri"/>
          <w:noProof/>
          <w:szCs w:val="24"/>
        </w:rPr>
        <w:t>4.</w:t>
      </w:r>
      <w:r w:rsidRPr="006C08F4">
        <w:rPr>
          <w:rFonts w:ascii="Calibri" w:hAnsi="Calibri" w:cs="Calibri"/>
          <w:noProof/>
          <w:szCs w:val="24"/>
        </w:rPr>
        <w:tab/>
        <w:t xml:space="preserve">Hamer, G. L. </w:t>
      </w:r>
      <w:r w:rsidRPr="006C08F4">
        <w:rPr>
          <w:rFonts w:ascii="Calibri" w:hAnsi="Calibri" w:cs="Calibri"/>
          <w:i/>
          <w:iCs/>
          <w:noProof/>
          <w:szCs w:val="24"/>
        </w:rPr>
        <w:t>et al.</w:t>
      </w:r>
      <w:r w:rsidRPr="006C08F4">
        <w:rPr>
          <w:rFonts w:ascii="Calibri" w:hAnsi="Calibri" w:cs="Calibri"/>
          <w:noProof/>
          <w:szCs w:val="24"/>
        </w:rPr>
        <w:t xml:space="preserve"> Dispersal of Adult Culex Mosquitoes in an Urban West Nile Virus Hotspot: A Mark-Capture Study Incorporating Stable Isotope Enrichment of Natural Larval Habitats. </w:t>
      </w:r>
      <w:r w:rsidRPr="006C08F4">
        <w:rPr>
          <w:rFonts w:ascii="Calibri" w:hAnsi="Calibri" w:cs="Calibri"/>
          <w:i/>
          <w:iCs/>
          <w:noProof/>
          <w:szCs w:val="24"/>
        </w:rPr>
        <w:t>PLoS Negl. Trop. Dis.</w:t>
      </w:r>
      <w:r w:rsidRPr="006C08F4">
        <w:rPr>
          <w:rFonts w:ascii="Calibri" w:hAnsi="Calibri" w:cs="Calibri"/>
          <w:noProof/>
          <w:szCs w:val="24"/>
        </w:rPr>
        <w:t xml:space="preserve"> </w:t>
      </w:r>
      <w:r w:rsidRPr="006C08F4">
        <w:rPr>
          <w:rFonts w:ascii="Calibri" w:hAnsi="Calibri" w:cs="Calibri"/>
          <w:b/>
          <w:bCs/>
          <w:noProof/>
          <w:szCs w:val="24"/>
        </w:rPr>
        <w:t>8</w:t>
      </w:r>
      <w:r w:rsidRPr="006C08F4">
        <w:rPr>
          <w:rFonts w:ascii="Calibri" w:hAnsi="Calibri" w:cs="Calibri"/>
          <w:noProof/>
          <w:szCs w:val="24"/>
        </w:rPr>
        <w:t>, e2768 (2014).</w:t>
      </w:r>
    </w:p>
    <w:p w14:paraId="0D893AFE" w14:textId="77777777" w:rsidR="006C08F4" w:rsidRPr="006C08F4" w:rsidRDefault="006C08F4" w:rsidP="006C08F4">
      <w:pPr>
        <w:widowControl w:val="0"/>
        <w:autoSpaceDE w:val="0"/>
        <w:autoSpaceDN w:val="0"/>
        <w:adjustRightInd w:val="0"/>
        <w:spacing w:line="240" w:lineRule="auto"/>
        <w:ind w:left="640" w:hanging="640"/>
        <w:rPr>
          <w:rFonts w:ascii="Calibri" w:hAnsi="Calibri" w:cs="Calibri"/>
          <w:noProof/>
          <w:szCs w:val="24"/>
        </w:rPr>
      </w:pPr>
      <w:r w:rsidRPr="006C08F4">
        <w:rPr>
          <w:rFonts w:ascii="Calibri" w:hAnsi="Calibri" w:cs="Calibri"/>
          <w:noProof/>
          <w:szCs w:val="24"/>
        </w:rPr>
        <w:t>5.</w:t>
      </w:r>
      <w:r w:rsidRPr="006C08F4">
        <w:rPr>
          <w:rFonts w:ascii="Calibri" w:hAnsi="Calibri" w:cs="Calibri"/>
          <w:noProof/>
          <w:szCs w:val="24"/>
        </w:rPr>
        <w:tab/>
        <w:t xml:space="preserve">Hood-Nowotny, R. &amp; Knols, B. G. J. Stable isotope methods in biological and ecological studies of arthropods. </w:t>
      </w:r>
      <w:r w:rsidRPr="006C08F4">
        <w:rPr>
          <w:rFonts w:ascii="Calibri" w:hAnsi="Calibri" w:cs="Calibri"/>
          <w:i/>
          <w:iCs/>
          <w:noProof/>
          <w:szCs w:val="24"/>
        </w:rPr>
        <w:t>Entomol. Exp. Appl.</w:t>
      </w:r>
      <w:r w:rsidRPr="006C08F4">
        <w:rPr>
          <w:rFonts w:ascii="Calibri" w:hAnsi="Calibri" w:cs="Calibri"/>
          <w:noProof/>
          <w:szCs w:val="24"/>
        </w:rPr>
        <w:t xml:space="preserve"> </w:t>
      </w:r>
      <w:r w:rsidRPr="006C08F4">
        <w:rPr>
          <w:rFonts w:ascii="Calibri" w:hAnsi="Calibri" w:cs="Calibri"/>
          <w:b/>
          <w:bCs/>
          <w:noProof/>
          <w:szCs w:val="24"/>
        </w:rPr>
        <w:t>124</w:t>
      </w:r>
      <w:r w:rsidRPr="006C08F4">
        <w:rPr>
          <w:rFonts w:ascii="Calibri" w:hAnsi="Calibri" w:cs="Calibri"/>
          <w:noProof/>
          <w:szCs w:val="24"/>
        </w:rPr>
        <w:t>, 3–16 (2007).</w:t>
      </w:r>
    </w:p>
    <w:p w14:paraId="64A8D719" w14:textId="77777777" w:rsidR="006C08F4" w:rsidRPr="006C08F4" w:rsidRDefault="006C08F4" w:rsidP="006C08F4">
      <w:pPr>
        <w:widowControl w:val="0"/>
        <w:autoSpaceDE w:val="0"/>
        <w:autoSpaceDN w:val="0"/>
        <w:adjustRightInd w:val="0"/>
        <w:spacing w:line="240" w:lineRule="auto"/>
        <w:ind w:left="640" w:hanging="640"/>
        <w:rPr>
          <w:rFonts w:ascii="Calibri" w:hAnsi="Calibri" w:cs="Calibri"/>
          <w:noProof/>
          <w:szCs w:val="24"/>
        </w:rPr>
      </w:pPr>
      <w:r w:rsidRPr="006C08F4">
        <w:rPr>
          <w:rFonts w:ascii="Calibri" w:hAnsi="Calibri" w:cs="Calibri"/>
          <w:noProof/>
          <w:szCs w:val="24"/>
        </w:rPr>
        <w:t>6.</w:t>
      </w:r>
      <w:r w:rsidRPr="006C08F4">
        <w:rPr>
          <w:rFonts w:ascii="Calibri" w:hAnsi="Calibri" w:cs="Calibri"/>
          <w:noProof/>
          <w:szCs w:val="24"/>
        </w:rPr>
        <w:tab/>
        <w:t xml:space="preserve">Faiman, R. </w:t>
      </w:r>
      <w:r w:rsidRPr="006C08F4">
        <w:rPr>
          <w:rFonts w:ascii="Calibri" w:hAnsi="Calibri" w:cs="Calibri"/>
          <w:i/>
          <w:iCs/>
          <w:noProof/>
          <w:szCs w:val="24"/>
        </w:rPr>
        <w:t>et al.</w:t>
      </w:r>
      <w:r w:rsidRPr="006C08F4">
        <w:rPr>
          <w:rFonts w:ascii="Calibri" w:hAnsi="Calibri" w:cs="Calibri"/>
          <w:noProof/>
          <w:szCs w:val="24"/>
        </w:rPr>
        <w:t xml:space="preserve"> Marking mosquitoes in their natural larval sites using 2H-enriched water: A promising approach for tracking over extended temporal and spatial scales. </w:t>
      </w:r>
      <w:r w:rsidRPr="006C08F4">
        <w:rPr>
          <w:rFonts w:ascii="Calibri" w:hAnsi="Calibri" w:cs="Calibri"/>
          <w:i/>
          <w:iCs/>
          <w:noProof/>
          <w:szCs w:val="24"/>
        </w:rPr>
        <w:t>Methods Ecol. Evol.</w:t>
      </w:r>
      <w:r w:rsidRPr="006C08F4">
        <w:rPr>
          <w:rFonts w:ascii="Calibri" w:hAnsi="Calibri" w:cs="Calibri"/>
          <w:noProof/>
          <w:szCs w:val="24"/>
        </w:rPr>
        <w:t xml:space="preserve"> </w:t>
      </w:r>
      <w:r w:rsidRPr="006C08F4">
        <w:rPr>
          <w:rFonts w:ascii="Calibri" w:hAnsi="Calibri" w:cs="Calibri"/>
          <w:b/>
          <w:bCs/>
          <w:noProof/>
          <w:szCs w:val="24"/>
        </w:rPr>
        <w:t>10</w:t>
      </w:r>
      <w:r w:rsidRPr="006C08F4">
        <w:rPr>
          <w:rFonts w:ascii="Calibri" w:hAnsi="Calibri" w:cs="Calibri"/>
          <w:noProof/>
          <w:szCs w:val="24"/>
        </w:rPr>
        <w:t>, 1274–1285 (2019).</w:t>
      </w:r>
    </w:p>
    <w:p w14:paraId="3C50B618" w14:textId="77777777" w:rsidR="006C08F4" w:rsidRPr="006C08F4" w:rsidRDefault="006C08F4" w:rsidP="006C08F4">
      <w:pPr>
        <w:widowControl w:val="0"/>
        <w:autoSpaceDE w:val="0"/>
        <w:autoSpaceDN w:val="0"/>
        <w:adjustRightInd w:val="0"/>
        <w:spacing w:line="240" w:lineRule="auto"/>
        <w:ind w:left="640" w:hanging="640"/>
        <w:rPr>
          <w:rFonts w:ascii="Calibri" w:hAnsi="Calibri" w:cs="Calibri"/>
          <w:noProof/>
          <w:szCs w:val="24"/>
        </w:rPr>
      </w:pPr>
      <w:r w:rsidRPr="006C08F4">
        <w:rPr>
          <w:rFonts w:ascii="Calibri" w:hAnsi="Calibri" w:cs="Calibri"/>
          <w:noProof/>
          <w:szCs w:val="24"/>
        </w:rPr>
        <w:t>7.</w:t>
      </w:r>
      <w:r w:rsidRPr="006C08F4">
        <w:rPr>
          <w:rFonts w:ascii="Calibri" w:hAnsi="Calibri" w:cs="Calibri"/>
          <w:noProof/>
          <w:szCs w:val="24"/>
        </w:rPr>
        <w:tab/>
        <w:t xml:space="preserve">M Begon, JL Harper, C. T. </w:t>
      </w:r>
      <w:r w:rsidRPr="006C08F4">
        <w:rPr>
          <w:rFonts w:ascii="Calibri" w:hAnsi="Calibri" w:cs="Calibri"/>
          <w:i/>
          <w:iCs/>
          <w:noProof/>
          <w:szCs w:val="24"/>
        </w:rPr>
        <w:t>Ecology. Individuals, populations and communities</w:t>
      </w:r>
      <w:r w:rsidRPr="006C08F4">
        <w:rPr>
          <w:rFonts w:ascii="Calibri" w:hAnsi="Calibri" w:cs="Calibri"/>
          <w:noProof/>
          <w:szCs w:val="24"/>
        </w:rPr>
        <w:t>. (Blackwell Science Ltd, 1996).</w:t>
      </w:r>
    </w:p>
    <w:p w14:paraId="7F6692A7" w14:textId="77777777" w:rsidR="006C08F4" w:rsidRPr="006C08F4" w:rsidRDefault="006C08F4" w:rsidP="006C08F4">
      <w:pPr>
        <w:widowControl w:val="0"/>
        <w:autoSpaceDE w:val="0"/>
        <w:autoSpaceDN w:val="0"/>
        <w:adjustRightInd w:val="0"/>
        <w:spacing w:line="240" w:lineRule="auto"/>
        <w:ind w:left="640" w:hanging="640"/>
        <w:rPr>
          <w:rFonts w:ascii="Calibri" w:hAnsi="Calibri" w:cs="Calibri"/>
          <w:noProof/>
          <w:szCs w:val="24"/>
        </w:rPr>
      </w:pPr>
      <w:r w:rsidRPr="006C08F4">
        <w:rPr>
          <w:rFonts w:ascii="Calibri" w:hAnsi="Calibri" w:cs="Calibri"/>
          <w:noProof/>
          <w:szCs w:val="24"/>
        </w:rPr>
        <w:t>8.</w:t>
      </w:r>
      <w:r w:rsidRPr="006C08F4">
        <w:rPr>
          <w:rFonts w:ascii="Calibri" w:hAnsi="Calibri" w:cs="Calibri"/>
          <w:noProof/>
          <w:szCs w:val="24"/>
        </w:rPr>
        <w:tab/>
        <w:t xml:space="preserve">Atzrodt, J., Derdau, V., Kerr, W. J. &amp; Reid, M. Deuterium- and Tritium-Labelled Compounds: Applications in the Life Sciences. </w:t>
      </w:r>
      <w:r w:rsidRPr="006C08F4">
        <w:rPr>
          <w:rFonts w:ascii="Calibri" w:hAnsi="Calibri" w:cs="Calibri"/>
          <w:i/>
          <w:iCs/>
          <w:noProof/>
          <w:szCs w:val="24"/>
        </w:rPr>
        <w:t>Angew. Chemie Int. Ed.</w:t>
      </w:r>
      <w:r w:rsidRPr="006C08F4">
        <w:rPr>
          <w:rFonts w:ascii="Calibri" w:hAnsi="Calibri" w:cs="Calibri"/>
          <w:noProof/>
          <w:szCs w:val="24"/>
        </w:rPr>
        <w:t xml:space="preserve"> </w:t>
      </w:r>
      <w:r w:rsidRPr="006C08F4">
        <w:rPr>
          <w:rFonts w:ascii="Calibri" w:hAnsi="Calibri" w:cs="Calibri"/>
          <w:b/>
          <w:bCs/>
          <w:noProof/>
          <w:szCs w:val="24"/>
        </w:rPr>
        <w:t>57</w:t>
      </w:r>
      <w:r w:rsidRPr="006C08F4">
        <w:rPr>
          <w:rFonts w:ascii="Calibri" w:hAnsi="Calibri" w:cs="Calibri"/>
          <w:noProof/>
          <w:szCs w:val="24"/>
        </w:rPr>
        <w:t>, 1758–1784 (2018).</w:t>
      </w:r>
    </w:p>
    <w:p w14:paraId="1D150C01" w14:textId="77777777" w:rsidR="006C08F4" w:rsidRPr="006C08F4" w:rsidRDefault="006C08F4" w:rsidP="006C08F4">
      <w:pPr>
        <w:widowControl w:val="0"/>
        <w:autoSpaceDE w:val="0"/>
        <w:autoSpaceDN w:val="0"/>
        <w:adjustRightInd w:val="0"/>
        <w:spacing w:line="240" w:lineRule="auto"/>
        <w:ind w:left="640" w:hanging="640"/>
        <w:rPr>
          <w:rFonts w:ascii="Calibri" w:hAnsi="Calibri" w:cs="Calibri"/>
          <w:noProof/>
        </w:rPr>
      </w:pPr>
      <w:r w:rsidRPr="006C08F4">
        <w:rPr>
          <w:rFonts w:ascii="Calibri" w:hAnsi="Calibri" w:cs="Calibri"/>
          <w:noProof/>
          <w:szCs w:val="24"/>
        </w:rPr>
        <w:t>9.</w:t>
      </w:r>
      <w:r w:rsidRPr="006C08F4">
        <w:rPr>
          <w:rFonts w:ascii="Calibri" w:hAnsi="Calibri" w:cs="Calibri"/>
          <w:noProof/>
          <w:szCs w:val="24"/>
        </w:rPr>
        <w:tab/>
        <w:t xml:space="preserve">Dao, A. </w:t>
      </w:r>
      <w:r w:rsidRPr="006C08F4">
        <w:rPr>
          <w:rFonts w:ascii="Calibri" w:hAnsi="Calibri" w:cs="Calibri"/>
          <w:i/>
          <w:iCs/>
          <w:noProof/>
          <w:szCs w:val="24"/>
        </w:rPr>
        <w:t>et al.</w:t>
      </w:r>
      <w:r w:rsidRPr="006C08F4">
        <w:rPr>
          <w:rFonts w:ascii="Calibri" w:hAnsi="Calibri" w:cs="Calibri"/>
          <w:noProof/>
          <w:szCs w:val="24"/>
        </w:rPr>
        <w:t xml:space="preserve"> Signatures of aestivation and migration in Sahelian malaria mosquito populations. </w:t>
      </w:r>
      <w:r w:rsidRPr="006C08F4">
        <w:rPr>
          <w:rFonts w:ascii="Calibri" w:hAnsi="Calibri" w:cs="Calibri"/>
          <w:i/>
          <w:iCs/>
          <w:noProof/>
          <w:szCs w:val="24"/>
        </w:rPr>
        <w:t>Nature</w:t>
      </w:r>
      <w:r w:rsidRPr="006C08F4">
        <w:rPr>
          <w:rFonts w:ascii="Calibri" w:hAnsi="Calibri" w:cs="Calibri"/>
          <w:noProof/>
          <w:szCs w:val="24"/>
        </w:rPr>
        <w:t xml:space="preserve"> </w:t>
      </w:r>
      <w:r w:rsidRPr="006C08F4">
        <w:rPr>
          <w:rFonts w:ascii="Calibri" w:hAnsi="Calibri" w:cs="Calibri"/>
          <w:b/>
          <w:bCs/>
          <w:noProof/>
          <w:szCs w:val="24"/>
        </w:rPr>
        <w:t>516</w:t>
      </w:r>
      <w:r w:rsidRPr="006C08F4">
        <w:rPr>
          <w:rFonts w:ascii="Calibri" w:hAnsi="Calibri" w:cs="Calibri"/>
          <w:noProof/>
          <w:szCs w:val="24"/>
        </w:rPr>
        <w:t>, 387–390 (2014).</w:t>
      </w:r>
    </w:p>
    <w:p w14:paraId="5637E01A" w14:textId="33CFAB3D" w:rsidR="00A347BB" w:rsidRDefault="006C08F4">
      <w:r>
        <w:fldChar w:fldCharType="end"/>
      </w:r>
    </w:p>
    <w:sectPr w:rsidR="00A347BB" w:rsidSect="008B513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F5C31" w14:textId="77777777" w:rsidR="00366A60" w:rsidRDefault="00366A60">
      <w:pPr>
        <w:spacing w:after="0" w:line="240" w:lineRule="auto"/>
      </w:pPr>
      <w:r>
        <w:separator/>
      </w:r>
    </w:p>
  </w:endnote>
  <w:endnote w:type="continuationSeparator" w:id="0">
    <w:p w14:paraId="782D6B55" w14:textId="77777777" w:rsidR="00366A60" w:rsidRDefault="00366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175522"/>
      <w:docPartObj>
        <w:docPartGallery w:val="Page Numbers (Bottom of Page)"/>
        <w:docPartUnique/>
      </w:docPartObj>
    </w:sdtPr>
    <w:sdtEndPr>
      <w:rPr>
        <w:noProof/>
      </w:rPr>
    </w:sdtEndPr>
    <w:sdtContent>
      <w:p w14:paraId="2D1F109B" w14:textId="77777777" w:rsidR="00642D82" w:rsidRDefault="00FB454D">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1BCCCD72" w14:textId="77777777" w:rsidR="00642D82" w:rsidRDefault="00366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08119" w14:textId="77777777" w:rsidR="00366A60" w:rsidRDefault="00366A60">
      <w:pPr>
        <w:spacing w:after="0" w:line="240" w:lineRule="auto"/>
      </w:pPr>
      <w:r>
        <w:separator/>
      </w:r>
    </w:p>
  </w:footnote>
  <w:footnote w:type="continuationSeparator" w:id="0">
    <w:p w14:paraId="687B8D1D" w14:textId="77777777" w:rsidR="00366A60" w:rsidRDefault="00366A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89C"/>
    <w:rsid w:val="0004634E"/>
    <w:rsid w:val="0009598C"/>
    <w:rsid w:val="000B41D2"/>
    <w:rsid w:val="00147939"/>
    <w:rsid w:val="001617B1"/>
    <w:rsid w:val="002568A9"/>
    <w:rsid w:val="002A367E"/>
    <w:rsid w:val="00366A60"/>
    <w:rsid w:val="00380CF4"/>
    <w:rsid w:val="004537CD"/>
    <w:rsid w:val="004C4A3C"/>
    <w:rsid w:val="006C08F4"/>
    <w:rsid w:val="006C7749"/>
    <w:rsid w:val="00742FCA"/>
    <w:rsid w:val="00785661"/>
    <w:rsid w:val="00865666"/>
    <w:rsid w:val="008B5136"/>
    <w:rsid w:val="00A011D3"/>
    <w:rsid w:val="00A128D4"/>
    <w:rsid w:val="00A13A49"/>
    <w:rsid w:val="00A347BB"/>
    <w:rsid w:val="00A57E68"/>
    <w:rsid w:val="00AD16C6"/>
    <w:rsid w:val="00D71676"/>
    <w:rsid w:val="00DC6AD2"/>
    <w:rsid w:val="00EB16D1"/>
    <w:rsid w:val="00F51476"/>
    <w:rsid w:val="00FB454D"/>
    <w:rsid w:val="00FE4B7E"/>
    <w:rsid w:val="00FE68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AB099"/>
  <w15:chartTrackingRefBased/>
  <w15:docId w15:val="{935F6749-52D2-48D0-B4F3-825424C38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8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E68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89C"/>
  </w:style>
  <w:style w:type="character" w:styleId="CommentReference">
    <w:name w:val="annotation reference"/>
    <w:basedOn w:val="DefaultParagraphFont"/>
    <w:uiPriority w:val="99"/>
    <w:semiHidden/>
    <w:unhideWhenUsed/>
    <w:rsid w:val="0009598C"/>
    <w:rPr>
      <w:sz w:val="16"/>
      <w:szCs w:val="16"/>
    </w:rPr>
  </w:style>
  <w:style w:type="paragraph" w:styleId="CommentText">
    <w:name w:val="annotation text"/>
    <w:basedOn w:val="Normal"/>
    <w:link w:val="CommentTextChar"/>
    <w:uiPriority w:val="99"/>
    <w:unhideWhenUsed/>
    <w:rsid w:val="0009598C"/>
    <w:pPr>
      <w:spacing w:line="240" w:lineRule="auto"/>
    </w:pPr>
    <w:rPr>
      <w:sz w:val="20"/>
      <w:szCs w:val="20"/>
    </w:rPr>
  </w:style>
  <w:style w:type="character" w:customStyle="1" w:styleId="CommentTextChar">
    <w:name w:val="Comment Text Char"/>
    <w:basedOn w:val="DefaultParagraphFont"/>
    <w:link w:val="CommentText"/>
    <w:uiPriority w:val="99"/>
    <w:rsid w:val="0009598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D8EA9-35A2-42E3-8D13-025344186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4881</Words>
  <Characters>27827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Faiman, Roy (NIH/NIAID) [E]</dc:creator>
  <cp:keywords/>
  <dc:description/>
  <cp:lastModifiedBy>Faiman, Roy (NIH/NIAID) [E]</cp:lastModifiedBy>
  <cp:revision>2</cp:revision>
  <dcterms:created xsi:type="dcterms:W3CDTF">2022-01-21T02:58:00Z</dcterms:created>
  <dcterms:modified xsi:type="dcterms:W3CDTF">2022-01-21T02:58:00Z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131aab18-b576-33ef-9f6e-533d8079c75e</vt:lpwstr>
  </property>
  <property fmtid="{D5CDD505-2E9C-101B-9397-08002B2CF9AE}" pid="24" name="Mendeley Citation Style_1">
    <vt:lpwstr>http://www.zotero.org/styles/nature</vt:lpwstr>
  </property>
</Properties>
</file>