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D6BC" w14:textId="14DD527B" w:rsidR="00583C61" w:rsidRDefault="00772194">
      <w:pPr>
        <w:widowControl/>
        <w:spacing w:line="360" w:lineRule="auto"/>
        <w:jc w:val="left"/>
        <w:rPr>
          <w:b/>
        </w:rPr>
      </w:pPr>
      <w:r>
        <w:rPr>
          <w:b/>
        </w:rPr>
        <w:t xml:space="preserve">Supplemental Figure 1 </w:t>
      </w:r>
      <w:r w:rsidR="008773AF">
        <w:rPr>
          <w:b/>
        </w:rPr>
        <w:t xml:space="preserve"> </w:t>
      </w:r>
      <w:r>
        <w:rPr>
          <w:b/>
        </w:rPr>
        <w:t>Dorsal skinfold chamber (DSC)</w:t>
      </w:r>
    </w:p>
    <w:p w14:paraId="4CE9E853" w14:textId="34CBC0DC" w:rsidR="00583C61" w:rsidRDefault="00772194">
      <w:pPr>
        <w:spacing w:line="360" w:lineRule="auto"/>
      </w:pPr>
      <w:r>
        <w:t xml:space="preserve">The DSC frame </w:t>
      </w:r>
      <w:r w:rsidR="004B35D8">
        <w:t>i</w:t>
      </w:r>
      <w:r>
        <w:t xml:space="preserve">s surgically implanted between the two polyacetal resin frames. One side of the double layer of the dorsal skin </w:t>
      </w:r>
      <w:r w:rsidR="004B35D8">
        <w:t>i</w:t>
      </w:r>
      <w:r>
        <w:t xml:space="preserve">s removed, and a cover glass </w:t>
      </w:r>
      <w:r w:rsidR="004B35D8">
        <w:t>i</w:t>
      </w:r>
      <w:r>
        <w:t xml:space="preserve">s placed over the exposed side of the blood vessels. The cover glass </w:t>
      </w:r>
      <w:r w:rsidR="004B35D8">
        <w:t>i</w:t>
      </w:r>
      <w:r>
        <w:t xml:space="preserve">s fixed using a ring. During the surgical implantation of the DSC chamber frames, </w:t>
      </w:r>
      <w:r w:rsidR="004B35D8">
        <w:t xml:space="preserve">the </w:t>
      </w:r>
      <w:r>
        <w:t xml:space="preserve">mice </w:t>
      </w:r>
      <w:r w:rsidR="004B35D8">
        <w:t>a</w:t>
      </w:r>
      <w:r>
        <w:t xml:space="preserve">re anaesthetised by intraperitoneal injection of ketamine (90 mg/kg body weight) and xylazine (10 mg/kg body weight). Experiments and observations </w:t>
      </w:r>
      <w:r w:rsidR="004B35D8">
        <w:t>a</w:t>
      </w:r>
      <w:r>
        <w:t xml:space="preserve">re performed ≥1 week after the surgery to avoid inflammatory effects of the surgery and stabilise the condition of the mice. </w:t>
      </w:r>
    </w:p>
    <w:p w14:paraId="4482A612" w14:textId="77777777" w:rsidR="00583C61" w:rsidRDefault="00583C61">
      <w:pPr>
        <w:spacing w:line="360" w:lineRule="auto"/>
      </w:pPr>
    </w:p>
    <w:p w14:paraId="6329EC49" w14:textId="0A6D0AAE" w:rsidR="00583C61" w:rsidRDefault="00772194">
      <w:pPr>
        <w:spacing w:line="360" w:lineRule="auto"/>
        <w:rPr>
          <w:b/>
        </w:rPr>
      </w:pPr>
      <w:r>
        <w:rPr>
          <w:b/>
        </w:rPr>
        <w:t>Supplemental Figure 2  Seven-day cumulative survival rate</w:t>
      </w:r>
    </w:p>
    <w:p w14:paraId="5A5A8E00" w14:textId="15407036" w:rsidR="00583C61" w:rsidRDefault="00772194">
      <w:pPr>
        <w:spacing w:line="360" w:lineRule="auto"/>
      </w:pPr>
      <w:r>
        <w:t xml:space="preserve">The cumulative survival rate over 7 days </w:t>
      </w:r>
      <w:r w:rsidR="004B35D8">
        <w:t>i</w:t>
      </w:r>
      <w:r>
        <w:t xml:space="preserve">s measured and compared with that of group C (n=10 for each group). Data </w:t>
      </w:r>
      <w:r w:rsidR="004B35D8">
        <w:t>a</w:t>
      </w:r>
      <w:r>
        <w:t>re analysed using the Kaplan</w:t>
      </w:r>
      <w:r w:rsidR="004B35D8">
        <w:t>–</w:t>
      </w:r>
      <w:r>
        <w:t>Meier method for 7-day survival and the log-rank test. **</w:t>
      </w:r>
      <w:r>
        <w:rPr>
          <w:i/>
        </w:rPr>
        <w:t>P</w:t>
      </w:r>
      <w:r>
        <w:t>≤0.01, *</w:t>
      </w:r>
      <w:r>
        <w:rPr>
          <w:i/>
        </w:rPr>
        <w:t>P</w:t>
      </w:r>
      <w:r>
        <w:t>≤0.05.</w:t>
      </w:r>
    </w:p>
    <w:p w14:paraId="5F067BE7" w14:textId="77777777" w:rsidR="00583C61" w:rsidRDefault="00583C61">
      <w:pPr>
        <w:spacing w:line="360" w:lineRule="auto"/>
      </w:pPr>
    </w:p>
    <w:p w14:paraId="16CC27F5" w14:textId="268DECAE" w:rsidR="00583C61" w:rsidRDefault="00772194">
      <w:pPr>
        <w:spacing w:line="360" w:lineRule="auto"/>
        <w:rPr>
          <w:b/>
        </w:rPr>
      </w:pPr>
      <w:r>
        <w:rPr>
          <w:b/>
        </w:rPr>
        <w:t>Supplemental Movie</w:t>
      </w:r>
      <w:r w:rsidR="008773AF">
        <w:rPr>
          <w:b/>
        </w:rPr>
        <w:t xml:space="preserve">  </w:t>
      </w:r>
      <w:r>
        <w:rPr>
          <w:b/>
        </w:rPr>
        <w:t>Localization of FITC-HES130</w:t>
      </w:r>
    </w:p>
    <w:p w14:paraId="3125B015" w14:textId="0DA58518" w:rsidR="00583C61" w:rsidRDefault="00772194">
      <w:pPr>
        <w:spacing w:line="360" w:lineRule="auto"/>
      </w:pPr>
      <w:r>
        <w:t xml:space="preserve">Representative movies at 30 min after blood removal, infusion treatment, and administration of fluorescent dyes (FITC-HES130 and TMR-DEX40) in the NS-NS and HES-NS groups. Supplemental Videos </w:t>
      </w:r>
      <w:r>
        <w:rPr>
          <w:b/>
        </w:rPr>
        <w:t>A</w:t>
      </w:r>
      <w:r>
        <w:t xml:space="preserve"> and </w:t>
      </w:r>
      <w:r>
        <w:rPr>
          <w:b/>
        </w:rPr>
        <w:t>B</w:t>
      </w:r>
      <w:r>
        <w:t xml:space="preserve"> </w:t>
      </w:r>
      <w:r w:rsidR="004B35D8">
        <w:t>a</w:t>
      </w:r>
      <w:r>
        <w:t xml:space="preserve">re acquired 30 min after the administration of FITC-HES130. FITC-HES130 </w:t>
      </w:r>
      <w:r w:rsidR="004B35D8">
        <w:t>i</w:t>
      </w:r>
      <w:r>
        <w:t>s locali</w:t>
      </w:r>
      <w:r w:rsidR="004B35D8">
        <w:t>z</w:t>
      </w:r>
      <w:r>
        <w:t xml:space="preserve">ed </w:t>
      </w:r>
      <w:r w:rsidR="004B35D8">
        <w:t>on</w:t>
      </w:r>
      <w:r>
        <w:t xml:space="preserve"> the intravascular wall surface in the NS-NS group (Supplemental Movie A). It </w:t>
      </w:r>
      <w:r w:rsidR="004B35D8">
        <w:t>i</w:t>
      </w:r>
      <w:r>
        <w:t>s uniformly distributed and not locali</w:t>
      </w:r>
      <w:r w:rsidR="004B35D8">
        <w:t>z</w:t>
      </w:r>
      <w:r>
        <w:t xml:space="preserve">ed on the vascular endothelial surface in the HES-NS group (Supplemental Movie B). In contrast, supplemental Movies </w:t>
      </w:r>
      <w:r>
        <w:rPr>
          <w:b/>
        </w:rPr>
        <w:t>C</w:t>
      </w:r>
      <w:r>
        <w:t xml:space="preserve"> and </w:t>
      </w:r>
      <w:r>
        <w:rPr>
          <w:b/>
        </w:rPr>
        <w:t>D</w:t>
      </w:r>
      <w:r>
        <w:t xml:space="preserve"> </w:t>
      </w:r>
      <w:r w:rsidR="00090B26">
        <w:t>a</w:t>
      </w:r>
      <w:r>
        <w:t xml:space="preserve">re acquired 30 min after the administration </w:t>
      </w:r>
      <w:r>
        <w:lastRenderedPageBreak/>
        <w:t xml:space="preserve">of TMR-DEX40. Fluorescent TMR-DEX40 uniformly stained the intravascular space, including the endothelial surface, in both groups (Supplemental Movie C and D). </w:t>
      </w:r>
    </w:p>
    <w:p w14:paraId="0DE0D373" w14:textId="77777777" w:rsidR="00583C61" w:rsidRDefault="00583C61">
      <w:pPr>
        <w:spacing w:after="240" w:line="360" w:lineRule="auto"/>
        <w:rPr>
          <w:color w:val="000000"/>
        </w:rPr>
      </w:pPr>
    </w:p>
    <w:sectPr w:rsidR="00583C61">
      <w:headerReference w:type="default" r:id="rId8"/>
      <w:type w:val="continuous"/>
      <w:pgSz w:w="11900" w:h="16840"/>
      <w:pgMar w:top="1701" w:right="1701" w:bottom="1701" w:left="1701" w:header="851" w:footer="992" w:gutter="0"/>
      <w:pgNumType w:fmt="decimalFullWidth"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0960" w14:textId="77777777" w:rsidR="00596257" w:rsidRDefault="00596257">
      <w:r>
        <w:separator/>
      </w:r>
    </w:p>
  </w:endnote>
  <w:endnote w:type="continuationSeparator" w:id="0">
    <w:p w14:paraId="26E55A52" w14:textId="77777777" w:rsidR="00596257" w:rsidRDefault="0059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FA58" w14:textId="77777777" w:rsidR="00596257" w:rsidRDefault="00596257">
      <w:r>
        <w:separator/>
      </w:r>
    </w:p>
  </w:footnote>
  <w:footnote w:type="continuationSeparator" w:id="0">
    <w:p w14:paraId="7A6161D8" w14:textId="77777777" w:rsidR="00596257" w:rsidRDefault="00596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B56D" w14:textId="77777777" w:rsidR="00583C61" w:rsidRDefault="00772194">
    <w:pPr>
      <w:pStyle w:val="aa"/>
      <w:jc w:val="right"/>
      <w:rPr>
        <w:sz w:val="20"/>
      </w:rPr>
    </w:pPr>
    <w:r>
      <w:rPr>
        <w:sz w:val="20"/>
        <w:szCs w:val="20"/>
        <w:lang w:val="en-GB"/>
      </w:rPr>
      <w:fldChar w:fldCharType="begin"/>
    </w:r>
    <w:r>
      <w:rPr>
        <w:sz w:val="20"/>
        <w:szCs w:val="20"/>
        <w:lang w:val="en-GB"/>
      </w:rPr>
      <w:instrText xml:space="preserve"> PAGE   \* MERGEFORMAT </w:instrText>
    </w:r>
    <w:r>
      <w:rPr>
        <w:sz w:val="20"/>
        <w:szCs w:val="20"/>
        <w:lang w:val="en-GB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6A831539" w14:textId="77777777" w:rsidR="00583C61" w:rsidRDefault="00583C61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85D"/>
    <w:multiLevelType w:val="multilevel"/>
    <w:tmpl w:val="A05ED552"/>
    <w:lvl w:ilvl="0">
      <w:start w:val="3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B3005"/>
    <w:multiLevelType w:val="multilevel"/>
    <w:tmpl w:val="F648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1079"/>
    <w:multiLevelType w:val="multilevel"/>
    <w:tmpl w:val="561A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64C7C"/>
    <w:multiLevelType w:val="multilevel"/>
    <w:tmpl w:val="F94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5079D"/>
    <w:multiLevelType w:val="multilevel"/>
    <w:tmpl w:val="9A94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32A1B"/>
    <w:multiLevelType w:val="multilevel"/>
    <w:tmpl w:val="289C413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D0624E"/>
    <w:multiLevelType w:val="multilevel"/>
    <w:tmpl w:val="2D76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4667E"/>
    <w:multiLevelType w:val="multilevel"/>
    <w:tmpl w:val="5C08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15D45"/>
    <w:multiLevelType w:val="multilevel"/>
    <w:tmpl w:val="F86E3E3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555495"/>
    <w:multiLevelType w:val="multilevel"/>
    <w:tmpl w:val="5F4E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F5161"/>
    <w:multiLevelType w:val="multilevel"/>
    <w:tmpl w:val="7230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03443"/>
    <w:multiLevelType w:val="multilevel"/>
    <w:tmpl w:val="491C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001C8"/>
    <w:multiLevelType w:val="multilevel"/>
    <w:tmpl w:val="00400F2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877434"/>
    <w:multiLevelType w:val="multilevel"/>
    <w:tmpl w:val="8D6E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946F74"/>
    <w:multiLevelType w:val="multilevel"/>
    <w:tmpl w:val="E4FE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0780E"/>
    <w:multiLevelType w:val="multilevel"/>
    <w:tmpl w:val="F368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74940"/>
    <w:multiLevelType w:val="multilevel"/>
    <w:tmpl w:val="C120781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605070"/>
    <w:multiLevelType w:val="multilevel"/>
    <w:tmpl w:val="58FC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8E1738"/>
    <w:multiLevelType w:val="multilevel"/>
    <w:tmpl w:val="F46A0B26"/>
    <w:lvl w:ilvl="0">
      <w:start w:val="1"/>
      <w:numFmt w:val="decimal"/>
      <w:lvlText w:val="%1.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8"/>
  </w:num>
  <w:num w:numId="4">
    <w:abstractNumId w:val="0"/>
  </w:num>
  <w:num w:numId="5">
    <w:abstractNumId w:val="5"/>
  </w:num>
  <w:num w:numId="6">
    <w:abstractNumId w:val="1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15"/>
  </w:num>
  <w:num w:numId="12">
    <w:abstractNumId w:val="4"/>
  </w:num>
  <w:num w:numId="13">
    <w:abstractNumId w:val="17"/>
  </w:num>
  <w:num w:numId="14">
    <w:abstractNumId w:val="9"/>
  </w:num>
  <w:num w:numId="15">
    <w:abstractNumId w:val="2"/>
  </w:num>
  <w:num w:numId="16">
    <w:abstractNumId w:val="3"/>
  </w:num>
  <w:num w:numId="17">
    <w:abstractNumId w:val="14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C61"/>
    <w:rsid w:val="00011CC8"/>
    <w:rsid w:val="00090B26"/>
    <w:rsid w:val="00093EA8"/>
    <w:rsid w:val="000948FD"/>
    <w:rsid w:val="000A372A"/>
    <w:rsid w:val="00131608"/>
    <w:rsid w:val="00152459"/>
    <w:rsid w:val="0016794D"/>
    <w:rsid w:val="0018185C"/>
    <w:rsid w:val="001A5AFE"/>
    <w:rsid w:val="001B739E"/>
    <w:rsid w:val="001C33E5"/>
    <w:rsid w:val="001F5B99"/>
    <w:rsid w:val="00213C9A"/>
    <w:rsid w:val="00250A13"/>
    <w:rsid w:val="0025213A"/>
    <w:rsid w:val="002D35AF"/>
    <w:rsid w:val="002E1F3A"/>
    <w:rsid w:val="002E783D"/>
    <w:rsid w:val="002E7BE1"/>
    <w:rsid w:val="002F0458"/>
    <w:rsid w:val="0030345D"/>
    <w:rsid w:val="00303AE2"/>
    <w:rsid w:val="00341053"/>
    <w:rsid w:val="0034565B"/>
    <w:rsid w:val="00374E6D"/>
    <w:rsid w:val="00395CEF"/>
    <w:rsid w:val="0041068F"/>
    <w:rsid w:val="00436E2A"/>
    <w:rsid w:val="004857F5"/>
    <w:rsid w:val="00490C04"/>
    <w:rsid w:val="004B2991"/>
    <w:rsid w:val="004B35D8"/>
    <w:rsid w:val="004C0EDD"/>
    <w:rsid w:val="004F7CD4"/>
    <w:rsid w:val="00520531"/>
    <w:rsid w:val="00541923"/>
    <w:rsid w:val="00583C61"/>
    <w:rsid w:val="005842E2"/>
    <w:rsid w:val="00596257"/>
    <w:rsid w:val="005B25EF"/>
    <w:rsid w:val="006B6C2C"/>
    <w:rsid w:val="006C022D"/>
    <w:rsid w:val="006D4FC8"/>
    <w:rsid w:val="00753FD6"/>
    <w:rsid w:val="00762F82"/>
    <w:rsid w:val="00772194"/>
    <w:rsid w:val="008323AC"/>
    <w:rsid w:val="0086139B"/>
    <w:rsid w:val="008773AF"/>
    <w:rsid w:val="008A6840"/>
    <w:rsid w:val="008B5FF1"/>
    <w:rsid w:val="008D29F8"/>
    <w:rsid w:val="008D5D14"/>
    <w:rsid w:val="008E1DC2"/>
    <w:rsid w:val="00905683"/>
    <w:rsid w:val="009255A4"/>
    <w:rsid w:val="00987A0B"/>
    <w:rsid w:val="009B64AE"/>
    <w:rsid w:val="009E194E"/>
    <w:rsid w:val="00A01B63"/>
    <w:rsid w:val="00A61E49"/>
    <w:rsid w:val="00A631AA"/>
    <w:rsid w:val="00A91E97"/>
    <w:rsid w:val="00AB6437"/>
    <w:rsid w:val="00AC7792"/>
    <w:rsid w:val="00AD5753"/>
    <w:rsid w:val="00B10FA2"/>
    <w:rsid w:val="00BD79CC"/>
    <w:rsid w:val="00C70466"/>
    <w:rsid w:val="00C72086"/>
    <w:rsid w:val="00CB2789"/>
    <w:rsid w:val="00CB2C13"/>
    <w:rsid w:val="00CB5CCD"/>
    <w:rsid w:val="00D00BDF"/>
    <w:rsid w:val="00D34FAE"/>
    <w:rsid w:val="00D43903"/>
    <w:rsid w:val="00D45BFD"/>
    <w:rsid w:val="00D57C25"/>
    <w:rsid w:val="00DC3BA6"/>
    <w:rsid w:val="00DD47A1"/>
    <w:rsid w:val="00E07E59"/>
    <w:rsid w:val="00E274C1"/>
    <w:rsid w:val="00E31164"/>
    <w:rsid w:val="00E33803"/>
    <w:rsid w:val="00ED3A5C"/>
    <w:rsid w:val="00E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5BDA3"/>
  <w15:docId w15:val="{C8BAD856-1846-4B72-B4A5-839E0D28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heading 2" w:uiPriority="9" w:qFormat="1"/>
    <w:lsdException w:name="Strong" w:uiPriority="22" w:qFormat="1"/>
    <w:lsdException w:name="Emphasis" w:uiPriority="20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lang w:val=""/>
    </w:rPr>
  </w:style>
  <w:style w:type="paragraph" w:styleId="2">
    <w:name w:val="heading 2"/>
    <w:basedOn w:val="a"/>
    <w:link w:val="20"/>
    <w:uiPriority w:val="9"/>
    <w:qFormat/>
    <w:rsid w:val="00753FD6"/>
    <w:pPr>
      <w:widowControl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en-IN" w:eastAsia="e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1">
    <w:name w:val="toc 2"/>
    <w:basedOn w:val="a"/>
    <w:pPr>
      <w:spacing w:line="330" w:lineRule="auto"/>
    </w:pPr>
    <w:rPr>
      <w:rFonts w:ascii="Calibri" w:eastAsia="Calibri" w:hAnsi="Calibri" w:cs="Calibri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Hyperlink"/>
    <w:rPr>
      <w:u w:val="single"/>
    </w:rPr>
  </w:style>
  <w:style w:type="paragraph" w:styleId="ac">
    <w:name w:val="List Paragraph"/>
    <w:basedOn w:val="a"/>
    <w:pPr>
      <w:pBdr>
        <w:top w:val="nil"/>
        <w:left w:val="nil"/>
        <w:bottom w:val="nil"/>
        <w:right w:val="nil"/>
      </w:pBdr>
      <w:ind w:left="840"/>
    </w:pPr>
    <w:rPr>
      <w:rFonts w:ascii="Century" w:eastAsia="Century" w:hAnsi="Century" w:cs="Century"/>
      <w:color w:val="000000"/>
      <w:sz w:val="21"/>
    </w:rPr>
  </w:style>
  <w:style w:type="character" w:styleId="ad">
    <w:name w:val="FollowedHyperlink"/>
    <w:basedOn w:val="a0"/>
    <w:rPr>
      <w:color w:val="800080"/>
      <w:u w:val="single"/>
    </w:rPr>
  </w:style>
  <w:style w:type="paragraph" w:styleId="ae">
    <w:name w:val="Balloon Text"/>
    <w:basedOn w:val="a"/>
    <w:rPr>
      <w:rFonts w:ascii="ヒラギノ角ゴ ProN W3" w:eastAsia="ヒラギノ角ゴ ProN W3" w:hAnsi="ヒラギノ角ゴ ProN W3" w:cs="ヒラギノ角ゴ ProN W3"/>
      <w:sz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Courier" w:hAnsi="Courier" w:cs="Courier"/>
      <w:sz w:val="20"/>
    </w:rPr>
  </w:style>
  <w:style w:type="paragraph" w:styleId="We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Times" w:eastAsia="Times" w:hAnsi="Times" w:cs="Times"/>
      <w:sz w:val="20"/>
    </w:rPr>
  </w:style>
  <w:style w:type="paragraph" w:customStyle="1" w:styleId="EndNoteBibliographyTitle">
    <w:name w:val="EndNote Bibliography Title"/>
    <w:basedOn w:val="a"/>
    <w:qFormat/>
    <w:pPr>
      <w:jc w:val="center"/>
    </w:pPr>
  </w:style>
  <w:style w:type="paragraph" w:customStyle="1" w:styleId="EndNoteBibliography">
    <w:name w:val="EndNote Bibliography"/>
    <w:basedOn w:val="a"/>
    <w:pPr>
      <w:jc w:val="left"/>
    </w:pPr>
  </w:style>
  <w:style w:type="paragraph" w:styleId="af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f0">
    <w:name w:val="annotation subject"/>
    <w:basedOn w:val="af"/>
    <w:rPr>
      <w:rFonts w:ascii="Times New Roman" w:eastAsia="Times New Roman" w:hAnsi="Times New Roman" w:cs="Times New Roman"/>
      <w:b/>
    </w:rPr>
  </w:style>
  <w:style w:type="character" w:customStyle="1" w:styleId="10">
    <w:name w:val="未解決のメンション1"/>
    <w:basedOn w:val="a0"/>
    <w:rPr>
      <w:color w:val="605E5C"/>
    </w:rPr>
  </w:style>
  <w:style w:type="character" w:customStyle="1" w:styleId="hgkelc">
    <w:name w:val="hgkelc"/>
    <w:basedOn w:val="a0"/>
  </w:style>
  <w:style w:type="character" w:styleId="af1">
    <w:name w:val="Emphasis"/>
    <w:basedOn w:val="a0"/>
    <w:uiPriority w:val="20"/>
    <w:qFormat/>
    <w:rPr>
      <w:i/>
    </w:rPr>
  </w:style>
  <w:style w:type="paragraph" w:styleId="af2">
    <w:name w:val="Revision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3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f4">
    <w:name w:val="endnote text"/>
    <w:basedOn w:val="a"/>
    <w:rPr>
      <w:rFonts w:ascii="Calibri" w:eastAsia="Calibri" w:hAnsi="Calibri" w:cs="Calibri"/>
    </w:rPr>
  </w:style>
  <w:style w:type="paragraph" w:styleId="af5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6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7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8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9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sz w:val="22"/>
    </w:rPr>
  </w:style>
  <w:style w:type="paragraph" w:customStyle="1" w:styleId="List9">
    <w:name w:val="List 9"/>
    <w:basedOn w:val="a"/>
    <w:pPr>
      <w:ind w:left="1200" w:hanging="600"/>
    </w:pPr>
    <w:rPr>
      <w:sz w:val="22"/>
    </w:rPr>
  </w:style>
  <w:style w:type="character" w:styleId="afa">
    <w:name w:val="Strong"/>
    <w:basedOn w:val="a0"/>
    <w:uiPriority w:val="22"/>
    <w:qFormat/>
    <w:rsid w:val="00CB2789"/>
    <w:rPr>
      <w:b/>
      <w:bCs/>
    </w:rPr>
  </w:style>
  <w:style w:type="character" w:customStyle="1" w:styleId="20">
    <w:name w:val="見出し 2 (文字)"/>
    <w:basedOn w:val="a0"/>
    <w:link w:val="2"/>
    <w:uiPriority w:val="9"/>
    <w:rsid w:val="00753FD6"/>
    <w:rPr>
      <w:rFonts w:ascii="Times New Roman" w:eastAsia="Times New Roman" w:hAnsi="Times New Roman" w:cs="Times New Roman"/>
      <w:b/>
      <w:bCs/>
      <w:kern w:val="0"/>
      <w:sz w:val="36"/>
      <w:szCs w:val="36"/>
      <w:lang w:val="en-IN" w:eastAsia="en-IN"/>
    </w:rPr>
  </w:style>
  <w:style w:type="character" w:styleId="afb">
    <w:name w:val="line number"/>
    <w:basedOn w:val="a0"/>
    <w:uiPriority w:val="99"/>
    <w:rsid w:val="00341053"/>
  </w:style>
  <w:style w:type="character" w:customStyle="1" w:styleId="a8">
    <w:name w:val="フッター (文字)"/>
    <w:basedOn w:val="a0"/>
    <w:link w:val="a7"/>
    <w:uiPriority w:val="99"/>
    <w:rsid w:val="00341053"/>
    <w:rPr>
      <w:rFonts w:ascii="Times New Roman" w:eastAsia="Times New Roman" w:hAnsi="Times New Roman" w:cs="Times New Roman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B8AD1-C54B-43B7-9004-02E1E83C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鵜澤 康二</cp:lastModifiedBy>
  <cp:revision>3</cp:revision>
  <dcterms:created xsi:type="dcterms:W3CDTF">2022-01-26T22:18:00Z</dcterms:created>
  <dcterms:modified xsi:type="dcterms:W3CDTF">2022-01-26T22:19:00Z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7075</vt:lpwstr>
  </property>
  <property fmtid="{D5CDD505-2E9C-101B-9397-08002B2CF9AE}" pid="16" name="Merops references count">
    <vt:lpwstr>44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2</vt:lpwstr>
  </property>
  <property fmtid="{D5CDD505-2E9C-101B-9397-08002B2CF9AE}" pid="20" name="Merops figures count">
    <vt:lpwstr>9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7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2022/01/13 02:36:48 PM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Merops comment count">
    <vt:lpwstr>0</vt:lpwstr>
  </property>
  <property fmtid="{D5CDD505-2E9C-101B-9397-08002B2CF9AE}" pid="35" name="Merops change count">
    <vt:lpwstr>513</vt:lpwstr>
  </property>
</Properties>
</file>