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2B554A" w14:textId="77777777" w:rsidR="006B56A8" w:rsidRPr="006B56A8" w:rsidRDefault="006B56A8" w:rsidP="005C7B51">
      <w:pPr>
        <w:pStyle w:val="BATitle"/>
        <w:spacing w:before="0" w:after="120"/>
        <w:jc w:val="left"/>
        <w:rPr>
          <w:b/>
          <w:sz w:val="28"/>
          <w:szCs w:val="28"/>
        </w:rPr>
      </w:pPr>
      <w:bookmarkStart w:id="0" w:name="30j0zll" w:colFirst="0" w:colLast="0"/>
      <w:bookmarkStart w:id="1" w:name="1fob9te" w:colFirst="0" w:colLast="0"/>
      <w:bookmarkEnd w:id="0"/>
      <w:bookmarkEnd w:id="1"/>
      <w:r w:rsidRPr="006B56A8">
        <w:rPr>
          <w:b/>
          <w:sz w:val="28"/>
          <w:szCs w:val="28"/>
        </w:rPr>
        <w:t>Supporting Information.</w:t>
      </w:r>
    </w:p>
    <w:p w14:paraId="12C98FA6" w14:textId="77777777" w:rsidR="001A7E01" w:rsidRPr="00A72940" w:rsidRDefault="001A7E01" w:rsidP="001A7E01">
      <w:pPr>
        <w:rPr>
          <w:rFonts w:ascii="Times New Roman" w:hAnsi="Times New Roman"/>
          <w:sz w:val="36"/>
          <w:szCs w:val="36"/>
        </w:rPr>
      </w:pPr>
      <w:r w:rsidRPr="001817FE">
        <w:rPr>
          <w:rFonts w:ascii="Times New Roman" w:hAnsi="Times New Roman"/>
          <w:sz w:val="36"/>
          <w:szCs w:val="36"/>
        </w:rPr>
        <w:t xml:space="preserve">Hydroxyapatite adsorbed at the surface of the byssus fibers of </w:t>
      </w:r>
      <w:r w:rsidRPr="001817FE">
        <w:rPr>
          <w:rFonts w:ascii="Times New Roman" w:hAnsi="Times New Roman"/>
          <w:i/>
          <w:sz w:val="36"/>
          <w:szCs w:val="36"/>
        </w:rPr>
        <w:t xml:space="preserve">Pinna </w:t>
      </w:r>
      <w:proofErr w:type="spellStart"/>
      <w:r w:rsidRPr="001817FE">
        <w:rPr>
          <w:rFonts w:ascii="Times New Roman" w:hAnsi="Times New Roman"/>
          <w:i/>
          <w:sz w:val="36"/>
          <w:szCs w:val="36"/>
        </w:rPr>
        <w:t>nobilis</w:t>
      </w:r>
      <w:proofErr w:type="spellEnd"/>
    </w:p>
    <w:p w14:paraId="59989FF5" w14:textId="77777777" w:rsidR="001A7E01" w:rsidRPr="001817FE" w:rsidRDefault="001A7E01" w:rsidP="001A7E01">
      <w:pPr>
        <w:rPr>
          <w:rFonts w:ascii="Times New Roman" w:hAnsi="Times New Roman"/>
          <w:sz w:val="28"/>
          <w:szCs w:val="28"/>
          <w:vertAlign w:val="superscript"/>
          <w:lang w:val="it-IT"/>
        </w:rPr>
      </w:pPr>
      <w:r w:rsidRPr="001817FE">
        <w:rPr>
          <w:rFonts w:ascii="Times New Roman" w:hAnsi="Times New Roman"/>
          <w:sz w:val="28"/>
          <w:szCs w:val="28"/>
          <w:lang w:val="it-IT"/>
        </w:rPr>
        <w:t>Lorena C. Giannossa</w:t>
      </w:r>
      <w:r w:rsidRPr="001817FE">
        <w:rPr>
          <w:rFonts w:ascii="Times New Roman" w:hAnsi="Times New Roman"/>
          <w:sz w:val="28"/>
          <w:szCs w:val="28"/>
          <w:vertAlign w:val="superscript"/>
          <w:lang w:val="it-IT"/>
        </w:rPr>
        <w:t>1,2</w:t>
      </w:r>
      <w:r w:rsidRPr="001817FE">
        <w:rPr>
          <w:rFonts w:ascii="Times New Roman" w:hAnsi="Times New Roman"/>
          <w:sz w:val="28"/>
          <w:szCs w:val="28"/>
          <w:lang w:val="it-IT"/>
        </w:rPr>
        <w:t>, Annarosa Mangone</w:t>
      </w:r>
      <w:r w:rsidRPr="001817FE">
        <w:rPr>
          <w:rFonts w:ascii="Times New Roman" w:hAnsi="Times New Roman"/>
          <w:sz w:val="28"/>
          <w:szCs w:val="28"/>
          <w:vertAlign w:val="superscript"/>
          <w:lang w:val="it-IT"/>
        </w:rPr>
        <w:t>1,2</w:t>
      </w:r>
      <w:r w:rsidRPr="001817FE">
        <w:rPr>
          <w:rFonts w:ascii="Times New Roman" w:hAnsi="Times New Roman"/>
          <w:sz w:val="28"/>
          <w:szCs w:val="28"/>
          <w:lang w:val="it-IT"/>
        </w:rPr>
        <w:t>, Giovanni Lagioia</w:t>
      </w:r>
      <w:r w:rsidRPr="001817FE">
        <w:rPr>
          <w:rFonts w:ascii="Times New Roman" w:hAnsi="Times New Roman"/>
          <w:sz w:val="28"/>
          <w:szCs w:val="28"/>
          <w:vertAlign w:val="superscript"/>
          <w:lang w:val="it-IT"/>
        </w:rPr>
        <w:t>3</w:t>
      </w:r>
      <w:r w:rsidRPr="001817FE">
        <w:rPr>
          <w:rFonts w:ascii="Times New Roman" w:hAnsi="Times New Roman"/>
          <w:sz w:val="28"/>
          <w:szCs w:val="28"/>
          <w:lang w:val="it-IT"/>
        </w:rPr>
        <w:t>, Gerardo Palazzo</w:t>
      </w:r>
      <w:r w:rsidRPr="001817FE">
        <w:rPr>
          <w:rFonts w:ascii="Times New Roman" w:hAnsi="Times New Roman"/>
          <w:sz w:val="28"/>
          <w:szCs w:val="28"/>
          <w:vertAlign w:val="superscript"/>
          <w:lang w:val="it-IT"/>
        </w:rPr>
        <w:t>1,4</w:t>
      </w:r>
      <w:r w:rsidRPr="001817FE">
        <w:rPr>
          <w:rFonts w:ascii="Times New Roman" w:hAnsi="Times New Roman"/>
          <w:sz w:val="28"/>
          <w:szCs w:val="28"/>
          <w:lang w:val="it-IT"/>
        </w:rPr>
        <w:t xml:space="preserve"> and Luigi Gentile</w:t>
      </w:r>
      <w:r>
        <w:rPr>
          <w:rFonts w:ascii="Times New Roman" w:hAnsi="Times New Roman"/>
          <w:sz w:val="28"/>
          <w:szCs w:val="28"/>
          <w:vertAlign w:val="superscript"/>
          <w:lang w:val="it-IT"/>
        </w:rPr>
        <w:t>1,2,4*</w:t>
      </w:r>
    </w:p>
    <w:p w14:paraId="706A4EA5" w14:textId="77777777" w:rsidR="001A7E01" w:rsidRPr="001A7E01" w:rsidRDefault="001A7E01" w:rsidP="001A7E01">
      <w:pPr>
        <w:spacing w:after="0"/>
        <w:rPr>
          <w:rFonts w:ascii="Times New Roman" w:hAnsi="Times New Roman"/>
          <w:sz w:val="22"/>
          <w:szCs w:val="22"/>
        </w:rPr>
      </w:pPr>
      <w:proofErr w:type="gramStart"/>
      <w:r w:rsidRPr="001A7E01">
        <w:rPr>
          <w:rFonts w:ascii="Times New Roman" w:hAnsi="Times New Roman"/>
          <w:sz w:val="22"/>
          <w:szCs w:val="22"/>
          <w:vertAlign w:val="superscript"/>
        </w:rPr>
        <w:t>1</w:t>
      </w:r>
      <w:proofErr w:type="gramEnd"/>
      <w:r w:rsidRPr="001A7E01">
        <w:rPr>
          <w:sz w:val="22"/>
          <w:szCs w:val="22"/>
        </w:rPr>
        <w:t xml:space="preserve"> </w:t>
      </w:r>
      <w:r w:rsidRPr="001A7E01">
        <w:rPr>
          <w:rFonts w:ascii="Times New Roman" w:hAnsi="Times New Roman"/>
          <w:sz w:val="22"/>
          <w:szCs w:val="22"/>
        </w:rPr>
        <w:t>University of Bari Aldo Moro, Department of Chemistry, Bari, 70126, Italy</w:t>
      </w:r>
    </w:p>
    <w:p w14:paraId="11B8F99A" w14:textId="77777777" w:rsidR="001A7E01" w:rsidRPr="001A7E01" w:rsidRDefault="001A7E01" w:rsidP="001A7E01">
      <w:pPr>
        <w:spacing w:after="0"/>
        <w:rPr>
          <w:rFonts w:ascii="Times New Roman" w:hAnsi="Times New Roman"/>
          <w:sz w:val="22"/>
          <w:szCs w:val="22"/>
        </w:rPr>
      </w:pPr>
      <w:r w:rsidRPr="001A7E01">
        <w:rPr>
          <w:rFonts w:ascii="Times New Roman" w:hAnsi="Times New Roman"/>
          <w:sz w:val="22"/>
          <w:szCs w:val="22"/>
          <w:vertAlign w:val="superscript"/>
        </w:rPr>
        <w:t>2</w:t>
      </w:r>
      <w:r w:rsidRPr="001A7E01">
        <w:rPr>
          <w:sz w:val="22"/>
          <w:szCs w:val="22"/>
        </w:rPr>
        <w:t xml:space="preserve"> </w:t>
      </w:r>
      <w:r w:rsidRPr="001A7E01">
        <w:rPr>
          <w:rFonts w:ascii="Times New Roman" w:hAnsi="Times New Roman"/>
          <w:sz w:val="22"/>
          <w:szCs w:val="22"/>
        </w:rPr>
        <w:t>University of Bari Aldo Moro, Interdepartmental Centre “Research Laboratory for Diagnostics of Cultural Heritage”, Bari, 70126, Italy</w:t>
      </w:r>
    </w:p>
    <w:p w14:paraId="4C680F40" w14:textId="044CF14F" w:rsidR="001A7E01" w:rsidRPr="001A7E01" w:rsidRDefault="001A7E01" w:rsidP="001A7E01">
      <w:pPr>
        <w:spacing w:after="0"/>
        <w:rPr>
          <w:rFonts w:ascii="Times New Roman" w:hAnsi="Times New Roman"/>
          <w:sz w:val="22"/>
          <w:szCs w:val="22"/>
        </w:rPr>
      </w:pPr>
      <w:proofErr w:type="gramStart"/>
      <w:r w:rsidRPr="001A7E01">
        <w:rPr>
          <w:rFonts w:ascii="Times New Roman" w:hAnsi="Times New Roman"/>
          <w:sz w:val="22"/>
          <w:szCs w:val="22"/>
          <w:vertAlign w:val="superscript"/>
        </w:rPr>
        <w:t>3</w:t>
      </w:r>
      <w:proofErr w:type="gramEnd"/>
      <w:r w:rsidRPr="001A7E01">
        <w:rPr>
          <w:sz w:val="22"/>
          <w:szCs w:val="22"/>
        </w:rPr>
        <w:t xml:space="preserve"> </w:t>
      </w:r>
      <w:r w:rsidRPr="001A7E01">
        <w:rPr>
          <w:rFonts w:ascii="Times New Roman" w:hAnsi="Times New Roman"/>
          <w:sz w:val="22"/>
          <w:szCs w:val="22"/>
        </w:rPr>
        <w:t>University of Bari Aldo Moro, Department of Economics, Management and Business Law, Bari, 70126, Italy</w:t>
      </w:r>
    </w:p>
    <w:p w14:paraId="290B0EAB" w14:textId="5EFAACC4" w:rsidR="001A7E01" w:rsidRDefault="001A7E01" w:rsidP="001A7E01">
      <w:pPr>
        <w:spacing w:after="0"/>
        <w:rPr>
          <w:rFonts w:ascii="Times New Roman" w:hAnsi="Times New Roman"/>
        </w:rPr>
      </w:pPr>
      <w:r w:rsidRPr="001A7E01">
        <w:rPr>
          <w:rFonts w:ascii="Times New Roman" w:hAnsi="Times New Roman"/>
          <w:sz w:val="22"/>
          <w:szCs w:val="22"/>
          <w:vertAlign w:val="superscript"/>
        </w:rPr>
        <w:t>4</w:t>
      </w:r>
      <w:r w:rsidRPr="001A7E01">
        <w:rPr>
          <w:sz w:val="22"/>
          <w:szCs w:val="22"/>
        </w:rPr>
        <w:t xml:space="preserve"> </w:t>
      </w:r>
      <w:r w:rsidRPr="001A7E01">
        <w:rPr>
          <w:rFonts w:ascii="Times New Roman" w:hAnsi="Times New Roman"/>
          <w:sz w:val="22"/>
          <w:szCs w:val="22"/>
        </w:rPr>
        <w:t xml:space="preserve">Center for colloid and surface science (CSGI), Bari unit, Sesto </w:t>
      </w:r>
      <w:proofErr w:type="spellStart"/>
      <w:r w:rsidRPr="001A7E01">
        <w:rPr>
          <w:rFonts w:ascii="Times New Roman" w:hAnsi="Times New Roman"/>
          <w:sz w:val="22"/>
          <w:szCs w:val="22"/>
        </w:rPr>
        <w:t>Fiorentino</w:t>
      </w:r>
      <w:proofErr w:type="spellEnd"/>
      <w:r w:rsidRPr="001A7E01">
        <w:rPr>
          <w:rFonts w:ascii="Times New Roman" w:hAnsi="Times New Roman"/>
          <w:sz w:val="22"/>
          <w:szCs w:val="22"/>
        </w:rPr>
        <w:t>, 50019, Italy</w:t>
      </w:r>
      <w:r w:rsidRPr="001A7E01">
        <w:rPr>
          <w:rFonts w:ascii="Times New Roman" w:hAnsi="Times New Roman"/>
          <w:sz w:val="22"/>
          <w:szCs w:val="22"/>
        </w:rPr>
        <w:br/>
        <w:t>*</w:t>
      </w:r>
      <w:hyperlink r:id="rId8" w:history="1">
        <w:r w:rsidRPr="001A7E01">
          <w:rPr>
            <w:rStyle w:val="Hyperlink"/>
            <w:rFonts w:ascii="Times New Roman" w:hAnsi="Times New Roman"/>
            <w:sz w:val="22"/>
            <w:szCs w:val="22"/>
          </w:rPr>
          <w:t>luigi.gentile@uniba.it</w:t>
        </w:r>
      </w:hyperlink>
      <w:r w:rsidRPr="00A72940">
        <w:rPr>
          <w:rFonts w:ascii="Times New Roman" w:hAnsi="Times New Roman"/>
        </w:rPr>
        <w:br/>
      </w:r>
    </w:p>
    <w:p w14:paraId="65FA4F1B" w14:textId="77777777" w:rsidR="001A7E01" w:rsidRDefault="001A7E01" w:rsidP="001A7E01">
      <w:pPr>
        <w:pStyle w:val="TESupportingInformation"/>
        <w:spacing w:after="0" w:line="240" w:lineRule="auto"/>
        <w:rPr>
          <w:b/>
          <w:sz w:val="22"/>
          <w:szCs w:val="22"/>
          <w:lang w:val="en-GB"/>
        </w:rPr>
      </w:pPr>
    </w:p>
    <w:p w14:paraId="7EA16405" w14:textId="77777777" w:rsidR="005C7B51" w:rsidRDefault="005C7B51" w:rsidP="001A7E01">
      <w:pPr>
        <w:pStyle w:val="TESupportingInformation"/>
        <w:spacing w:after="0" w:line="240" w:lineRule="auto"/>
        <w:rPr>
          <w:b/>
          <w:sz w:val="22"/>
          <w:szCs w:val="22"/>
          <w:lang w:val="en-GB"/>
        </w:rPr>
      </w:pPr>
    </w:p>
    <w:p w14:paraId="7840CFB0" w14:textId="7112F080" w:rsidR="00E8327F" w:rsidRDefault="00E8327F" w:rsidP="001A7E01">
      <w:pPr>
        <w:pStyle w:val="TESupportingInformation"/>
        <w:spacing w:after="0" w:line="240" w:lineRule="auto"/>
        <w:rPr>
          <w:b/>
          <w:sz w:val="22"/>
          <w:szCs w:val="22"/>
          <w:lang w:val="en-GB"/>
        </w:rPr>
      </w:pPr>
      <w:r w:rsidRPr="001A7E01">
        <w:rPr>
          <w:b/>
          <w:sz w:val="22"/>
          <w:szCs w:val="22"/>
          <w:lang w:val="en-GB"/>
        </w:rPr>
        <w:t>Crystallinity determination from WAXS</w:t>
      </w:r>
    </w:p>
    <w:p w14:paraId="10784E33" w14:textId="77777777" w:rsidR="005C7B51" w:rsidRDefault="005C7B51" w:rsidP="001A7E01">
      <w:pPr>
        <w:pStyle w:val="TESupportingInformation"/>
        <w:spacing w:after="0" w:line="240" w:lineRule="auto"/>
        <w:rPr>
          <w:sz w:val="22"/>
          <w:szCs w:val="22"/>
          <w:lang w:val="en-GB"/>
        </w:rPr>
      </w:pPr>
    </w:p>
    <w:p w14:paraId="696C7BE9" w14:textId="4BC0E45F" w:rsidR="00E8327F" w:rsidRDefault="00E8327F" w:rsidP="001A7E01">
      <w:pPr>
        <w:pStyle w:val="TESupportingInformation"/>
        <w:spacing w:after="0" w:line="240" w:lineRule="auto"/>
        <w:rPr>
          <w:sz w:val="22"/>
          <w:szCs w:val="22"/>
          <w:lang w:val="en-GB"/>
        </w:rPr>
      </w:pPr>
      <w:r w:rsidRPr="001A7E01">
        <w:rPr>
          <w:sz w:val="22"/>
          <w:szCs w:val="22"/>
          <w:lang w:val="en-GB"/>
        </w:rPr>
        <w:t xml:space="preserve">There are several procedures to calculate the crystallinity index by wide-angle X-ray scattering (WAXS) mainly developed for polysaccharide-based fibers </w:t>
      </w:r>
      <w:r w:rsidRPr="001A7E01">
        <w:rPr>
          <w:sz w:val="22"/>
          <w:szCs w:val="22"/>
          <w:lang w:val="en-GB"/>
        </w:rPr>
        <w:fldChar w:fldCharType="begin" w:fldLock="1"/>
      </w:r>
      <w:r w:rsidR="005C7B51">
        <w:rPr>
          <w:sz w:val="22"/>
          <w:szCs w:val="22"/>
          <w:lang w:val="en-GB"/>
        </w:rPr>
        <w:instrText>ADDIN CSL_CITATION {"citationItems":[{"id":"ITEM-1","itemData":{"DOI":"10.1007/s10570-016-0881-6","ISSN":"1572882X","abstract":"Cellulose crystallinity assessment is important for optimizing the yield of cellulose products, such as bioethanol. X-ray diffraction is often used for this purpose for its perceived robustness and availability. In this work, the five most common analysis methods (the Segal peak height method and those based on peak fitting and/or amorphous standards) are critically reviewed and compared to two-dimensional Rietveld refinement. A larger ((Formula presented.)) and more varied collection of samples than previous studies have presented is used. In particular, samples ((Formula presented.)) with low crystallinity and small crystallite sizes are included. A good linear correlation ((Formula presented.)) between the five most common methods suggests that they agree on large-scale crystallinity differences between samples. For small crystallinity differences, however, correlation was not seen for samples that were from distinct sample sets. The least-squares fitting using an amorphous standard shows the smallest crystallite size dependence and this method combined with perpendicular transmission geometry also yielded values closest to independently obtained cellulose crystallinity values. On the other hand, these values are too low according to the Rietveld refinement. All analysis methods have weaknesses that should be considered when assessing differences in sample crystallinity.","author":[{"dropping-particle":"","family":"Ahvenainen","given":"Patrik","non-dropping-particle":"","parse-names":false,"suffix":""},{"dropping-particle":"","family":"Kontro","given":"Inkeri","non-dropping-particle":"","parse-names":false,"suffix":""},{"dropping-particle":"","family":"Svedström","given":"Kirsi","non-dropping-particle":"","parse-names":false,"suffix":""}],"container-title":"Cellulose","id":"ITEM-1","issue":"2","issued":{"date-parts":[["2016","4","1"]]},"page":"1073-1086","publisher":"Springer Netherlands","title":"Comparison of sample crystallinity determination methods by X-ray diffraction for challenging cellulose I materials","type":"article-journal","volume":"23"},"uris":["http://www.mendeley.com/documents/?uuid=13f8f21a-48c4-3979-8f3f-e8cc9f62c5b8"]},{"id":"ITEM-2","itemData":{"DOI":"10.1016/j.carbpol.2017.11.062","ISSN":"01448617","PMID":"29254051","abstract":"Quite recently, the Ioncell-F process, a novel and promising Lyocell fibre process, has been developed. The ionic liquid 1,5-diazabicyclo[4.3.0]non-5-enium acetate ([DBNH]OAc) utilized in this process, was identified as an excellent cellulose solvent for dry-jet wet fibre spinning. Fibres spun from cellulose-[DBNH]OAc solution have shown excellent mechanical properties. Herein, various structural features of these ionic liquid-based fibres were analyzed and correlated with their mechanical properties. The highest slope of tenacity increase of these Ioncell-F fibres (from birch wood) observed at low draw ratios (DRs), while a continuous but slower increase occurs to partly very high draws. The improvements in the mechanical properties do not seem to correlate with changes in the crystallite size or the crystalline orientation based on wide-angle X-ray scattering (WAXS) results. More significant differences were seen for the sample crystallinity, the amorphous orientation (measured by birefringence), the orientation of the voids, the specific surface (measured by small-angle X-ray scattering (SAXS)), and the sorption/desorption properties of the fibres.","author":[{"dropping-particle":"","family":"Asaadi","given":"Shirin","non-dropping-particle":"","parse-names":false,"suffix":""},{"dropping-particle":"","family":"Hummel","given":"Michael","non-dropping-particle":"","parse-names":false,"suffix":""},{"dropping-particle":"","family":"Ahvenainen","given":"Patrik","non-dropping-particle":"","parse-names":false,"suffix":""},{"dropping-particle":"","family":"Gubitosi","given":"Marta","non-dropping-particle":"","parse-names":false,"suffix":""},{"dropping-particle":"","family":"Olsson","given":"Ulf","non-dropping-particle":"","parse-names":false,"suffix":""},{"dropping-particle":"","family":"Sixta","given":"Herbert","non-dropping-particle":"","parse-names":false,"suffix":""}],"container-title":"Carbohydrate Polymers","id":"ITEM-2","issued":{"date-parts":[["2018","2","1"]]},"page":"893-901","publisher":"Elsevier Ltd","title":"Structural analysis of Ioncell-F fibres from birch wood","type":"article-journal","volume":"181"},"uris":["http://www.mendeley.com/documents/?uuid=5bc356d7-efac-381b-82ec-efbad0d06c96"]}],"mendeley":{"formattedCitation":"&lt;sup&gt;1,2&lt;/sup&gt;","plainTextFormattedCitation":"1,2","previouslyFormattedCitation":"(1, 2)"},"properties":{"noteIndex":0},"schema":"https://github.com/citation-style-language/schema/raw/master/csl-citation.json"}</w:instrText>
      </w:r>
      <w:r w:rsidRPr="001A7E01">
        <w:rPr>
          <w:sz w:val="22"/>
          <w:szCs w:val="22"/>
          <w:lang w:val="en-GB"/>
        </w:rPr>
        <w:fldChar w:fldCharType="separate"/>
      </w:r>
      <w:r w:rsidR="005C7B51" w:rsidRPr="005C7B51">
        <w:rPr>
          <w:noProof/>
          <w:sz w:val="22"/>
          <w:szCs w:val="22"/>
          <w:vertAlign w:val="superscript"/>
          <w:lang w:val="en-GB"/>
        </w:rPr>
        <w:t>1,2</w:t>
      </w:r>
      <w:r w:rsidRPr="001A7E01">
        <w:rPr>
          <w:sz w:val="22"/>
          <w:szCs w:val="22"/>
          <w:lang w:val="en-GB"/>
        </w:rPr>
        <w:fldChar w:fldCharType="end"/>
      </w:r>
      <w:r w:rsidRPr="001A7E01">
        <w:rPr>
          <w:sz w:val="22"/>
          <w:szCs w:val="22"/>
          <w:lang w:val="en-GB"/>
        </w:rPr>
        <w:t xml:space="preserve">. The WAXS Gaussian peak fitting without a linear background </w:t>
      </w:r>
      <w:proofErr w:type="gramStart"/>
      <w:r w:rsidRPr="001A7E01">
        <w:rPr>
          <w:sz w:val="22"/>
          <w:szCs w:val="22"/>
          <w:lang w:val="en-GB"/>
        </w:rPr>
        <w:t>was selected</w:t>
      </w:r>
      <w:proofErr w:type="gramEnd"/>
      <w:r w:rsidRPr="001A7E01">
        <w:rPr>
          <w:sz w:val="22"/>
          <w:szCs w:val="22"/>
          <w:lang w:val="en-GB"/>
        </w:rPr>
        <w:t xml:space="preserve"> for this purpose because it leads to more reasonable values of the crystallinity index. </w:t>
      </w:r>
      <w:proofErr w:type="gramStart"/>
      <w:r w:rsidRPr="001A7E01">
        <w:rPr>
          <w:sz w:val="22"/>
          <w:szCs w:val="22"/>
          <w:lang w:val="en-GB"/>
        </w:rPr>
        <w:t>Consequently</w:t>
      </w:r>
      <w:proofErr w:type="gramEnd"/>
      <w:r w:rsidRPr="001A7E01">
        <w:rPr>
          <w:sz w:val="22"/>
          <w:szCs w:val="22"/>
          <w:lang w:val="en-GB"/>
        </w:rPr>
        <w:t xml:space="preserve"> a line-interpolation background subtraction was adopted. To evaluate the change of byssus crystallinity during the stages of </w:t>
      </w:r>
      <w:proofErr w:type="gramStart"/>
      <w:r w:rsidRPr="001A7E01">
        <w:rPr>
          <w:sz w:val="22"/>
          <w:szCs w:val="22"/>
          <w:lang w:val="en-GB"/>
        </w:rPr>
        <w:t>crafting</w:t>
      </w:r>
      <w:proofErr w:type="gramEnd"/>
      <w:r w:rsidRPr="001A7E01">
        <w:rPr>
          <w:sz w:val="22"/>
          <w:szCs w:val="22"/>
          <w:lang w:val="en-GB"/>
        </w:rPr>
        <w:t xml:space="preserve"> the crystallinity index was calculated using eq. 1. </w:t>
      </w:r>
    </w:p>
    <w:p w14:paraId="29D823BD" w14:textId="6874279C" w:rsidR="005C7B51" w:rsidRPr="005C7B51" w:rsidRDefault="005C7B51" w:rsidP="005C7B51">
      <w:pPr>
        <w:rPr>
          <w:lang w:val="en-GB"/>
        </w:rPr>
      </w:pPr>
    </w:p>
    <w:p w14:paraId="01DA85EC" w14:textId="359294D7" w:rsidR="00E8327F" w:rsidRPr="005C7B51" w:rsidRDefault="006F02E9" w:rsidP="001A7E01">
      <w:pPr>
        <w:pStyle w:val="TESupportingInformation"/>
        <w:spacing w:after="0" w:line="240" w:lineRule="auto"/>
        <w:rPr>
          <w:sz w:val="22"/>
          <w:szCs w:val="22"/>
          <w:lang w:val="en-GB"/>
        </w:rPr>
      </w:pPr>
      <m:oMathPara>
        <m:oMath>
          <m:sSub>
            <m:sSubPr>
              <m:ctrlPr>
                <w:rPr>
                  <w:rFonts w:ascii="Cambria Math" w:hAnsi="Cambria Math"/>
                  <w:sz w:val="22"/>
                  <w:szCs w:val="22"/>
                  <w:lang w:val="en-GB"/>
                </w:rPr>
              </m:ctrlPr>
            </m:sSubPr>
            <m:e>
              <m:r>
                <w:rPr>
                  <w:rFonts w:ascii="Cambria Math" w:hAnsi="Cambria Math"/>
                  <w:sz w:val="22"/>
                  <w:szCs w:val="22"/>
                  <w:lang w:val="en-GB"/>
                </w:rPr>
                <m:t>C</m:t>
              </m:r>
            </m:e>
            <m:sub>
              <m:r>
                <w:rPr>
                  <w:rFonts w:ascii="Cambria Math" w:hAnsi="Cambria Math"/>
                  <w:sz w:val="22"/>
                  <w:szCs w:val="22"/>
                  <w:lang w:val="en-GB"/>
                </w:rPr>
                <m:t>i</m:t>
              </m:r>
            </m:sub>
          </m:sSub>
          <m:r>
            <m:rPr>
              <m:sty m:val="p"/>
            </m:rPr>
            <w:rPr>
              <w:rFonts w:ascii="Cambria Math" w:hAnsi="Cambria Math"/>
              <w:sz w:val="22"/>
              <w:szCs w:val="22"/>
              <w:lang w:val="en-GB"/>
            </w:rPr>
            <m:t>=1-</m:t>
          </m:r>
          <m:f>
            <m:fPr>
              <m:ctrlPr>
                <w:rPr>
                  <w:rFonts w:ascii="Cambria Math" w:hAnsi="Cambria Math"/>
                  <w:sz w:val="22"/>
                  <w:szCs w:val="22"/>
                  <w:lang w:val="en-GB"/>
                </w:rPr>
              </m:ctrlPr>
            </m:fPr>
            <m:num>
              <m:nary>
                <m:naryPr>
                  <m:limLoc m:val="subSup"/>
                  <m:ctrlPr>
                    <w:rPr>
                      <w:rFonts w:ascii="Cambria Math" w:hAnsi="Cambria Math"/>
                      <w:sz w:val="22"/>
                      <w:szCs w:val="22"/>
                      <w:lang w:val="en-GB"/>
                    </w:rPr>
                  </m:ctrlPr>
                </m:naryPr>
                <m:sub>
                  <m:sSub>
                    <m:sSubPr>
                      <m:ctrlPr>
                        <w:rPr>
                          <w:rFonts w:ascii="Cambria Math" w:hAnsi="Cambria Math"/>
                          <w:sz w:val="22"/>
                          <w:szCs w:val="22"/>
                          <w:lang w:val="en-GB"/>
                        </w:rPr>
                      </m:ctrlPr>
                    </m:sSubPr>
                    <m:e>
                      <m:r>
                        <m:rPr>
                          <m:sty m:val="p"/>
                        </m:rPr>
                        <w:rPr>
                          <w:rFonts w:ascii="Cambria Math" w:hAnsi="Cambria Math"/>
                          <w:sz w:val="22"/>
                          <w:szCs w:val="22"/>
                          <w:lang w:val="en-GB"/>
                        </w:rPr>
                        <m:t>2</m:t>
                      </m:r>
                      <m:r>
                        <w:rPr>
                          <w:rFonts w:ascii="Cambria Math" w:hAnsi="Cambria Math"/>
                          <w:sz w:val="22"/>
                          <w:szCs w:val="22"/>
                          <w:lang w:val="en-GB"/>
                        </w:rPr>
                        <m:t>θ</m:t>
                      </m:r>
                    </m:e>
                    <m:sub>
                      <m:r>
                        <m:rPr>
                          <m:sty m:val="p"/>
                        </m:rPr>
                        <w:rPr>
                          <w:rFonts w:ascii="Cambria Math" w:hAnsi="Cambria Math"/>
                          <w:sz w:val="22"/>
                          <w:szCs w:val="22"/>
                          <w:lang w:val="en-GB"/>
                        </w:rPr>
                        <m:t>1</m:t>
                      </m:r>
                    </m:sub>
                  </m:sSub>
                </m:sub>
                <m:sup>
                  <m:sSub>
                    <m:sSubPr>
                      <m:ctrlPr>
                        <w:rPr>
                          <w:rFonts w:ascii="Cambria Math" w:hAnsi="Cambria Math"/>
                          <w:sz w:val="22"/>
                          <w:szCs w:val="22"/>
                          <w:lang w:val="en-GB"/>
                        </w:rPr>
                      </m:ctrlPr>
                    </m:sSubPr>
                    <m:e>
                      <m:r>
                        <m:rPr>
                          <m:sty m:val="p"/>
                        </m:rPr>
                        <w:rPr>
                          <w:rFonts w:ascii="Cambria Math" w:hAnsi="Cambria Math"/>
                          <w:sz w:val="22"/>
                          <w:szCs w:val="22"/>
                          <w:lang w:val="en-GB"/>
                        </w:rPr>
                        <m:t>2</m:t>
                      </m:r>
                      <m:r>
                        <w:rPr>
                          <w:rFonts w:ascii="Cambria Math" w:hAnsi="Cambria Math"/>
                          <w:sz w:val="22"/>
                          <w:szCs w:val="22"/>
                          <w:lang w:val="en-GB"/>
                        </w:rPr>
                        <m:t>θ</m:t>
                      </m:r>
                    </m:e>
                    <m:sub>
                      <m:r>
                        <m:rPr>
                          <m:sty m:val="p"/>
                        </m:rPr>
                        <w:rPr>
                          <w:rFonts w:ascii="Cambria Math" w:hAnsi="Cambria Math"/>
                          <w:sz w:val="22"/>
                          <w:szCs w:val="22"/>
                          <w:lang w:val="en-GB"/>
                        </w:rPr>
                        <m:t>2</m:t>
                      </m:r>
                    </m:sub>
                  </m:sSub>
                </m:sup>
                <m:e>
                  <m:sSub>
                    <m:sSubPr>
                      <m:ctrlPr>
                        <w:rPr>
                          <w:rFonts w:ascii="Cambria Math" w:hAnsi="Cambria Math"/>
                          <w:sz w:val="22"/>
                          <w:szCs w:val="22"/>
                          <w:lang w:val="en-GB"/>
                        </w:rPr>
                      </m:ctrlPr>
                    </m:sSubPr>
                    <m:e>
                      <m:r>
                        <w:rPr>
                          <w:rFonts w:ascii="Cambria Math" w:hAnsi="Cambria Math"/>
                          <w:sz w:val="22"/>
                          <w:szCs w:val="22"/>
                          <w:lang w:val="en-GB"/>
                        </w:rPr>
                        <m:t>I</m:t>
                      </m:r>
                    </m:e>
                    <m:sub>
                      <m:r>
                        <w:rPr>
                          <w:rFonts w:ascii="Cambria Math" w:hAnsi="Cambria Math"/>
                          <w:sz w:val="22"/>
                          <w:szCs w:val="22"/>
                          <w:lang w:val="en-GB"/>
                        </w:rPr>
                        <m:t>am</m:t>
                      </m:r>
                    </m:sub>
                  </m:sSub>
                  <m:r>
                    <w:rPr>
                      <w:rFonts w:ascii="Cambria Math" w:hAnsi="Cambria Math"/>
                      <w:sz w:val="22"/>
                      <w:szCs w:val="22"/>
                      <w:lang w:val="en-GB"/>
                    </w:rPr>
                    <m:t>d</m:t>
                  </m:r>
                  <m:r>
                    <m:rPr>
                      <m:sty m:val="p"/>
                    </m:rPr>
                    <w:rPr>
                      <w:rFonts w:ascii="Cambria Math" w:hAnsi="Cambria Math"/>
                      <w:sz w:val="22"/>
                      <w:szCs w:val="22"/>
                      <w:lang w:val="en-GB"/>
                    </w:rPr>
                    <m:t>2</m:t>
                  </m:r>
                  <m:r>
                    <w:rPr>
                      <w:rFonts w:ascii="Cambria Math" w:hAnsi="Cambria Math"/>
                      <w:sz w:val="22"/>
                      <w:szCs w:val="22"/>
                      <w:lang w:val="en-GB"/>
                    </w:rPr>
                    <m:t>θ</m:t>
                  </m:r>
                </m:e>
              </m:nary>
            </m:num>
            <m:den>
              <m:nary>
                <m:naryPr>
                  <m:limLoc m:val="subSup"/>
                  <m:ctrlPr>
                    <w:rPr>
                      <w:rFonts w:ascii="Cambria Math" w:hAnsi="Cambria Math"/>
                      <w:sz w:val="22"/>
                      <w:szCs w:val="22"/>
                      <w:lang w:val="en-GB"/>
                    </w:rPr>
                  </m:ctrlPr>
                </m:naryPr>
                <m:sub>
                  <m:sSub>
                    <m:sSubPr>
                      <m:ctrlPr>
                        <w:rPr>
                          <w:rFonts w:ascii="Cambria Math" w:hAnsi="Cambria Math"/>
                          <w:sz w:val="22"/>
                          <w:szCs w:val="22"/>
                          <w:lang w:val="en-GB"/>
                        </w:rPr>
                      </m:ctrlPr>
                    </m:sSubPr>
                    <m:e>
                      <m:r>
                        <m:rPr>
                          <m:sty m:val="p"/>
                        </m:rPr>
                        <w:rPr>
                          <w:rFonts w:ascii="Cambria Math" w:hAnsi="Cambria Math"/>
                          <w:sz w:val="22"/>
                          <w:szCs w:val="22"/>
                          <w:lang w:val="en-GB"/>
                        </w:rPr>
                        <m:t>2</m:t>
                      </m:r>
                      <m:r>
                        <w:rPr>
                          <w:rFonts w:ascii="Cambria Math" w:hAnsi="Cambria Math"/>
                          <w:sz w:val="22"/>
                          <w:szCs w:val="22"/>
                          <w:lang w:val="en-GB"/>
                        </w:rPr>
                        <m:t>θ</m:t>
                      </m:r>
                    </m:e>
                    <m:sub>
                      <m:r>
                        <m:rPr>
                          <m:sty m:val="p"/>
                        </m:rPr>
                        <w:rPr>
                          <w:rFonts w:ascii="Cambria Math" w:hAnsi="Cambria Math"/>
                          <w:sz w:val="22"/>
                          <w:szCs w:val="22"/>
                          <w:lang w:val="en-GB"/>
                        </w:rPr>
                        <m:t>1</m:t>
                      </m:r>
                    </m:sub>
                  </m:sSub>
                </m:sub>
                <m:sup>
                  <m:sSub>
                    <m:sSubPr>
                      <m:ctrlPr>
                        <w:rPr>
                          <w:rFonts w:ascii="Cambria Math" w:hAnsi="Cambria Math"/>
                          <w:sz w:val="22"/>
                          <w:szCs w:val="22"/>
                          <w:lang w:val="en-GB"/>
                        </w:rPr>
                      </m:ctrlPr>
                    </m:sSubPr>
                    <m:e>
                      <m:r>
                        <m:rPr>
                          <m:sty m:val="p"/>
                        </m:rPr>
                        <w:rPr>
                          <w:rFonts w:ascii="Cambria Math" w:hAnsi="Cambria Math"/>
                          <w:sz w:val="22"/>
                          <w:szCs w:val="22"/>
                          <w:lang w:val="en-GB"/>
                        </w:rPr>
                        <m:t>2</m:t>
                      </m:r>
                      <m:r>
                        <w:rPr>
                          <w:rFonts w:ascii="Cambria Math" w:hAnsi="Cambria Math"/>
                          <w:sz w:val="22"/>
                          <w:szCs w:val="22"/>
                          <w:lang w:val="en-GB"/>
                        </w:rPr>
                        <m:t>θ</m:t>
                      </m:r>
                    </m:e>
                    <m:sub>
                      <m:r>
                        <m:rPr>
                          <m:sty m:val="p"/>
                        </m:rPr>
                        <w:rPr>
                          <w:rFonts w:ascii="Cambria Math" w:hAnsi="Cambria Math"/>
                          <w:sz w:val="22"/>
                          <w:szCs w:val="22"/>
                          <w:lang w:val="en-GB"/>
                        </w:rPr>
                        <m:t>2</m:t>
                      </m:r>
                    </m:sub>
                  </m:sSub>
                </m:sup>
                <m:e>
                  <m:sSub>
                    <m:sSubPr>
                      <m:ctrlPr>
                        <w:rPr>
                          <w:rFonts w:ascii="Cambria Math" w:hAnsi="Cambria Math"/>
                          <w:sz w:val="22"/>
                          <w:szCs w:val="22"/>
                          <w:lang w:val="en-GB"/>
                        </w:rPr>
                      </m:ctrlPr>
                    </m:sSubPr>
                    <m:e>
                      <m:r>
                        <w:rPr>
                          <w:rFonts w:ascii="Cambria Math" w:hAnsi="Cambria Math"/>
                          <w:sz w:val="22"/>
                          <w:szCs w:val="22"/>
                          <w:lang w:val="en-GB"/>
                        </w:rPr>
                        <m:t>I</m:t>
                      </m:r>
                    </m:e>
                    <m:sub>
                      <m:r>
                        <w:rPr>
                          <w:rFonts w:ascii="Cambria Math" w:hAnsi="Cambria Math"/>
                          <w:sz w:val="22"/>
                          <w:szCs w:val="22"/>
                          <w:lang w:val="en-GB"/>
                        </w:rPr>
                        <m:t>TOT</m:t>
                      </m:r>
                    </m:sub>
                  </m:sSub>
                  <m:r>
                    <w:rPr>
                      <w:rFonts w:ascii="Cambria Math" w:hAnsi="Cambria Math"/>
                      <w:sz w:val="22"/>
                      <w:szCs w:val="22"/>
                      <w:lang w:val="en-GB"/>
                    </w:rPr>
                    <m:t>d</m:t>
                  </m:r>
                  <m:r>
                    <m:rPr>
                      <m:sty m:val="p"/>
                    </m:rPr>
                    <w:rPr>
                      <w:rFonts w:ascii="Cambria Math" w:hAnsi="Cambria Math"/>
                      <w:sz w:val="22"/>
                      <w:szCs w:val="22"/>
                      <w:lang w:val="en-GB"/>
                    </w:rPr>
                    <m:t>2</m:t>
                  </m:r>
                  <m:r>
                    <w:rPr>
                      <w:rFonts w:ascii="Cambria Math" w:hAnsi="Cambria Math"/>
                      <w:sz w:val="22"/>
                      <w:szCs w:val="22"/>
                      <w:lang w:val="en-GB"/>
                    </w:rPr>
                    <m:t>θ</m:t>
                  </m:r>
                </m:e>
              </m:nary>
            </m:den>
          </m:f>
          <m:r>
            <m:rPr>
              <m:sty m:val="p"/>
            </m:rPr>
            <w:rPr>
              <w:rFonts w:ascii="Cambria Math" w:hAnsi="Cambria Math"/>
              <w:sz w:val="22"/>
              <w:szCs w:val="22"/>
              <w:lang w:val="en-GB"/>
            </w:rPr>
            <m:t>=1-</m:t>
          </m:r>
          <m:f>
            <m:fPr>
              <m:ctrlPr>
                <w:rPr>
                  <w:rFonts w:ascii="Cambria Math" w:hAnsi="Cambria Math"/>
                  <w:sz w:val="22"/>
                  <w:szCs w:val="22"/>
                  <w:lang w:val="en-GB"/>
                </w:rPr>
              </m:ctrlPr>
            </m:fPr>
            <m:num>
              <m:sSub>
                <m:sSubPr>
                  <m:ctrlPr>
                    <w:rPr>
                      <w:rFonts w:ascii="Cambria Math" w:hAnsi="Cambria Math"/>
                      <w:sz w:val="22"/>
                      <w:szCs w:val="22"/>
                      <w:lang w:val="en-GB"/>
                    </w:rPr>
                  </m:ctrlPr>
                </m:sSubPr>
                <m:e>
                  <m:r>
                    <w:rPr>
                      <w:rFonts w:ascii="Cambria Math" w:hAnsi="Cambria Math"/>
                      <w:sz w:val="22"/>
                      <w:szCs w:val="22"/>
                      <w:lang w:val="en-GB"/>
                    </w:rPr>
                    <m:t>A</m:t>
                  </m:r>
                </m:e>
                <m:sub>
                  <m:r>
                    <w:rPr>
                      <w:rFonts w:ascii="Cambria Math" w:hAnsi="Cambria Math"/>
                      <w:sz w:val="22"/>
                      <w:szCs w:val="22"/>
                      <w:lang w:val="en-GB"/>
                    </w:rPr>
                    <m:t>am</m:t>
                  </m:r>
                </m:sub>
              </m:sSub>
            </m:num>
            <m:den>
              <m:sSub>
                <m:sSubPr>
                  <m:ctrlPr>
                    <w:rPr>
                      <w:rFonts w:ascii="Cambria Math" w:hAnsi="Cambria Math"/>
                      <w:sz w:val="22"/>
                      <w:szCs w:val="22"/>
                      <w:lang w:val="en-GB"/>
                    </w:rPr>
                  </m:ctrlPr>
                </m:sSubPr>
                <m:e>
                  <m:r>
                    <w:rPr>
                      <w:rFonts w:ascii="Cambria Math" w:hAnsi="Cambria Math"/>
                      <w:sz w:val="22"/>
                      <w:szCs w:val="22"/>
                      <w:lang w:val="en-GB"/>
                    </w:rPr>
                    <m:t>A</m:t>
                  </m:r>
                </m:e>
                <m:sub>
                  <m:r>
                    <w:rPr>
                      <w:rFonts w:ascii="Cambria Math" w:hAnsi="Cambria Math"/>
                      <w:sz w:val="22"/>
                      <w:szCs w:val="22"/>
                      <w:lang w:val="en-GB"/>
                    </w:rPr>
                    <m:t>TOT</m:t>
                  </m:r>
                </m:sub>
              </m:sSub>
            </m:den>
          </m:f>
          <m:r>
            <m:rPr>
              <m:sty m:val="p"/>
            </m:rPr>
            <w:rPr>
              <w:rFonts w:ascii="Cambria Math" w:hAnsi="Cambria Math"/>
              <w:sz w:val="22"/>
              <w:szCs w:val="22"/>
              <w:lang w:val="en-GB"/>
            </w:rPr>
            <m:t xml:space="preserve">              (</m:t>
          </m:r>
          <m:r>
            <w:rPr>
              <w:rFonts w:ascii="Cambria Math" w:hAnsi="Cambria Math"/>
              <w:sz w:val="22"/>
              <w:szCs w:val="22"/>
              <w:lang w:val="en-GB"/>
            </w:rPr>
            <m:t>eq</m:t>
          </m:r>
          <m:r>
            <m:rPr>
              <m:sty m:val="p"/>
            </m:rPr>
            <w:rPr>
              <w:rFonts w:ascii="Cambria Math" w:hAnsi="Cambria Math"/>
              <w:sz w:val="22"/>
              <w:szCs w:val="22"/>
              <w:lang w:val="en-GB"/>
            </w:rPr>
            <m:t>.1)</m:t>
          </m:r>
        </m:oMath>
      </m:oMathPara>
    </w:p>
    <w:p w14:paraId="5364D3FF" w14:textId="77777777" w:rsidR="005C7B51" w:rsidRPr="005C7B51" w:rsidRDefault="005C7B51" w:rsidP="005C7B51">
      <w:pPr>
        <w:rPr>
          <w:lang w:val="en-GB"/>
        </w:rPr>
      </w:pPr>
    </w:p>
    <w:p w14:paraId="37504DE8" w14:textId="5F1D82BB" w:rsidR="00E8327F" w:rsidRPr="001A7E01" w:rsidRDefault="00E8327F" w:rsidP="001A7E01">
      <w:pPr>
        <w:pStyle w:val="TESupportingInformation"/>
        <w:spacing w:after="0" w:line="240" w:lineRule="auto"/>
        <w:rPr>
          <w:sz w:val="22"/>
          <w:szCs w:val="22"/>
          <w:lang w:val="en-GB"/>
        </w:rPr>
      </w:pPr>
      <w:r w:rsidRPr="001A7E01">
        <w:rPr>
          <w:sz w:val="22"/>
          <w:szCs w:val="22"/>
          <w:lang w:val="en-GB"/>
        </w:rPr>
        <w:t xml:space="preserve">where </w:t>
      </w:r>
      <w:proofErr w:type="spellStart"/>
      <w:r w:rsidRPr="001A7E01">
        <w:rPr>
          <w:i/>
          <w:sz w:val="22"/>
          <w:szCs w:val="22"/>
          <w:lang w:val="en-GB"/>
        </w:rPr>
        <w:t>I</w:t>
      </w:r>
      <w:r w:rsidRPr="001A7E01">
        <w:rPr>
          <w:i/>
          <w:sz w:val="22"/>
          <w:szCs w:val="22"/>
          <w:vertAlign w:val="subscript"/>
          <w:lang w:val="en-GB"/>
        </w:rPr>
        <w:t>am</w:t>
      </w:r>
      <w:proofErr w:type="spellEnd"/>
      <w:r w:rsidRPr="001A7E01">
        <w:rPr>
          <w:sz w:val="22"/>
          <w:szCs w:val="22"/>
          <w:lang w:val="en-GB"/>
        </w:rPr>
        <w:t xml:space="preserve"> is the intensity of the fitted amorphous halo and </w:t>
      </w:r>
      <w:proofErr w:type="spellStart"/>
      <w:r w:rsidRPr="001A7E01">
        <w:rPr>
          <w:i/>
          <w:sz w:val="22"/>
          <w:szCs w:val="22"/>
          <w:lang w:val="en-GB"/>
        </w:rPr>
        <w:t>I</w:t>
      </w:r>
      <w:r w:rsidRPr="001A7E01">
        <w:rPr>
          <w:i/>
          <w:sz w:val="22"/>
          <w:szCs w:val="22"/>
          <w:vertAlign w:val="subscript"/>
          <w:lang w:val="en-GB"/>
        </w:rPr>
        <w:t>tot</w:t>
      </w:r>
      <w:proofErr w:type="spellEnd"/>
      <w:r w:rsidRPr="001A7E01">
        <w:rPr>
          <w:i/>
          <w:sz w:val="22"/>
          <w:szCs w:val="22"/>
          <w:lang w:val="en-GB"/>
        </w:rPr>
        <w:t xml:space="preserve"> </w:t>
      </w:r>
      <w:r w:rsidRPr="001A7E01">
        <w:rPr>
          <w:sz w:val="22"/>
          <w:szCs w:val="22"/>
          <w:lang w:val="en-GB"/>
        </w:rPr>
        <w:t>is the total scattering intensity of the sample, including both amorphous and crys</w:t>
      </w:r>
      <w:r w:rsidR="00D9096C" w:rsidRPr="001A7E01">
        <w:rPr>
          <w:sz w:val="22"/>
          <w:szCs w:val="22"/>
          <w:lang w:val="en-GB"/>
        </w:rPr>
        <w:t>talline contributions</w:t>
      </w:r>
      <w:r w:rsidR="00C5502C" w:rsidRPr="001A7E01">
        <w:rPr>
          <w:sz w:val="22"/>
          <w:szCs w:val="22"/>
          <w:lang w:val="en-GB"/>
        </w:rPr>
        <w:t xml:space="preserve"> including includes a larger scattering angle region between </w:t>
      </w:r>
      <m:oMath>
        <m:sSub>
          <m:sSubPr>
            <m:ctrlPr>
              <w:rPr>
                <w:rFonts w:ascii="Cambria Math" w:hAnsi="Cambria Math"/>
                <w:sz w:val="22"/>
                <w:szCs w:val="22"/>
                <w:lang w:val="en-GB"/>
              </w:rPr>
            </m:ctrlPr>
          </m:sSubPr>
          <m:e>
            <m:r>
              <m:rPr>
                <m:sty m:val="p"/>
              </m:rPr>
              <w:rPr>
                <w:rFonts w:ascii="Cambria Math" w:hAnsi="Cambria Math"/>
                <w:sz w:val="22"/>
                <w:szCs w:val="22"/>
                <w:lang w:val="en-GB"/>
              </w:rPr>
              <m:t>2</m:t>
            </m:r>
            <m:r>
              <w:rPr>
                <w:rFonts w:ascii="Cambria Math" w:hAnsi="Cambria Math"/>
                <w:sz w:val="22"/>
                <w:szCs w:val="22"/>
                <w:lang w:val="en-GB"/>
              </w:rPr>
              <m:t>θ</m:t>
            </m:r>
          </m:e>
          <m:sub>
            <m:r>
              <m:rPr>
                <m:sty m:val="p"/>
              </m:rPr>
              <w:rPr>
                <w:rFonts w:ascii="Cambria Math" w:hAnsi="Cambria Math"/>
                <w:sz w:val="22"/>
                <w:szCs w:val="22"/>
                <w:lang w:val="en-GB"/>
              </w:rPr>
              <m:t>1</m:t>
            </m:r>
          </m:sub>
        </m:sSub>
      </m:oMath>
      <w:r w:rsidR="00C5502C" w:rsidRPr="001A7E01">
        <w:rPr>
          <w:sz w:val="22"/>
          <w:szCs w:val="22"/>
          <w:lang w:val="en-GB"/>
        </w:rPr>
        <w:t xml:space="preserve">= 5.6° and </w:t>
      </w:r>
      <m:oMath>
        <m:sSub>
          <m:sSubPr>
            <m:ctrlPr>
              <w:rPr>
                <w:rFonts w:ascii="Cambria Math" w:hAnsi="Cambria Math"/>
                <w:sz w:val="22"/>
                <w:szCs w:val="22"/>
                <w:lang w:val="en-GB"/>
              </w:rPr>
            </m:ctrlPr>
          </m:sSubPr>
          <m:e>
            <m:r>
              <m:rPr>
                <m:sty m:val="p"/>
              </m:rPr>
              <w:rPr>
                <w:rFonts w:ascii="Cambria Math" w:hAnsi="Cambria Math"/>
                <w:sz w:val="22"/>
                <w:szCs w:val="22"/>
                <w:lang w:val="en-GB"/>
              </w:rPr>
              <m:t>2</m:t>
            </m:r>
            <m:r>
              <w:rPr>
                <w:rFonts w:ascii="Cambria Math" w:hAnsi="Cambria Math"/>
                <w:sz w:val="22"/>
                <w:szCs w:val="22"/>
                <w:lang w:val="en-GB"/>
              </w:rPr>
              <m:t>θ</m:t>
            </m:r>
          </m:e>
          <m:sub>
            <m:r>
              <m:rPr>
                <m:sty m:val="p"/>
              </m:rPr>
              <w:rPr>
                <w:rFonts w:ascii="Cambria Math" w:hAnsi="Cambria Math"/>
                <w:sz w:val="22"/>
                <w:szCs w:val="22"/>
                <w:lang w:val="en-GB"/>
              </w:rPr>
              <m:t>2</m:t>
            </m:r>
          </m:sub>
        </m:sSub>
      </m:oMath>
      <w:r w:rsidR="00C5502C" w:rsidRPr="001A7E01">
        <w:rPr>
          <w:sz w:val="22"/>
          <w:szCs w:val="22"/>
          <w:lang w:val="en-GB"/>
        </w:rPr>
        <w:t xml:space="preserve"> = 30.7°</w:t>
      </w:r>
      <w:r w:rsidR="00840636" w:rsidRPr="001A7E01">
        <w:rPr>
          <w:sz w:val="22"/>
          <w:szCs w:val="22"/>
          <w:lang w:val="en-GB"/>
        </w:rPr>
        <w:t>. Figure S1</w:t>
      </w:r>
      <w:r w:rsidRPr="001A7E01">
        <w:rPr>
          <w:sz w:val="22"/>
          <w:szCs w:val="22"/>
          <w:lang w:val="en-GB"/>
        </w:rPr>
        <w:t xml:space="preserve"> reports the background subtraction and the </w:t>
      </w:r>
      <w:proofErr w:type="spellStart"/>
      <w:r w:rsidRPr="001A7E01">
        <w:rPr>
          <w:sz w:val="22"/>
          <w:szCs w:val="22"/>
          <w:lang w:val="en-GB"/>
        </w:rPr>
        <w:t>Guassian</w:t>
      </w:r>
      <w:proofErr w:type="spellEnd"/>
      <w:r w:rsidRPr="001A7E01">
        <w:rPr>
          <w:sz w:val="22"/>
          <w:szCs w:val="22"/>
          <w:lang w:val="en-GB"/>
        </w:rPr>
        <w:t xml:space="preserve"> peak fitting for the raw byssus at the first stage of </w:t>
      </w:r>
      <w:proofErr w:type="gramStart"/>
      <w:r w:rsidRPr="001A7E01">
        <w:rPr>
          <w:sz w:val="22"/>
          <w:szCs w:val="22"/>
          <w:lang w:val="en-GB"/>
        </w:rPr>
        <w:t>crafting</w:t>
      </w:r>
      <w:proofErr w:type="gramEnd"/>
      <w:r w:rsidRPr="001A7E01">
        <w:rPr>
          <w:sz w:val="22"/>
          <w:szCs w:val="22"/>
          <w:lang w:val="en-GB"/>
        </w:rPr>
        <w:t xml:space="preserve"> (sample 1). The wider and more intense peak is the amorphous peak located at 1.39 Å</w:t>
      </w:r>
      <w:r w:rsidRPr="001A7E01">
        <w:rPr>
          <w:sz w:val="22"/>
          <w:szCs w:val="22"/>
          <w:vertAlign w:val="superscript"/>
          <w:lang w:val="en-GB"/>
        </w:rPr>
        <w:t>-</w:t>
      </w:r>
      <w:bookmarkStart w:id="2" w:name="_GoBack"/>
      <w:bookmarkEnd w:id="2"/>
      <w:r w:rsidRPr="001A7E01">
        <w:rPr>
          <w:sz w:val="22"/>
          <w:szCs w:val="22"/>
          <w:vertAlign w:val="superscript"/>
          <w:lang w:val="en-GB"/>
        </w:rPr>
        <w:t>1</w:t>
      </w:r>
      <w:r w:rsidRPr="001A7E01">
        <w:rPr>
          <w:sz w:val="22"/>
          <w:szCs w:val="22"/>
          <w:lang w:val="en-GB"/>
        </w:rPr>
        <w:t>.</w:t>
      </w:r>
    </w:p>
    <w:p w14:paraId="1EC98657" w14:textId="77777777" w:rsidR="00E8327F" w:rsidRPr="001A7E01" w:rsidRDefault="00E8327F" w:rsidP="001A7E01">
      <w:pPr>
        <w:pStyle w:val="TESupportingInformation"/>
        <w:spacing w:after="0" w:line="240" w:lineRule="auto"/>
        <w:jc w:val="center"/>
        <w:rPr>
          <w:sz w:val="22"/>
          <w:szCs w:val="22"/>
          <w:lang w:val="en-GB"/>
        </w:rPr>
      </w:pPr>
      <w:r w:rsidRPr="001A7E01">
        <w:rPr>
          <w:noProof/>
          <w:sz w:val="22"/>
          <w:szCs w:val="22"/>
          <w:lang w:val="en-GB" w:eastAsia="en-GB"/>
        </w:rPr>
        <w:lastRenderedPageBreak/>
        <w:drawing>
          <wp:inline distT="0" distB="0" distL="0" distR="0" wp14:anchorId="18715BF2" wp14:editId="271E2E94">
            <wp:extent cx="2533650" cy="3574972"/>
            <wp:effectExtent l="0" t="0" r="0" b="698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44.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37840" cy="3580884"/>
                    </a:xfrm>
                    <a:prstGeom prst="rect">
                      <a:avLst/>
                    </a:prstGeom>
                  </pic:spPr>
                </pic:pic>
              </a:graphicData>
            </a:graphic>
          </wp:inline>
        </w:drawing>
      </w:r>
    </w:p>
    <w:p w14:paraId="343385E8" w14:textId="4D8B291E" w:rsidR="00E8327F" w:rsidRPr="001A7E01" w:rsidRDefault="00840636" w:rsidP="001A7E01">
      <w:pPr>
        <w:pStyle w:val="VAFigureCaption"/>
        <w:spacing w:after="0" w:line="240" w:lineRule="auto"/>
        <w:rPr>
          <w:sz w:val="22"/>
          <w:szCs w:val="22"/>
          <w:lang w:val="en-GB"/>
        </w:rPr>
      </w:pPr>
      <w:r w:rsidRPr="001A7E01">
        <w:rPr>
          <w:b/>
          <w:sz w:val="22"/>
          <w:szCs w:val="22"/>
          <w:lang w:val="en-GB"/>
        </w:rPr>
        <w:t>Figure S1</w:t>
      </w:r>
      <w:r w:rsidR="00E8327F" w:rsidRPr="001A7E01">
        <w:rPr>
          <w:sz w:val="22"/>
          <w:szCs w:val="22"/>
          <w:lang w:val="en-GB"/>
        </w:rPr>
        <w:t xml:space="preserve">. Background subtraction and Gaussian peak fitting of the 1D profiles obtained upon 0-to-360° (Azimuthal averaged) for the raw byssus (sample 1). </w:t>
      </w:r>
    </w:p>
    <w:p w14:paraId="64BA39D3" w14:textId="77777777" w:rsidR="001A7E01" w:rsidRDefault="001A7E01" w:rsidP="001A7E01">
      <w:pPr>
        <w:pStyle w:val="TESupportingInformation"/>
        <w:spacing w:after="0" w:line="240" w:lineRule="auto"/>
        <w:rPr>
          <w:sz w:val="22"/>
          <w:szCs w:val="22"/>
          <w:lang w:val="en-GB"/>
        </w:rPr>
      </w:pPr>
    </w:p>
    <w:p w14:paraId="4A0C1174" w14:textId="77777777" w:rsidR="001A7E01" w:rsidRDefault="001A7E01" w:rsidP="001A7E01">
      <w:pPr>
        <w:pStyle w:val="TESupportingInformation"/>
        <w:spacing w:after="0" w:line="240" w:lineRule="auto"/>
        <w:rPr>
          <w:sz w:val="22"/>
          <w:szCs w:val="22"/>
          <w:lang w:val="en-GB"/>
        </w:rPr>
      </w:pPr>
    </w:p>
    <w:p w14:paraId="6EDB678A" w14:textId="77777777" w:rsidR="001A7E01" w:rsidRDefault="001A7E01" w:rsidP="001A7E01">
      <w:pPr>
        <w:pStyle w:val="TESupportingInformation"/>
        <w:spacing w:after="0" w:line="240" w:lineRule="auto"/>
        <w:rPr>
          <w:sz w:val="22"/>
          <w:szCs w:val="22"/>
          <w:lang w:val="en-GB"/>
        </w:rPr>
      </w:pPr>
    </w:p>
    <w:p w14:paraId="4FB86164" w14:textId="77777777" w:rsidR="001A7E01" w:rsidRDefault="001A7E01" w:rsidP="001A7E01">
      <w:pPr>
        <w:pStyle w:val="TESupportingInformation"/>
        <w:spacing w:after="0" w:line="240" w:lineRule="auto"/>
        <w:rPr>
          <w:sz w:val="22"/>
          <w:szCs w:val="22"/>
          <w:lang w:val="en-GB"/>
        </w:rPr>
      </w:pPr>
    </w:p>
    <w:p w14:paraId="37A4E801" w14:textId="36246CC3" w:rsidR="00E8327F" w:rsidRDefault="00E8327F" w:rsidP="001A7E01">
      <w:pPr>
        <w:pStyle w:val="TESupportingInformation"/>
        <w:spacing w:after="0" w:line="240" w:lineRule="auto"/>
        <w:rPr>
          <w:sz w:val="22"/>
          <w:szCs w:val="22"/>
          <w:lang w:val="en-GB"/>
        </w:rPr>
      </w:pPr>
      <w:r w:rsidRPr="001A7E01">
        <w:rPr>
          <w:sz w:val="22"/>
          <w:szCs w:val="22"/>
          <w:lang w:val="en-GB"/>
        </w:rPr>
        <w:t>The Gaussian fitting of the byssus treated after a lemon bath (sa</w:t>
      </w:r>
      <w:r w:rsidR="00840636" w:rsidRPr="001A7E01">
        <w:rPr>
          <w:sz w:val="22"/>
          <w:szCs w:val="22"/>
          <w:lang w:val="en-GB"/>
        </w:rPr>
        <w:t xml:space="preserve">mple 9) </w:t>
      </w:r>
      <w:proofErr w:type="gramStart"/>
      <w:r w:rsidR="00840636" w:rsidRPr="001A7E01">
        <w:rPr>
          <w:sz w:val="22"/>
          <w:szCs w:val="22"/>
          <w:lang w:val="en-GB"/>
        </w:rPr>
        <w:t>is reported</w:t>
      </w:r>
      <w:proofErr w:type="gramEnd"/>
      <w:r w:rsidR="00840636" w:rsidRPr="001A7E01">
        <w:rPr>
          <w:sz w:val="22"/>
          <w:szCs w:val="22"/>
          <w:lang w:val="en-GB"/>
        </w:rPr>
        <w:t xml:space="preserve"> in Figure S2</w:t>
      </w:r>
      <w:r w:rsidRPr="001A7E01">
        <w:rPr>
          <w:sz w:val="22"/>
          <w:szCs w:val="22"/>
          <w:lang w:val="en-GB"/>
        </w:rPr>
        <w:t xml:space="preserve"> in which the amorphous halo is located at 1.37 Å-1. In this case, the background subtraction is simple linear subtraction.  </w:t>
      </w:r>
    </w:p>
    <w:p w14:paraId="2E6D3521" w14:textId="77777777" w:rsidR="005C7B51" w:rsidRPr="005C7B51" w:rsidRDefault="005C7B51" w:rsidP="005C7B51">
      <w:pPr>
        <w:rPr>
          <w:lang w:val="en-GB"/>
        </w:rPr>
      </w:pPr>
    </w:p>
    <w:p w14:paraId="4C653638" w14:textId="77777777" w:rsidR="00E8327F" w:rsidRPr="001A7E01" w:rsidRDefault="00E8327F" w:rsidP="001A7E01">
      <w:pPr>
        <w:pStyle w:val="TESupportingInformation"/>
        <w:spacing w:after="0" w:line="240" w:lineRule="auto"/>
        <w:jc w:val="center"/>
        <w:rPr>
          <w:sz w:val="22"/>
          <w:szCs w:val="22"/>
          <w:lang w:val="en-GB"/>
        </w:rPr>
      </w:pPr>
      <w:r w:rsidRPr="001A7E01">
        <w:rPr>
          <w:noProof/>
          <w:sz w:val="22"/>
          <w:szCs w:val="22"/>
          <w:lang w:val="en-GB" w:eastAsia="en-GB"/>
        </w:rPr>
        <w:drawing>
          <wp:inline distT="0" distB="0" distL="0" distR="0" wp14:anchorId="08C74498" wp14:editId="11751B63">
            <wp:extent cx="2790825" cy="1999494"/>
            <wp:effectExtent l="0" t="0" r="0" b="127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11.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96619" cy="2003645"/>
                    </a:xfrm>
                    <a:prstGeom prst="rect">
                      <a:avLst/>
                    </a:prstGeom>
                  </pic:spPr>
                </pic:pic>
              </a:graphicData>
            </a:graphic>
          </wp:inline>
        </w:drawing>
      </w:r>
    </w:p>
    <w:p w14:paraId="61DDE399" w14:textId="761BEE3F" w:rsidR="00E8327F" w:rsidRPr="001A7E01" w:rsidRDefault="00840636" w:rsidP="001A7E01">
      <w:pPr>
        <w:pStyle w:val="VAFigureCaption"/>
        <w:spacing w:after="0" w:line="240" w:lineRule="auto"/>
        <w:rPr>
          <w:sz w:val="22"/>
          <w:szCs w:val="22"/>
          <w:lang w:val="en-GB"/>
        </w:rPr>
      </w:pPr>
      <w:r w:rsidRPr="001A7E01">
        <w:rPr>
          <w:b/>
          <w:sz w:val="22"/>
          <w:szCs w:val="22"/>
          <w:lang w:val="en-GB"/>
        </w:rPr>
        <w:t>Figure S2</w:t>
      </w:r>
      <w:r w:rsidR="00E8327F" w:rsidRPr="001A7E01">
        <w:rPr>
          <w:sz w:val="22"/>
          <w:szCs w:val="22"/>
          <w:lang w:val="en-GB"/>
        </w:rPr>
        <w:t>. Gaussian peak fitting of the 1D profiles obtained upon 0-to-360° (Azimuthal averaged) for the byssus treated after lemon bath (sample 9).</w:t>
      </w:r>
    </w:p>
    <w:p w14:paraId="60F43B36" w14:textId="77777777" w:rsidR="00BF0E83" w:rsidRDefault="00BF0E83" w:rsidP="000645CB">
      <w:pPr>
        <w:pStyle w:val="TFReferencesSection"/>
        <w:rPr>
          <w:b/>
          <w:lang w:val="en-GB"/>
        </w:rPr>
      </w:pPr>
    </w:p>
    <w:p w14:paraId="3EAB21F4" w14:textId="142EAF01" w:rsidR="00E6133D" w:rsidRPr="00C5502C" w:rsidRDefault="00E6133D" w:rsidP="000645CB">
      <w:pPr>
        <w:pStyle w:val="TFReferencesSection"/>
        <w:rPr>
          <w:lang w:val="en-GB"/>
        </w:rPr>
      </w:pPr>
      <w:r w:rsidRPr="00C5502C">
        <w:rPr>
          <w:b/>
          <w:lang w:val="en-GB"/>
        </w:rPr>
        <w:lastRenderedPageBreak/>
        <w:t>References</w:t>
      </w:r>
    </w:p>
    <w:p w14:paraId="63C21D7C" w14:textId="6FE5EEE0" w:rsidR="005C7B51" w:rsidRPr="005C7B51" w:rsidRDefault="00FA66B8" w:rsidP="005C7B51">
      <w:pPr>
        <w:widowControl w:val="0"/>
        <w:autoSpaceDE w:val="0"/>
        <w:autoSpaceDN w:val="0"/>
        <w:adjustRightInd w:val="0"/>
        <w:spacing w:after="0"/>
        <w:ind w:left="640" w:hanging="640"/>
        <w:rPr>
          <w:rFonts w:cs="Times"/>
          <w:noProof/>
          <w:szCs w:val="24"/>
        </w:rPr>
      </w:pPr>
      <w:r>
        <w:fldChar w:fldCharType="begin" w:fldLock="1"/>
      </w:r>
      <w:r w:rsidRPr="00C5502C">
        <w:rPr>
          <w:lang w:val="en-GB"/>
        </w:rPr>
        <w:instrText xml:space="preserve">ADDIN Mendeley Bibliography CSL_BIBLIOGRAPHY </w:instrText>
      </w:r>
      <w:r>
        <w:fldChar w:fldCharType="separate"/>
      </w:r>
      <w:r w:rsidR="005C7B51" w:rsidRPr="005C7B51">
        <w:rPr>
          <w:rFonts w:cs="Times"/>
          <w:noProof/>
          <w:szCs w:val="24"/>
        </w:rPr>
        <w:t>1.</w:t>
      </w:r>
      <w:r w:rsidR="005C7B51" w:rsidRPr="005C7B51">
        <w:rPr>
          <w:rFonts w:cs="Times"/>
          <w:noProof/>
          <w:szCs w:val="24"/>
        </w:rPr>
        <w:tab/>
        <w:t xml:space="preserve">Ahvenainen, P., Kontro, I. &amp; Svedström, K. Comparison of sample crystallinity determination methods by X-ray diffraction for challenging cellulose I materials. </w:t>
      </w:r>
      <w:r w:rsidR="005C7B51" w:rsidRPr="005C7B51">
        <w:rPr>
          <w:rFonts w:cs="Times"/>
          <w:i/>
          <w:iCs/>
          <w:noProof/>
          <w:szCs w:val="24"/>
        </w:rPr>
        <w:t>Cellulose</w:t>
      </w:r>
      <w:r w:rsidR="005C7B51" w:rsidRPr="005C7B51">
        <w:rPr>
          <w:rFonts w:cs="Times"/>
          <w:noProof/>
          <w:szCs w:val="24"/>
        </w:rPr>
        <w:t xml:space="preserve"> </w:t>
      </w:r>
      <w:r w:rsidR="005C7B51" w:rsidRPr="005C7B51">
        <w:rPr>
          <w:rFonts w:cs="Times"/>
          <w:b/>
          <w:bCs/>
          <w:noProof/>
          <w:szCs w:val="24"/>
        </w:rPr>
        <w:t>23</w:t>
      </w:r>
      <w:r w:rsidR="005C7B51" w:rsidRPr="005C7B51">
        <w:rPr>
          <w:rFonts w:cs="Times"/>
          <w:noProof/>
          <w:szCs w:val="24"/>
        </w:rPr>
        <w:t>, 1073–1086 (2016).</w:t>
      </w:r>
    </w:p>
    <w:p w14:paraId="28F1F81D" w14:textId="77777777" w:rsidR="005C7B51" w:rsidRPr="005C7B51" w:rsidRDefault="005C7B51" w:rsidP="005C7B51">
      <w:pPr>
        <w:widowControl w:val="0"/>
        <w:autoSpaceDE w:val="0"/>
        <w:autoSpaceDN w:val="0"/>
        <w:adjustRightInd w:val="0"/>
        <w:spacing w:after="0"/>
        <w:ind w:left="640" w:hanging="640"/>
        <w:rPr>
          <w:rFonts w:cs="Times"/>
          <w:noProof/>
        </w:rPr>
      </w:pPr>
      <w:r w:rsidRPr="005C7B51">
        <w:rPr>
          <w:rFonts w:cs="Times"/>
          <w:noProof/>
          <w:szCs w:val="24"/>
        </w:rPr>
        <w:t>2.</w:t>
      </w:r>
      <w:r w:rsidRPr="005C7B51">
        <w:rPr>
          <w:rFonts w:cs="Times"/>
          <w:noProof/>
          <w:szCs w:val="24"/>
        </w:rPr>
        <w:tab/>
        <w:t xml:space="preserve">Asaadi, S. </w:t>
      </w:r>
      <w:r w:rsidRPr="005C7B51">
        <w:rPr>
          <w:rFonts w:cs="Times"/>
          <w:i/>
          <w:iCs/>
          <w:noProof/>
          <w:szCs w:val="24"/>
        </w:rPr>
        <w:t>et al.</w:t>
      </w:r>
      <w:r w:rsidRPr="005C7B51">
        <w:rPr>
          <w:rFonts w:cs="Times"/>
          <w:noProof/>
          <w:szCs w:val="24"/>
        </w:rPr>
        <w:t xml:space="preserve"> Structural analysis of Ioncell-F fibres from birch wood. </w:t>
      </w:r>
      <w:r w:rsidRPr="005C7B51">
        <w:rPr>
          <w:rFonts w:cs="Times"/>
          <w:i/>
          <w:iCs/>
          <w:noProof/>
          <w:szCs w:val="24"/>
        </w:rPr>
        <w:t>Carbohydrate Polymers</w:t>
      </w:r>
      <w:r w:rsidRPr="005C7B51">
        <w:rPr>
          <w:rFonts w:cs="Times"/>
          <w:noProof/>
          <w:szCs w:val="24"/>
        </w:rPr>
        <w:t xml:space="preserve"> </w:t>
      </w:r>
      <w:r w:rsidRPr="005C7B51">
        <w:rPr>
          <w:rFonts w:cs="Times"/>
          <w:b/>
          <w:bCs/>
          <w:noProof/>
          <w:szCs w:val="24"/>
        </w:rPr>
        <w:t>181</w:t>
      </w:r>
      <w:r w:rsidRPr="005C7B51">
        <w:rPr>
          <w:rFonts w:cs="Times"/>
          <w:noProof/>
          <w:szCs w:val="24"/>
        </w:rPr>
        <w:t>, 893–901 (2018).</w:t>
      </w:r>
    </w:p>
    <w:p w14:paraId="0072F1CA" w14:textId="61F61DB2" w:rsidR="00481B0B" w:rsidRPr="000645CB" w:rsidRDefault="00FA66B8" w:rsidP="001A7E01">
      <w:pPr>
        <w:pStyle w:val="TFReferencesSection"/>
        <w:spacing w:after="0" w:line="240" w:lineRule="auto"/>
        <w:rPr>
          <w:color w:val="333333"/>
        </w:rPr>
      </w:pPr>
      <w:r>
        <w:fldChar w:fldCharType="end"/>
      </w:r>
    </w:p>
    <w:sectPr w:rsidR="00481B0B" w:rsidRPr="000645CB">
      <w:headerReference w:type="default" r:id="rId11"/>
      <w:footerReference w:type="default" r:id="rId12"/>
      <w:type w:val="continuous"/>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5CDE47" w14:textId="77777777" w:rsidR="006F02E9" w:rsidRDefault="006F02E9">
      <w:pPr>
        <w:spacing w:after="0"/>
      </w:pPr>
      <w:r>
        <w:separator/>
      </w:r>
    </w:p>
  </w:endnote>
  <w:endnote w:type="continuationSeparator" w:id="0">
    <w:p w14:paraId="3795725F" w14:textId="77777777" w:rsidR="006F02E9" w:rsidRDefault="006F02E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Arno Pro">
    <w:altName w:val="Times New Roman"/>
    <w:panose1 w:val="00000000000000000000"/>
    <w:charset w:val="00"/>
    <w:family w:val="roman"/>
    <w:notTrueType/>
    <w:pitch w:val="variable"/>
    <w:sig w:usb0="60000287" w:usb1="00000001"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3444FA" w14:textId="45363486" w:rsidR="0074493E" w:rsidRDefault="0074493E">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separate"/>
    </w:r>
    <w:r w:rsidR="005C7B51">
      <w:rPr>
        <w:noProof/>
        <w:color w:val="000000"/>
      </w:rPr>
      <w:t>3</w:t>
    </w:r>
    <w:r>
      <w:rPr>
        <w:color w:val="000000"/>
      </w:rPr>
      <w:fldChar w:fldCharType="end"/>
    </w:r>
  </w:p>
  <w:p w14:paraId="5346F214" w14:textId="77777777" w:rsidR="0074493E" w:rsidRDefault="0074493E">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D18A6A" w14:textId="77777777" w:rsidR="006F02E9" w:rsidRDefault="006F02E9">
      <w:pPr>
        <w:spacing w:after="0"/>
      </w:pPr>
      <w:r>
        <w:separator/>
      </w:r>
    </w:p>
  </w:footnote>
  <w:footnote w:type="continuationSeparator" w:id="0">
    <w:p w14:paraId="4218F6A7" w14:textId="77777777" w:rsidR="006F02E9" w:rsidRDefault="006F02E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604CCF" w14:textId="77777777" w:rsidR="0074493E" w:rsidRDefault="0074493E">
    <w:pPr>
      <w:jc w:val="right"/>
      <w:rPr>
        <w:sz w:val="20"/>
      </w:rPr>
    </w:pPr>
  </w:p>
  <w:p w14:paraId="186F9857" w14:textId="77777777" w:rsidR="0074493E" w:rsidRDefault="0074493E"/>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46442A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E005F1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6CC8A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03A30A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A406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AFC27C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6328D5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A0CB50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2B8DE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2E4EE6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4647C33"/>
    <w:multiLevelType w:val="hybridMultilevel"/>
    <w:tmpl w:val="2CEA800E"/>
    <w:lvl w:ilvl="0" w:tplc="37367B38">
      <w:start w:val="1"/>
      <w:numFmt w:val="decimal"/>
      <w:lvlText w:val="(%1)"/>
      <w:lvlJc w:val="left"/>
      <w:pPr>
        <w:ind w:left="720" w:hanging="360"/>
      </w:pPr>
      <w:rPr>
        <w:rFonts w:ascii="Times" w:eastAsia="Times New Roman" w:hAnsi="Times" w:cs="Time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9AC5390"/>
    <w:multiLevelType w:val="multilevel"/>
    <w:tmpl w:val="E0FCC29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2B0D4588"/>
    <w:multiLevelType w:val="hybridMultilevel"/>
    <w:tmpl w:val="56DCB1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E01202A"/>
    <w:multiLevelType w:val="hybridMultilevel"/>
    <w:tmpl w:val="2CEA800E"/>
    <w:lvl w:ilvl="0" w:tplc="37367B38">
      <w:start w:val="1"/>
      <w:numFmt w:val="decimal"/>
      <w:lvlText w:val="(%1)"/>
      <w:lvlJc w:val="left"/>
      <w:pPr>
        <w:ind w:left="720" w:hanging="360"/>
      </w:pPr>
      <w:rPr>
        <w:rFonts w:ascii="Times" w:eastAsia="Times New Roman" w:hAnsi="Times" w:cs="Time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EC86632"/>
    <w:multiLevelType w:val="hybridMultilevel"/>
    <w:tmpl w:val="2CEA800E"/>
    <w:lvl w:ilvl="0" w:tplc="37367B38">
      <w:start w:val="1"/>
      <w:numFmt w:val="decimal"/>
      <w:lvlText w:val="(%1)"/>
      <w:lvlJc w:val="left"/>
      <w:pPr>
        <w:ind w:left="720" w:hanging="360"/>
      </w:pPr>
      <w:rPr>
        <w:rFonts w:ascii="Times" w:eastAsia="Times New Roman" w:hAnsi="Times" w:cs="Time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26D3F9A"/>
    <w:multiLevelType w:val="singleLevel"/>
    <w:tmpl w:val="8BC469AA"/>
    <w:lvl w:ilvl="0">
      <w:start w:val="1"/>
      <w:numFmt w:val="lowerLetter"/>
      <w:lvlText w:val="%1."/>
      <w:lvlJc w:val="left"/>
      <w:pPr>
        <w:tabs>
          <w:tab w:val="num" w:pos="720"/>
        </w:tabs>
        <w:ind w:left="720" w:hanging="360"/>
      </w:pPr>
      <w:rPr>
        <w:rFonts w:hint="default"/>
      </w:rPr>
    </w:lvl>
  </w:abstractNum>
  <w:abstractNum w:abstractNumId="16" w15:restartNumberingAfterBreak="0">
    <w:nsid w:val="34FD0C72"/>
    <w:multiLevelType w:val="singleLevel"/>
    <w:tmpl w:val="0409000F"/>
    <w:lvl w:ilvl="0">
      <w:start w:val="1"/>
      <w:numFmt w:val="decimal"/>
      <w:lvlText w:val="%1."/>
      <w:lvlJc w:val="left"/>
      <w:pPr>
        <w:tabs>
          <w:tab w:val="num" w:pos="360"/>
        </w:tabs>
        <w:ind w:left="360" w:hanging="360"/>
      </w:pPr>
      <w:rPr>
        <w:rFonts w:hint="default"/>
      </w:rPr>
    </w:lvl>
  </w:abstractNum>
  <w:abstractNum w:abstractNumId="17" w15:restartNumberingAfterBreak="0">
    <w:nsid w:val="3762623B"/>
    <w:multiLevelType w:val="singleLevel"/>
    <w:tmpl w:val="0409000F"/>
    <w:lvl w:ilvl="0">
      <w:start w:val="1"/>
      <w:numFmt w:val="decimal"/>
      <w:lvlText w:val="%1."/>
      <w:lvlJc w:val="left"/>
      <w:pPr>
        <w:tabs>
          <w:tab w:val="num" w:pos="360"/>
        </w:tabs>
        <w:ind w:left="360" w:hanging="360"/>
      </w:pPr>
      <w:rPr>
        <w:rFonts w:hint="default"/>
      </w:rPr>
    </w:lvl>
  </w:abstractNum>
  <w:abstractNum w:abstractNumId="18" w15:restartNumberingAfterBreak="0">
    <w:nsid w:val="384622AB"/>
    <w:multiLevelType w:val="singleLevel"/>
    <w:tmpl w:val="6FF0DD10"/>
    <w:lvl w:ilvl="0">
      <w:start w:val="1"/>
      <w:numFmt w:val="lowerLetter"/>
      <w:lvlText w:val="%1."/>
      <w:lvlJc w:val="left"/>
      <w:pPr>
        <w:tabs>
          <w:tab w:val="num" w:pos="922"/>
        </w:tabs>
        <w:ind w:left="922" w:hanging="360"/>
      </w:pPr>
      <w:rPr>
        <w:rFonts w:hint="default"/>
      </w:rPr>
    </w:lvl>
  </w:abstractNum>
  <w:abstractNum w:abstractNumId="19" w15:restartNumberingAfterBreak="0">
    <w:nsid w:val="3E7A7E0C"/>
    <w:multiLevelType w:val="singleLevel"/>
    <w:tmpl w:val="E32C900E"/>
    <w:lvl w:ilvl="0">
      <w:start w:val="1"/>
      <w:numFmt w:val="decimal"/>
      <w:lvlText w:val="%1."/>
      <w:lvlJc w:val="left"/>
      <w:pPr>
        <w:tabs>
          <w:tab w:val="num" w:pos="562"/>
        </w:tabs>
        <w:ind w:left="562" w:hanging="360"/>
      </w:pPr>
      <w:rPr>
        <w:rFonts w:hint="default"/>
      </w:rPr>
    </w:lvl>
  </w:abstractNum>
  <w:abstractNum w:abstractNumId="20" w15:restartNumberingAfterBreak="0">
    <w:nsid w:val="3F8D4926"/>
    <w:multiLevelType w:val="hybridMultilevel"/>
    <w:tmpl w:val="180283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1DB2E3C"/>
    <w:multiLevelType w:val="singleLevel"/>
    <w:tmpl w:val="E5E28CB0"/>
    <w:lvl w:ilvl="0">
      <w:start w:val="1"/>
      <w:numFmt w:val="lowerLetter"/>
      <w:lvlText w:val="%1."/>
      <w:lvlJc w:val="left"/>
      <w:pPr>
        <w:tabs>
          <w:tab w:val="num" w:pos="1080"/>
        </w:tabs>
        <w:ind w:left="1080" w:hanging="360"/>
      </w:pPr>
      <w:rPr>
        <w:rFonts w:hint="default"/>
      </w:rPr>
    </w:lvl>
  </w:abstractNum>
  <w:num w:numId="1">
    <w:abstractNumId w:val="11"/>
  </w:num>
  <w:num w:numId="2">
    <w:abstractNumId w:val="20"/>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9"/>
  </w:num>
  <w:num w:numId="14">
    <w:abstractNumId w:val="17"/>
  </w:num>
  <w:num w:numId="15">
    <w:abstractNumId w:val="21"/>
  </w:num>
  <w:num w:numId="16">
    <w:abstractNumId w:val="18"/>
  </w:num>
  <w:num w:numId="17">
    <w:abstractNumId w:val="16"/>
  </w:num>
  <w:num w:numId="18">
    <w:abstractNumId w:val="15"/>
  </w:num>
  <w:num w:numId="19">
    <w:abstractNumId w:val="14"/>
  </w:num>
  <w:num w:numId="20">
    <w:abstractNumId w:val="12"/>
  </w:num>
  <w:num w:numId="21">
    <w:abstractNumId w:val="10"/>
  </w:num>
  <w:num w:numId="2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linkStyle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133D"/>
    <w:rsid w:val="00020E68"/>
    <w:rsid w:val="00043A40"/>
    <w:rsid w:val="000460C4"/>
    <w:rsid w:val="000645CB"/>
    <w:rsid w:val="00072D1B"/>
    <w:rsid w:val="000A52CE"/>
    <w:rsid w:val="000C3044"/>
    <w:rsid w:val="000D217B"/>
    <w:rsid w:val="00131FBA"/>
    <w:rsid w:val="00141D1F"/>
    <w:rsid w:val="00143092"/>
    <w:rsid w:val="001A7E01"/>
    <w:rsid w:val="00204981"/>
    <w:rsid w:val="00270945"/>
    <w:rsid w:val="002A7053"/>
    <w:rsid w:val="002B2848"/>
    <w:rsid w:val="002F2F70"/>
    <w:rsid w:val="00333F4D"/>
    <w:rsid w:val="003343D7"/>
    <w:rsid w:val="003558F8"/>
    <w:rsid w:val="003830A5"/>
    <w:rsid w:val="003B14CA"/>
    <w:rsid w:val="003B5556"/>
    <w:rsid w:val="00474D11"/>
    <w:rsid w:val="004768C8"/>
    <w:rsid w:val="00481B0B"/>
    <w:rsid w:val="00483D1D"/>
    <w:rsid w:val="004B135C"/>
    <w:rsid w:val="00567CE9"/>
    <w:rsid w:val="00570D62"/>
    <w:rsid w:val="005A78D5"/>
    <w:rsid w:val="005C7B51"/>
    <w:rsid w:val="005C7DD7"/>
    <w:rsid w:val="00623869"/>
    <w:rsid w:val="006B4148"/>
    <w:rsid w:val="006B56A8"/>
    <w:rsid w:val="006F02E9"/>
    <w:rsid w:val="0072619B"/>
    <w:rsid w:val="0074493E"/>
    <w:rsid w:val="00840636"/>
    <w:rsid w:val="008E6DB8"/>
    <w:rsid w:val="00904FBD"/>
    <w:rsid w:val="00935E3B"/>
    <w:rsid w:val="00980C22"/>
    <w:rsid w:val="0099348E"/>
    <w:rsid w:val="009D0A23"/>
    <w:rsid w:val="009F66BE"/>
    <w:rsid w:val="00A02782"/>
    <w:rsid w:val="00A1401C"/>
    <w:rsid w:val="00A53343"/>
    <w:rsid w:val="00A635A9"/>
    <w:rsid w:val="00A85CC3"/>
    <w:rsid w:val="00AC1773"/>
    <w:rsid w:val="00AE0C60"/>
    <w:rsid w:val="00AE60EF"/>
    <w:rsid w:val="00AF2192"/>
    <w:rsid w:val="00B9147E"/>
    <w:rsid w:val="00BB1D42"/>
    <w:rsid w:val="00BF0E83"/>
    <w:rsid w:val="00C5502C"/>
    <w:rsid w:val="00C97AF8"/>
    <w:rsid w:val="00CA661E"/>
    <w:rsid w:val="00CD66ED"/>
    <w:rsid w:val="00CE36AF"/>
    <w:rsid w:val="00D03A53"/>
    <w:rsid w:val="00D85F48"/>
    <w:rsid w:val="00D9096C"/>
    <w:rsid w:val="00DD15F2"/>
    <w:rsid w:val="00DD63A4"/>
    <w:rsid w:val="00DF1E11"/>
    <w:rsid w:val="00E01958"/>
    <w:rsid w:val="00E6133D"/>
    <w:rsid w:val="00E8327F"/>
    <w:rsid w:val="00F41956"/>
    <w:rsid w:val="00F4322E"/>
    <w:rsid w:val="00F63F3C"/>
    <w:rsid w:val="00F649EE"/>
    <w:rsid w:val="00F879B2"/>
    <w:rsid w:val="00FA24F5"/>
    <w:rsid w:val="00FA66B8"/>
    <w:rsid w:val="00FB2952"/>
    <w:rsid w:val="00FD48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622619"/>
  <w15:chartTrackingRefBased/>
  <w15:docId w15:val="{852EAADC-99C8-4E7C-9A55-3C8C1A6AA0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7E01"/>
    <w:pPr>
      <w:jc w:val="both"/>
    </w:pPr>
    <w:rPr>
      <w:rFonts w:ascii="Times" w:eastAsia="Times New Roman" w:hAnsi="Times" w:cs="Times New Roman"/>
      <w:sz w:val="24"/>
      <w:szCs w:val="20"/>
    </w:rPr>
  </w:style>
  <w:style w:type="character" w:default="1" w:styleId="DefaultParagraphFont">
    <w:name w:val="Default Paragraph Font"/>
    <w:uiPriority w:val="1"/>
    <w:semiHidden/>
    <w:unhideWhenUsed/>
    <w:rsid w:val="001A7E01"/>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1A7E01"/>
  </w:style>
  <w:style w:type="character" w:styleId="CommentReference">
    <w:name w:val="annotation reference"/>
    <w:basedOn w:val="DefaultParagraphFont"/>
    <w:uiPriority w:val="99"/>
    <w:semiHidden/>
    <w:unhideWhenUsed/>
    <w:rsid w:val="00E6133D"/>
    <w:rPr>
      <w:sz w:val="16"/>
      <w:szCs w:val="16"/>
    </w:rPr>
  </w:style>
  <w:style w:type="paragraph" w:styleId="CommentText">
    <w:name w:val="annotation text"/>
    <w:basedOn w:val="Normal"/>
    <w:link w:val="CommentTextChar"/>
    <w:uiPriority w:val="99"/>
    <w:semiHidden/>
    <w:unhideWhenUsed/>
    <w:rsid w:val="00E6133D"/>
    <w:pPr>
      <w:spacing w:after="0"/>
    </w:pPr>
    <w:rPr>
      <w:rFonts w:ascii="Times New Roman" w:hAnsi="Times New Roman"/>
      <w:sz w:val="20"/>
    </w:rPr>
  </w:style>
  <w:style w:type="character" w:customStyle="1" w:styleId="CommentTextChar">
    <w:name w:val="Comment Text Char"/>
    <w:basedOn w:val="DefaultParagraphFont"/>
    <w:link w:val="CommentText"/>
    <w:uiPriority w:val="99"/>
    <w:semiHidden/>
    <w:rsid w:val="00E6133D"/>
    <w:rPr>
      <w:rFonts w:ascii="Times New Roman" w:eastAsia="Times New Roman" w:hAnsi="Times New Roman" w:cs="Times New Roman"/>
      <w:sz w:val="20"/>
      <w:szCs w:val="20"/>
    </w:rPr>
  </w:style>
  <w:style w:type="character" w:styleId="Hyperlink">
    <w:name w:val="Hyperlink"/>
    <w:rsid w:val="001A7E01"/>
    <w:rPr>
      <w:color w:val="0000FF"/>
      <w:u w:val="single"/>
    </w:rPr>
  </w:style>
  <w:style w:type="paragraph" w:styleId="BalloonText">
    <w:name w:val="Balloon Text"/>
    <w:basedOn w:val="Normal"/>
    <w:link w:val="BalloonTextChar"/>
    <w:semiHidden/>
    <w:rsid w:val="001A7E01"/>
    <w:rPr>
      <w:rFonts w:ascii="Tahoma" w:hAnsi="Tahoma" w:cs="Tahoma"/>
      <w:sz w:val="16"/>
      <w:szCs w:val="16"/>
    </w:rPr>
  </w:style>
  <w:style w:type="character" w:customStyle="1" w:styleId="BalloonTextChar">
    <w:name w:val="Balloon Text Char"/>
    <w:basedOn w:val="DefaultParagraphFont"/>
    <w:link w:val="BalloonText"/>
    <w:semiHidden/>
    <w:rsid w:val="00E6133D"/>
    <w:rPr>
      <w:rFonts w:ascii="Tahoma" w:eastAsia="Times New Roman" w:hAnsi="Tahoma" w:cs="Tahoma"/>
      <w:sz w:val="16"/>
      <w:szCs w:val="16"/>
    </w:rPr>
  </w:style>
  <w:style w:type="paragraph" w:styleId="CommentSubject">
    <w:name w:val="annotation subject"/>
    <w:basedOn w:val="CommentText"/>
    <w:next w:val="CommentText"/>
    <w:link w:val="CommentSubjectChar"/>
    <w:uiPriority w:val="99"/>
    <w:semiHidden/>
    <w:unhideWhenUsed/>
    <w:rsid w:val="00E6133D"/>
    <w:pPr>
      <w:spacing w:after="20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E6133D"/>
    <w:rPr>
      <w:rFonts w:ascii="Times New Roman" w:eastAsia="Times New Roman" w:hAnsi="Times New Roman" w:cs="Times New Roman"/>
      <w:b/>
      <w:bCs/>
      <w:sz w:val="20"/>
      <w:szCs w:val="20"/>
    </w:rPr>
  </w:style>
  <w:style w:type="paragraph" w:customStyle="1" w:styleId="SMcaption">
    <w:name w:val="SM caption"/>
    <w:basedOn w:val="Normal"/>
    <w:qFormat/>
    <w:rsid w:val="00483D1D"/>
    <w:pPr>
      <w:spacing w:after="0"/>
    </w:pPr>
    <w:rPr>
      <w:rFonts w:ascii="Times New Roman" w:hAnsi="Times New Roman"/>
    </w:rPr>
  </w:style>
  <w:style w:type="paragraph" w:styleId="NormalWeb">
    <w:name w:val="Normal (Web)"/>
    <w:basedOn w:val="Normal"/>
    <w:uiPriority w:val="99"/>
    <w:semiHidden/>
    <w:rsid w:val="00483D1D"/>
    <w:pPr>
      <w:spacing w:after="0"/>
    </w:pPr>
    <w:rPr>
      <w:rFonts w:ascii="Times New Roman" w:hAnsi="Times New Roman"/>
      <w:szCs w:val="24"/>
    </w:rPr>
  </w:style>
  <w:style w:type="paragraph" w:customStyle="1" w:styleId="BATitle">
    <w:name w:val="BA_Title"/>
    <w:basedOn w:val="Normal"/>
    <w:next w:val="BBAuthorName"/>
    <w:rsid w:val="001A7E01"/>
    <w:pPr>
      <w:spacing w:before="720" w:after="360" w:line="480" w:lineRule="auto"/>
      <w:jc w:val="center"/>
    </w:pPr>
    <w:rPr>
      <w:rFonts w:ascii="Times New Roman" w:hAnsi="Times New Roman"/>
      <w:sz w:val="44"/>
    </w:rPr>
  </w:style>
  <w:style w:type="paragraph" w:customStyle="1" w:styleId="BBAuthorName">
    <w:name w:val="BB_Author_Name"/>
    <w:basedOn w:val="Normal"/>
    <w:next w:val="BCAuthorAddress"/>
    <w:rsid w:val="001A7E01"/>
    <w:pPr>
      <w:spacing w:after="240" w:line="480" w:lineRule="auto"/>
      <w:jc w:val="center"/>
    </w:pPr>
    <w:rPr>
      <w:i/>
    </w:rPr>
  </w:style>
  <w:style w:type="paragraph" w:customStyle="1" w:styleId="BCAuthorAddress">
    <w:name w:val="BC_Author_Address"/>
    <w:basedOn w:val="Normal"/>
    <w:next w:val="BIEmailAddress"/>
    <w:rsid w:val="001A7E01"/>
    <w:pPr>
      <w:spacing w:after="240" w:line="480" w:lineRule="auto"/>
      <w:jc w:val="center"/>
    </w:pPr>
  </w:style>
  <w:style w:type="character" w:styleId="FollowedHyperlink">
    <w:name w:val="FollowedHyperlink"/>
    <w:rsid w:val="001A7E01"/>
    <w:rPr>
      <w:color w:val="800080"/>
      <w:u w:val="single"/>
    </w:rPr>
  </w:style>
  <w:style w:type="paragraph" w:styleId="BodyText">
    <w:name w:val="Body Text"/>
    <w:basedOn w:val="Normal"/>
    <w:link w:val="BodyTextChar"/>
    <w:rsid w:val="001A7E01"/>
    <w:pPr>
      <w:jc w:val="center"/>
    </w:pPr>
    <w:rPr>
      <w:b/>
      <w:sz w:val="40"/>
    </w:rPr>
  </w:style>
  <w:style w:type="character" w:customStyle="1" w:styleId="BodyTextChar">
    <w:name w:val="Body Text Char"/>
    <w:basedOn w:val="DefaultParagraphFont"/>
    <w:link w:val="BodyText"/>
    <w:rsid w:val="000645CB"/>
    <w:rPr>
      <w:rFonts w:ascii="Times" w:eastAsia="Times New Roman" w:hAnsi="Times" w:cs="Times New Roman"/>
      <w:b/>
      <w:sz w:val="40"/>
      <w:szCs w:val="20"/>
    </w:rPr>
  </w:style>
  <w:style w:type="paragraph" w:styleId="FootnoteText">
    <w:name w:val="footnote text"/>
    <w:basedOn w:val="Normal"/>
    <w:next w:val="TFReferencesSection"/>
    <w:link w:val="FootnoteTextChar"/>
    <w:semiHidden/>
    <w:rsid w:val="001A7E01"/>
  </w:style>
  <w:style w:type="character" w:customStyle="1" w:styleId="FootnoteTextChar">
    <w:name w:val="Footnote Text Char"/>
    <w:basedOn w:val="DefaultParagraphFont"/>
    <w:link w:val="FootnoteText"/>
    <w:semiHidden/>
    <w:rsid w:val="000645CB"/>
    <w:rPr>
      <w:rFonts w:ascii="Times" w:eastAsia="Times New Roman" w:hAnsi="Times" w:cs="Times New Roman"/>
      <w:sz w:val="24"/>
      <w:szCs w:val="20"/>
    </w:rPr>
  </w:style>
  <w:style w:type="paragraph" w:customStyle="1" w:styleId="TFReferencesSection">
    <w:name w:val="TF_References_Section"/>
    <w:basedOn w:val="Normal"/>
    <w:rsid w:val="001A7E01"/>
    <w:pPr>
      <w:spacing w:line="480" w:lineRule="auto"/>
      <w:ind w:firstLine="187"/>
    </w:pPr>
  </w:style>
  <w:style w:type="paragraph" w:customStyle="1" w:styleId="TAMainText">
    <w:name w:val="TA_Main_Text"/>
    <w:basedOn w:val="Normal"/>
    <w:rsid w:val="001A7E01"/>
    <w:pPr>
      <w:spacing w:after="0" w:line="480" w:lineRule="auto"/>
      <w:ind w:firstLine="202"/>
    </w:pPr>
  </w:style>
  <w:style w:type="paragraph" w:customStyle="1" w:styleId="BIEmailAddress">
    <w:name w:val="BI_Email_Address"/>
    <w:basedOn w:val="Normal"/>
    <w:next w:val="AIReceivedDate"/>
    <w:rsid w:val="001A7E01"/>
    <w:pPr>
      <w:spacing w:line="480" w:lineRule="auto"/>
    </w:pPr>
  </w:style>
  <w:style w:type="paragraph" w:customStyle="1" w:styleId="AIReceivedDate">
    <w:name w:val="AI_Received_Date"/>
    <w:basedOn w:val="Normal"/>
    <w:next w:val="BDAbstract"/>
    <w:rsid w:val="001A7E01"/>
    <w:pPr>
      <w:spacing w:after="240" w:line="480" w:lineRule="auto"/>
    </w:pPr>
    <w:rPr>
      <w:b/>
    </w:rPr>
  </w:style>
  <w:style w:type="paragraph" w:customStyle="1" w:styleId="BDAbstract">
    <w:name w:val="BD_Abstract"/>
    <w:basedOn w:val="Normal"/>
    <w:next w:val="TAMainText"/>
    <w:rsid w:val="001A7E01"/>
    <w:pPr>
      <w:spacing w:before="360" w:after="360" w:line="480" w:lineRule="auto"/>
    </w:pPr>
  </w:style>
  <w:style w:type="paragraph" w:customStyle="1" w:styleId="TDAcknowledgments">
    <w:name w:val="TD_Acknowledgments"/>
    <w:basedOn w:val="Normal"/>
    <w:next w:val="Normal"/>
    <w:rsid w:val="001A7E01"/>
    <w:pPr>
      <w:spacing w:before="200" w:line="480" w:lineRule="auto"/>
      <w:ind w:firstLine="202"/>
    </w:pPr>
  </w:style>
  <w:style w:type="paragraph" w:customStyle="1" w:styleId="TESupportingInformation">
    <w:name w:val="TE_Supporting_Information"/>
    <w:basedOn w:val="Normal"/>
    <w:next w:val="Normal"/>
    <w:rsid w:val="001A7E01"/>
    <w:pPr>
      <w:spacing w:line="480" w:lineRule="auto"/>
      <w:ind w:firstLine="187"/>
    </w:pPr>
  </w:style>
  <w:style w:type="paragraph" w:customStyle="1" w:styleId="VCSchemeTitle">
    <w:name w:val="VC_Scheme_Title"/>
    <w:basedOn w:val="Normal"/>
    <w:next w:val="Normal"/>
    <w:rsid w:val="001A7E01"/>
    <w:pPr>
      <w:spacing w:line="480" w:lineRule="auto"/>
    </w:pPr>
  </w:style>
  <w:style w:type="paragraph" w:customStyle="1" w:styleId="VDTableTitle">
    <w:name w:val="VD_Table_Title"/>
    <w:basedOn w:val="Normal"/>
    <w:next w:val="Normal"/>
    <w:rsid w:val="001A7E01"/>
    <w:pPr>
      <w:spacing w:line="480" w:lineRule="auto"/>
    </w:pPr>
  </w:style>
  <w:style w:type="paragraph" w:customStyle="1" w:styleId="VAFigureCaption">
    <w:name w:val="VA_Figure_Caption"/>
    <w:basedOn w:val="Normal"/>
    <w:next w:val="Normal"/>
    <w:rsid w:val="001A7E01"/>
    <w:pPr>
      <w:spacing w:line="480" w:lineRule="auto"/>
    </w:pPr>
  </w:style>
  <w:style w:type="paragraph" w:customStyle="1" w:styleId="VBChartTitle">
    <w:name w:val="VB_Chart_Title"/>
    <w:basedOn w:val="Normal"/>
    <w:next w:val="Normal"/>
    <w:rsid w:val="001A7E01"/>
    <w:pPr>
      <w:spacing w:line="480" w:lineRule="auto"/>
    </w:pPr>
  </w:style>
  <w:style w:type="paragraph" w:customStyle="1" w:styleId="FETableFootnote">
    <w:name w:val="FE_Table_Footnote"/>
    <w:basedOn w:val="Normal"/>
    <w:next w:val="Normal"/>
    <w:rsid w:val="001A7E01"/>
    <w:pPr>
      <w:ind w:firstLine="187"/>
    </w:pPr>
  </w:style>
  <w:style w:type="paragraph" w:customStyle="1" w:styleId="FCChartFootnote">
    <w:name w:val="FC_Chart_Footnote"/>
    <w:basedOn w:val="Normal"/>
    <w:next w:val="Normal"/>
    <w:rsid w:val="001A7E01"/>
    <w:pPr>
      <w:ind w:firstLine="187"/>
    </w:pPr>
  </w:style>
  <w:style w:type="paragraph" w:customStyle="1" w:styleId="FDSchemeFootnote">
    <w:name w:val="FD_Scheme_Footnote"/>
    <w:basedOn w:val="Normal"/>
    <w:next w:val="Normal"/>
    <w:rsid w:val="001A7E01"/>
    <w:pPr>
      <w:ind w:firstLine="187"/>
    </w:pPr>
  </w:style>
  <w:style w:type="paragraph" w:customStyle="1" w:styleId="TCTableBody">
    <w:name w:val="TC_Table_Body"/>
    <w:basedOn w:val="Normal"/>
    <w:rsid w:val="001A7E01"/>
  </w:style>
  <w:style w:type="paragraph" w:customStyle="1" w:styleId="AFTitleRunningHead">
    <w:name w:val="AF_Title_Running_Head"/>
    <w:basedOn w:val="Normal"/>
    <w:next w:val="TAMainText"/>
    <w:rsid w:val="001A7E01"/>
    <w:pPr>
      <w:spacing w:line="480" w:lineRule="auto"/>
    </w:pPr>
  </w:style>
  <w:style w:type="paragraph" w:customStyle="1" w:styleId="BEAuthorBiography">
    <w:name w:val="BE_Author_Biography"/>
    <w:basedOn w:val="Normal"/>
    <w:rsid w:val="001A7E01"/>
    <w:pPr>
      <w:spacing w:line="480" w:lineRule="auto"/>
    </w:pPr>
  </w:style>
  <w:style w:type="paragraph" w:customStyle="1" w:styleId="FACorrespondingAuthorFootnote">
    <w:name w:val="FA_Corresponding_Author_Footnote"/>
    <w:basedOn w:val="Normal"/>
    <w:next w:val="TAMainText"/>
    <w:rsid w:val="001A7E01"/>
    <w:pPr>
      <w:spacing w:line="480" w:lineRule="auto"/>
    </w:pPr>
  </w:style>
  <w:style w:type="paragraph" w:customStyle="1" w:styleId="SNSynopsisTOC">
    <w:name w:val="SN_Synopsis_TOC"/>
    <w:basedOn w:val="Normal"/>
    <w:rsid w:val="001A7E01"/>
    <w:pPr>
      <w:spacing w:line="480" w:lineRule="auto"/>
    </w:pPr>
  </w:style>
  <w:style w:type="paragraph" w:styleId="Footer">
    <w:name w:val="footer"/>
    <w:basedOn w:val="Normal"/>
    <w:link w:val="FooterChar"/>
    <w:rsid w:val="001A7E01"/>
    <w:pPr>
      <w:tabs>
        <w:tab w:val="center" w:pos="4320"/>
        <w:tab w:val="right" w:pos="8640"/>
      </w:tabs>
    </w:pPr>
  </w:style>
  <w:style w:type="character" w:customStyle="1" w:styleId="FooterChar">
    <w:name w:val="Footer Char"/>
    <w:basedOn w:val="DefaultParagraphFont"/>
    <w:link w:val="Footer"/>
    <w:rsid w:val="000645CB"/>
    <w:rPr>
      <w:rFonts w:ascii="Times" w:eastAsia="Times New Roman" w:hAnsi="Times" w:cs="Times New Roman"/>
      <w:sz w:val="24"/>
      <w:szCs w:val="20"/>
    </w:rPr>
  </w:style>
  <w:style w:type="paragraph" w:customStyle="1" w:styleId="BGKeywords">
    <w:name w:val="BG_Keywords"/>
    <w:basedOn w:val="Normal"/>
    <w:rsid w:val="001A7E01"/>
    <w:pPr>
      <w:spacing w:line="480" w:lineRule="auto"/>
    </w:pPr>
  </w:style>
  <w:style w:type="paragraph" w:customStyle="1" w:styleId="BHBriefs">
    <w:name w:val="BH_Briefs"/>
    <w:basedOn w:val="Normal"/>
    <w:rsid w:val="001A7E01"/>
    <w:pPr>
      <w:spacing w:line="480" w:lineRule="auto"/>
    </w:pPr>
  </w:style>
  <w:style w:type="character" w:styleId="PageNumber">
    <w:name w:val="page number"/>
    <w:basedOn w:val="DefaultParagraphFont"/>
    <w:rsid w:val="001A7E01"/>
  </w:style>
  <w:style w:type="paragraph" w:customStyle="1" w:styleId="StyleFACorrespondingAuthorFootnote7pt">
    <w:name w:val="Style FA_Corresponding_Author_Footnote + 7 pt"/>
    <w:basedOn w:val="Normal"/>
    <w:next w:val="BGKeywords"/>
    <w:link w:val="StyleFACorrespondingAuthorFootnote7ptChar"/>
    <w:autoRedefine/>
    <w:rsid w:val="001A7E01"/>
    <w:pPr>
      <w:spacing w:after="0"/>
      <w:jc w:val="left"/>
    </w:pPr>
    <w:rPr>
      <w:rFonts w:ascii="Arno Pro" w:hAnsi="Arno Pro"/>
      <w:kern w:val="20"/>
      <w:sz w:val="18"/>
    </w:rPr>
  </w:style>
  <w:style w:type="character" w:customStyle="1" w:styleId="StyleFACorrespondingAuthorFootnote7ptChar">
    <w:name w:val="Style FA_Corresponding_Author_Footnote + 7 pt Char"/>
    <w:link w:val="StyleFACorrespondingAuthorFootnote7pt"/>
    <w:rsid w:val="001A7E01"/>
    <w:rPr>
      <w:rFonts w:ascii="Arno Pro" w:eastAsia="Times New Roman" w:hAnsi="Arno Pro" w:cs="Times New Roman"/>
      <w:kern w:val="20"/>
      <w:sz w:val="18"/>
      <w:szCs w:val="20"/>
    </w:rPr>
  </w:style>
  <w:style w:type="paragraph" w:customStyle="1" w:styleId="FAAuthorInfoSubtitle">
    <w:name w:val="FA_Author_Info_Subtitle"/>
    <w:basedOn w:val="Normal"/>
    <w:link w:val="FAAuthorInfoSubtitleChar"/>
    <w:autoRedefine/>
    <w:rsid w:val="001A7E01"/>
    <w:pPr>
      <w:spacing w:before="120" w:after="60" w:line="480" w:lineRule="auto"/>
      <w:jc w:val="left"/>
    </w:pPr>
    <w:rPr>
      <w:b/>
    </w:rPr>
  </w:style>
  <w:style w:type="character" w:customStyle="1" w:styleId="FAAuthorInfoSubtitleChar">
    <w:name w:val="FA_Author_Info_Subtitle Char"/>
    <w:link w:val="FAAuthorInfoSubtitle"/>
    <w:rsid w:val="001A7E01"/>
    <w:rPr>
      <w:rFonts w:ascii="Times" w:eastAsia="Times New Roman" w:hAnsi="Times" w:cs="Times New Roman"/>
      <w:b/>
      <w:sz w:val="24"/>
      <w:szCs w:val="20"/>
    </w:rPr>
  </w:style>
  <w:style w:type="paragraph" w:customStyle="1" w:styleId="Default">
    <w:name w:val="Default"/>
    <w:rsid w:val="001A7E01"/>
    <w:pPr>
      <w:autoSpaceDE w:val="0"/>
      <w:autoSpaceDN w:val="0"/>
      <w:adjustRightInd w:val="0"/>
      <w:spacing w:after="0"/>
    </w:pPr>
    <w:rPr>
      <w:rFonts w:ascii="Symbol" w:eastAsia="Times New Roman" w:hAnsi="Symbol" w:cs="Symbo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434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uigi.gentile@uniba.i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uigi\Downloads\acstemplate_msw201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AC75CF-559E-47E6-B060-51FDA9019F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acstemplate_msw2010.dotx</Template>
  <TotalTime>2</TotalTime>
  <Pages>3</Pages>
  <Words>1145</Words>
  <Characters>6527</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The National Academies</Company>
  <LinksUpToDate>false</LinksUpToDate>
  <CharactersWithSpaces>7657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Shuler, Megan</dc:creator>
  <cp:keywords/>
  <dc:description/>
  <cp:lastModifiedBy>Luigi Gentile</cp:lastModifiedBy>
  <cp:revision>3</cp:revision>
  <dcterms:created xsi:type="dcterms:W3CDTF">2022-01-20T12:21:00Z</dcterms:created>
  <dcterms:modified xsi:type="dcterms:W3CDTF">2022-01-20T12:23:00Z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31576dd7-8d13-3593-b24b-c630c582e838</vt:lpwstr>
  </property>
  <property fmtid="{D5CDD505-2E9C-101B-9397-08002B2CF9AE}" pid="4" name="Mendeley Citation Style_1">
    <vt:lpwstr>http://www.zotero.org/styles/scientific-reports</vt:lpwstr>
  </property>
  <property fmtid="{D5CDD505-2E9C-101B-9397-08002B2CF9AE}" pid="5" name="Mendeley Recent Style Id 0_1">
    <vt:lpwstr>http://www.zotero.org/styles/acs-applied-materials-and-interfaces</vt:lpwstr>
  </property>
  <property fmtid="{D5CDD505-2E9C-101B-9397-08002B2CF9AE}" pid="6" name="Mendeley Recent Style Name 0_1">
    <vt:lpwstr>ACS Applied Materials &amp; Interfaces</vt:lpwstr>
  </property>
  <property fmtid="{D5CDD505-2E9C-101B-9397-08002B2CF9AE}" pid="7" name="Mendeley Recent Style Id 1_1">
    <vt:lpwstr>http://www.zotero.org/styles/american-chemical-society</vt:lpwstr>
  </property>
  <property fmtid="{D5CDD505-2E9C-101B-9397-08002B2CF9AE}" pid="8" name="Mendeley Recent Style Name 1_1">
    <vt:lpwstr>American Chemical Society</vt:lpwstr>
  </property>
  <property fmtid="{D5CDD505-2E9C-101B-9397-08002B2CF9AE}" pid="9" name="Mendeley Recent Style Id 2_1">
    <vt:lpwstr>http://www.zotero.org/styles/chicago-author-date</vt:lpwstr>
  </property>
  <property fmtid="{D5CDD505-2E9C-101B-9397-08002B2CF9AE}" pid="10" name="Mendeley Recent Style Name 2_1">
    <vt:lpwstr>Chicago Manual of Style 17th edition (author-date)</vt:lpwstr>
  </property>
  <property fmtid="{D5CDD505-2E9C-101B-9397-08002B2CF9AE}" pid="11" name="Mendeley Recent Style Id 3_1">
    <vt:lpwstr>http://www.zotero.org/styles/ieee</vt:lpwstr>
  </property>
  <property fmtid="{D5CDD505-2E9C-101B-9397-08002B2CF9AE}" pid="12" name="Mendeley Recent Style Name 3_1">
    <vt:lpwstr>IEEE</vt:lpwstr>
  </property>
  <property fmtid="{D5CDD505-2E9C-101B-9397-08002B2CF9AE}" pid="13" name="Mendeley Recent Style Id 4_1">
    <vt:lpwstr>http://www.zotero.org/styles/journal-of-colloid-and-interface-science</vt:lpwstr>
  </property>
  <property fmtid="{D5CDD505-2E9C-101B-9397-08002B2CF9AE}" pid="14" name="Mendeley Recent Style Name 4_1">
    <vt:lpwstr>Journal of Colloid And Interface Science</vt:lpwstr>
  </property>
  <property fmtid="{D5CDD505-2E9C-101B-9397-08002B2CF9AE}" pid="15" name="Mendeley Recent Style Id 5_1">
    <vt:lpwstr>http://www.zotero.org/styles/modern-humanities-research-association</vt:lpwstr>
  </property>
  <property fmtid="{D5CDD505-2E9C-101B-9397-08002B2CF9AE}" pid="16" name="Mendeley Recent Style Name 5_1">
    <vt:lpwstr>Modern Humanities Research Association 3rd edition (note with bibliography)</vt:lpwstr>
  </property>
  <property fmtid="{D5CDD505-2E9C-101B-9397-08002B2CF9AE}" pid="17" name="Mendeley Recent Style Id 6_1">
    <vt:lpwstr>http://www.zotero.org/styles/modern-language-association</vt:lpwstr>
  </property>
  <property fmtid="{D5CDD505-2E9C-101B-9397-08002B2CF9AE}" pid="18" name="Mendeley Recent Style Name 6_1">
    <vt:lpwstr>Modern Language Association 8th edition</vt:lpwstr>
  </property>
  <property fmtid="{D5CDD505-2E9C-101B-9397-08002B2CF9AE}" pid="19" name="Mendeley Recent Style Id 7_1">
    <vt:lpwstr>http://www.zotero.org/styles/pnas</vt:lpwstr>
  </property>
  <property fmtid="{D5CDD505-2E9C-101B-9397-08002B2CF9AE}" pid="20" name="Mendeley Recent Style Name 7_1">
    <vt:lpwstr>Proceedings of the National Academy of Sciences of the United States of America</vt:lpwstr>
  </property>
  <property fmtid="{D5CDD505-2E9C-101B-9397-08002B2CF9AE}" pid="21" name="Mendeley Recent Style Id 8_1">
    <vt:lpwstr>http://www.zotero.org/styles/scientific-reports</vt:lpwstr>
  </property>
  <property fmtid="{D5CDD505-2E9C-101B-9397-08002B2CF9AE}" pid="22" name="Mendeley Recent Style Name 8_1">
    <vt:lpwstr>Scientific Reports</vt:lpwstr>
  </property>
  <property fmtid="{D5CDD505-2E9C-101B-9397-08002B2CF9AE}" pid="23" name="Mendeley Recent Style Id 9_1">
    <vt:lpwstr>http://www.zotero.org/styles/the-journal-of-physical-chemistry-letters</vt:lpwstr>
  </property>
  <property fmtid="{D5CDD505-2E9C-101B-9397-08002B2CF9AE}" pid="24" name="Mendeley Recent Style Name 9_1">
    <vt:lpwstr>The Journal of Physical Chemistry Letters</vt:lpwstr>
  </property>
</Properties>
</file>