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9C99" w14:textId="59681430" w:rsidR="008B25AB" w:rsidRDefault="003F081F" w:rsidP="004A1373">
      <w:pPr>
        <w:autoSpaceDE w:val="0"/>
        <w:autoSpaceDN w:val="0"/>
        <w:adjustRightInd w:val="0"/>
        <w:rPr>
          <w:rFonts w:ascii="Times New Roman" w:eastAsia="NimbusSanL-Regu" w:hAnsi="Times New Roman" w:cs="Times New Roman"/>
          <w:b/>
          <w:bCs/>
          <w:kern w:val="0"/>
          <w:szCs w:val="21"/>
        </w:rPr>
      </w:pPr>
      <w:r w:rsidRPr="004A1373">
        <w:rPr>
          <w:rFonts w:ascii="Times New Roman" w:hAnsi="Times New Roman" w:cs="Times New Roman"/>
          <w:b/>
          <w:bCs/>
          <w:szCs w:val="21"/>
        </w:rPr>
        <w:t>Supplementary Methods</w:t>
      </w:r>
      <w:r w:rsidR="008B25AB" w:rsidRPr="004A1373">
        <w:rPr>
          <w:rFonts w:ascii="Times New Roman" w:eastAsia="NimbusSanL-Regu" w:hAnsi="Times New Roman" w:cs="Times New Roman"/>
          <w:b/>
          <w:bCs/>
          <w:kern w:val="0"/>
          <w:szCs w:val="21"/>
        </w:rPr>
        <w:t>:</w:t>
      </w:r>
    </w:p>
    <w:p w14:paraId="08DB6AB4" w14:textId="3FDBB17D" w:rsidR="004A1373" w:rsidRPr="00087A9F" w:rsidRDefault="004A1373" w:rsidP="004A1373">
      <w:pPr>
        <w:autoSpaceDE w:val="0"/>
        <w:autoSpaceDN w:val="0"/>
        <w:adjustRightInd w:val="0"/>
        <w:rPr>
          <w:rFonts w:ascii="Times New Roman" w:eastAsia="NimbusSanL-Regu" w:hAnsi="Times New Roman" w:cs="Times New Roman"/>
          <w:kern w:val="0"/>
          <w:szCs w:val="21"/>
        </w:rPr>
      </w:pPr>
      <w:r w:rsidRPr="00087A9F">
        <w:rPr>
          <w:rFonts w:ascii="Times New Roman" w:eastAsia="NimbusSanL-Regu" w:hAnsi="Times New Roman" w:cs="Times New Roman"/>
          <w:kern w:val="0"/>
          <w:szCs w:val="21"/>
        </w:rPr>
        <w:t>Protein extraction, quality control</w:t>
      </w:r>
      <w:r w:rsidR="00A0559C">
        <w:rPr>
          <w:rFonts w:ascii="Times New Roman" w:eastAsia="NimbusSanL-Regu" w:hAnsi="Times New Roman" w:cs="Times New Roman"/>
          <w:kern w:val="0"/>
          <w:szCs w:val="21"/>
        </w:rPr>
        <w:t>,</w:t>
      </w:r>
      <w:r w:rsidRPr="00087A9F">
        <w:rPr>
          <w:rFonts w:ascii="Times New Roman" w:eastAsia="NimbusSanL-Regu" w:hAnsi="Times New Roman" w:cs="Times New Roman"/>
          <w:kern w:val="0"/>
          <w:szCs w:val="21"/>
        </w:rPr>
        <w:t xml:space="preserve"> </w:t>
      </w:r>
      <w:proofErr w:type="spellStart"/>
      <w:r w:rsidRPr="00087A9F">
        <w:rPr>
          <w:rFonts w:ascii="Times New Roman" w:eastAsia="NimbusSanL-Regu" w:hAnsi="Times New Roman" w:cs="Times New Roman"/>
          <w:kern w:val="0"/>
          <w:szCs w:val="21"/>
        </w:rPr>
        <w:t>enzymolysis</w:t>
      </w:r>
      <w:proofErr w:type="spellEnd"/>
      <w:r w:rsidRPr="00087A9F">
        <w:rPr>
          <w:rFonts w:ascii="Times New Roman" w:eastAsia="NimbusSanL-Regu" w:hAnsi="Times New Roman" w:cs="Times New Roman"/>
          <w:kern w:val="0"/>
          <w:szCs w:val="21"/>
        </w:rPr>
        <w:t xml:space="preserve"> </w:t>
      </w:r>
      <w:r w:rsidR="00A0559C">
        <w:rPr>
          <w:rFonts w:ascii="Times New Roman" w:eastAsia="NimbusSanL-Regu" w:hAnsi="Times New Roman" w:cs="Times New Roman"/>
          <w:kern w:val="0"/>
          <w:szCs w:val="21"/>
        </w:rPr>
        <w:t xml:space="preserve">and </w:t>
      </w:r>
      <w:r w:rsidR="00E01D25">
        <w:rPr>
          <w:rFonts w:ascii="Times New Roman" w:hAnsi="Times New Roman" w:cs="Times New Roman"/>
          <w:szCs w:val="21"/>
        </w:rPr>
        <w:t>m</w:t>
      </w:r>
      <w:r w:rsidR="00E01D25" w:rsidRPr="00E01D25">
        <w:rPr>
          <w:rFonts w:ascii="Times New Roman" w:hAnsi="Times New Roman" w:cs="Times New Roman"/>
          <w:szCs w:val="21"/>
        </w:rPr>
        <w:t>ass spectrometry analysis</w:t>
      </w:r>
      <w:r w:rsidR="00A0559C" w:rsidRPr="00087A9F">
        <w:rPr>
          <w:rFonts w:ascii="Times New Roman" w:eastAsia="NimbusSanL-Regu" w:hAnsi="Times New Roman" w:cs="Times New Roman" w:hint="eastAsia"/>
          <w:kern w:val="0"/>
          <w:szCs w:val="21"/>
        </w:rPr>
        <w:t xml:space="preserve"> </w:t>
      </w:r>
      <w:r w:rsidRPr="00087A9F">
        <w:rPr>
          <w:rFonts w:ascii="Times New Roman" w:eastAsia="NimbusSanL-Regu" w:hAnsi="Times New Roman" w:cs="Times New Roman" w:hint="eastAsia"/>
          <w:kern w:val="0"/>
          <w:szCs w:val="21"/>
        </w:rPr>
        <w:t>w</w:t>
      </w:r>
      <w:r w:rsidRPr="00087A9F">
        <w:rPr>
          <w:rFonts w:ascii="Times New Roman" w:eastAsia="NimbusSanL-Regu" w:hAnsi="Times New Roman" w:cs="Times New Roman"/>
          <w:kern w:val="0"/>
          <w:szCs w:val="21"/>
        </w:rPr>
        <w:t>ere performed according</w:t>
      </w:r>
      <w:r w:rsidRPr="00087A9F">
        <w:rPr>
          <w:rFonts w:ascii="Times New Roman" w:eastAsia="NimbusSanL-Regu" w:hAnsi="Times New Roman" w:cs="Times New Roman" w:hint="eastAsia"/>
          <w:kern w:val="0"/>
          <w:szCs w:val="21"/>
        </w:rPr>
        <w:t xml:space="preserve"> </w:t>
      </w:r>
      <w:r w:rsidRPr="00087A9F">
        <w:rPr>
          <w:rFonts w:ascii="Times New Roman" w:eastAsia="NimbusSanL-Regu" w:hAnsi="Times New Roman" w:cs="Times New Roman"/>
          <w:kern w:val="0"/>
          <w:szCs w:val="21"/>
        </w:rPr>
        <w:t xml:space="preserve">to </w:t>
      </w:r>
      <w:r w:rsidR="00087A9F" w:rsidRPr="00087A9F">
        <w:rPr>
          <w:rFonts w:ascii="Times New Roman" w:eastAsia="NimbusSanL-Regu" w:hAnsi="Times New Roman" w:cs="Times New Roman"/>
          <w:kern w:val="0"/>
          <w:szCs w:val="21"/>
        </w:rPr>
        <w:t>our</w:t>
      </w:r>
      <w:r w:rsidRPr="00087A9F">
        <w:rPr>
          <w:rFonts w:ascii="Times New Roman" w:eastAsia="NimbusSanL-Regu" w:hAnsi="Times New Roman" w:cs="Times New Roman"/>
          <w:kern w:val="0"/>
          <w:szCs w:val="21"/>
        </w:rPr>
        <w:t xml:space="preserve"> previously reported protocol</w:t>
      </w:r>
      <w:r w:rsidR="0008683E">
        <w:rPr>
          <w:rFonts w:ascii="Times New Roman" w:eastAsia="NimbusSanL-Regu" w:hAnsi="Times New Roman" w:cs="Times New Roman"/>
          <w:kern w:val="0"/>
          <w:szCs w:val="21"/>
        </w:rPr>
        <w:fldChar w:fldCharType="begin"/>
      </w:r>
      <w:r w:rsidR="0008683E">
        <w:rPr>
          <w:rFonts w:ascii="Times New Roman" w:eastAsia="NimbusSanL-Regu" w:hAnsi="Times New Roman" w:cs="Times New Roman"/>
          <w:kern w:val="0"/>
          <w:szCs w:val="21"/>
        </w:rPr>
        <w:instrText xml:space="preserve"> ADDIN EN.CITE &lt;EndNote&gt;&lt;Cite&gt;&lt;Author&gt;Wang&lt;/Author&gt;&lt;Year&gt;2021&lt;/Year&gt;&lt;RecNum&gt;23&lt;/RecNum&gt;&lt;DisplayText&gt;[1]&lt;/DisplayText&gt;&lt;record&gt;&lt;rec-number&gt;23&lt;/rec-number&gt;&lt;foreign-keys&gt;&lt;key app="EN" db-id="wtpft09prwts99e0wr9xx5fmf5rf0ddtrt9v" timestamp="1642690232"&gt;23&lt;/key&gt;&lt;/foreign-keys&gt;&lt;ref-type name="Journal Article"&gt;17&lt;/ref-type&gt;&lt;contributors&gt;&lt;authors&gt;&lt;author&gt;Wang, C.&lt;/author&gt;&lt;author&gt;Yang, Z.&lt;/author&gt;&lt;author&gt;Xu, E.&lt;/author&gt;&lt;author&gt;Shen, X.&lt;/author&gt;&lt;author&gt;Wang, X.&lt;/author&gt;&lt;author&gt;Li, Z.&lt;/author&gt;&lt;author&gt;Yu, H.&lt;/author&gt;&lt;author&gt;Chen, K.&lt;/author&gt;&lt;author&gt;Hu, Q.&lt;/author&gt;&lt;author&gt;Xia, X.&lt;/author&gt;&lt;author&gt;Liu, S.&lt;/author&gt;&lt;author&gt;Guan, W.&lt;/author&gt;&lt;/authors&gt;&lt;/contributors&gt;&lt;auth-address&gt;Department of General Surgery, Nanjing Drum Tower Hospital, The Affiliated Hospital of Nanjing University Medical School, Nanjing, China.&amp;#xD;Department of General Surgery, Nanjing Drum Tower Hospital Clinical College of Nanjing Medical University, Nanjing, China.&lt;/auth-address&gt;&lt;titles&gt;&lt;title&gt;Apolipoprotein C-II induces EMT to promote gastric cancer peritoneal metastasis via PI3K/AKT/mTOR pathway&lt;/title&gt;&lt;secondary-title&gt;Clin Transl Med&lt;/secondary-title&gt;&lt;/titles&gt;&lt;periodical&gt;&lt;full-title&gt;Clin Transl Med&lt;/full-title&gt;&lt;/periodical&gt;&lt;pages&gt;e522&lt;/pages&gt;&lt;volume&gt;11&lt;/volume&gt;&lt;number&gt;8&lt;/number&gt;&lt;edition&gt;2021/08/31&lt;/edition&gt;&lt;keywords&gt;&lt;keyword&gt;*apoc2&lt;/keyword&gt;&lt;keyword&gt;*cd36&lt;/keyword&gt;&lt;keyword&gt;*emt&lt;/keyword&gt;&lt;keyword&gt;*PI3K/AKT/mTOR&lt;/keyword&gt;&lt;keyword&gt;*gastric cancer&lt;/keyword&gt;&lt;keyword&gt;*metabolism&lt;/keyword&gt;&lt;keyword&gt;*peritoneal metastasis&lt;/keyword&gt;&lt;/keywords&gt;&lt;dates&gt;&lt;year&gt;2021&lt;/year&gt;&lt;pub-dates&gt;&lt;date&gt;Aug&lt;/date&gt;&lt;/pub-dates&gt;&lt;/dates&gt;&lt;isbn&gt;2001-1326&lt;/isbn&gt;&lt;accession-num&gt;34459127&lt;/accession-num&gt;&lt;urls&gt;&lt;/urls&gt;&lt;custom2&gt;PMC8351524&lt;/custom2&gt;&lt;electronic-resource-num&gt;10.1002/ctm2.522&lt;/electronic-resource-num&gt;&lt;remote-database-provider&gt;NLM&lt;/remote-database-provider&gt;&lt;language&gt;eng&lt;/language&gt;&lt;/record&gt;&lt;/Cite&gt;&lt;/EndNote&gt;</w:instrText>
      </w:r>
      <w:r w:rsidR="0008683E">
        <w:rPr>
          <w:rFonts w:ascii="Times New Roman" w:eastAsia="NimbusSanL-Regu" w:hAnsi="Times New Roman" w:cs="Times New Roman"/>
          <w:kern w:val="0"/>
          <w:szCs w:val="21"/>
        </w:rPr>
        <w:fldChar w:fldCharType="separate"/>
      </w:r>
      <w:r w:rsidR="0008683E">
        <w:rPr>
          <w:rFonts w:ascii="Times New Roman" w:eastAsia="NimbusSanL-Regu" w:hAnsi="Times New Roman" w:cs="Times New Roman"/>
          <w:noProof/>
          <w:kern w:val="0"/>
          <w:szCs w:val="21"/>
        </w:rPr>
        <w:t>[1]</w:t>
      </w:r>
      <w:r w:rsidR="0008683E">
        <w:rPr>
          <w:rFonts w:ascii="Times New Roman" w:eastAsia="NimbusSanL-Regu" w:hAnsi="Times New Roman" w:cs="Times New Roman"/>
          <w:kern w:val="0"/>
          <w:szCs w:val="21"/>
        </w:rPr>
        <w:fldChar w:fldCharType="end"/>
      </w:r>
      <w:r w:rsidR="00087A9F" w:rsidRPr="00087A9F">
        <w:rPr>
          <w:rFonts w:ascii="Times New Roman" w:eastAsia="NimbusSanL-Regu" w:hAnsi="Times New Roman" w:cs="Times New Roman"/>
          <w:kern w:val="0"/>
          <w:szCs w:val="21"/>
        </w:rPr>
        <w:t>.</w:t>
      </w:r>
    </w:p>
    <w:p w14:paraId="38652B7D" w14:textId="78DD63BC" w:rsidR="00D82214" w:rsidRPr="004A1373" w:rsidRDefault="00D82214" w:rsidP="004A1373">
      <w:pPr>
        <w:rPr>
          <w:rFonts w:ascii="Times New Roman" w:hAnsi="Times New Roman" w:cs="Times New Roman"/>
          <w:b/>
          <w:bCs/>
          <w:szCs w:val="21"/>
        </w:rPr>
      </w:pPr>
      <w:r w:rsidRPr="004A1373">
        <w:rPr>
          <w:rFonts w:ascii="Times New Roman" w:hAnsi="Times New Roman" w:cs="Times New Roman"/>
          <w:b/>
          <w:bCs/>
          <w:szCs w:val="21"/>
        </w:rPr>
        <w:t xml:space="preserve">Protein extraction </w:t>
      </w:r>
    </w:p>
    <w:p w14:paraId="71E2F462" w14:textId="60480F1E" w:rsidR="00FC6E37" w:rsidRPr="004A1373" w:rsidRDefault="00FC6E37" w:rsidP="004A1373">
      <w:pPr>
        <w:rPr>
          <w:rFonts w:ascii="Times New Roman" w:eastAsia="NimbusSanL-Regu" w:hAnsi="Times New Roman" w:cs="Times New Roman"/>
          <w:kern w:val="0"/>
          <w:szCs w:val="21"/>
        </w:rPr>
      </w:pPr>
      <w:r w:rsidRPr="004A1373">
        <w:rPr>
          <w:rFonts w:ascii="Times New Roman" w:eastAsia="NimbusSanL-Regu" w:hAnsi="Times New Roman" w:cs="Times New Roman"/>
          <w:kern w:val="0"/>
          <w:szCs w:val="21"/>
        </w:rPr>
        <w:t xml:space="preserve">(1) </w:t>
      </w:r>
      <w:r w:rsidR="00CC395F" w:rsidRPr="004A1373">
        <w:rPr>
          <w:rFonts w:ascii="Times New Roman" w:eastAsia="NimbusSanL-Regu" w:hAnsi="Times New Roman" w:cs="Times New Roman"/>
          <w:kern w:val="0"/>
          <w:szCs w:val="21"/>
        </w:rPr>
        <w:t>w</w:t>
      </w:r>
      <w:r w:rsidRPr="004A1373">
        <w:rPr>
          <w:rFonts w:ascii="Times New Roman" w:eastAsia="NimbusSanL-Regu" w:hAnsi="Times New Roman" w:cs="Times New Roman"/>
          <w:kern w:val="0"/>
          <w:szCs w:val="21"/>
        </w:rPr>
        <w:t>eigh the appropriate amount of sample, transfer it into a 1.5mL centrifuge tube</w:t>
      </w:r>
      <w:r w:rsidR="00C64330" w:rsidRPr="004A1373">
        <w:rPr>
          <w:rFonts w:ascii="Times New Roman" w:eastAsia="NimbusSanL-Regu" w:hAnsi="Times New Roman" w:cs="Times New Roman"/>
          <w:kern w:val="0"/>
          <w:szCs w:val="21"/>
        </w:rPr>
        <w:t>;</w:t>
      </w:r>
      <w:r w:rsidR="009C5823" w:rsidRPr="004A1373">
        <w:rPr>
          <w:rFonts w:ascii="Times New Roman" w:eastAsia="NimbusSanL-Regu" w:hAnsi="Times New Roman" w:cs="Times New Roman"/>
          <w:kern w:val="0"/>
          <w:szCs w:val="21"/>
        </w:rPr>
        <w:t xml:space="preserve"> (2) </w:t>
      </w:r>
      <w:r w:rsidR="00CC395F" w:rsidRPr="004A1373">
        <w:rPr>
          <w:rFonts w:ascii="Times New Roman" w:eastAsia="NimbusSanL-Regu" w:hAnsi="Times New Roman" w:cs="Times New Roman"/>
          <w:kern w:val="0"/>
          <w:szCs w:val="21"/>
        </w:rPr>
        <w:t>a</w:t>
      </w:r>
      <w:r w:rsidR="009C5823" w:rsidRPr="004A1373">
        <w:rPr>
          <w:rFonts w:ascii="Times New Roman" w:eastAsia="NimbusSanL-Regu" w:hAnsi="Times New Roman" w:cs="Times New Roman"/>
          <w:kern w:val="0"/>
          <w:szCs w:val="21"/>
        </w:rPr>
        <w:t xml:space="preserve">dd </w:t>
      </w:r>
      <w:r w:rsidR="00D82214" w:rsidRPr="004A1373">
        <w:rPr>
          <w:rFonts w:ascii="Times New Roman" w:eastAsia="NimbusSanL-Regu" w:hAnsi="Times New Roman" w:cs="Times New Roman"/>
          <w:kern w:val="0"/>
          <w:szCs w:val="21"/>
        </w:rPr>
        <w:t>a 5mm magnetic bead</w:t>
      </w:r>
      <w:r w:rsidR="00112EDC" w:rsidRPr="004A1373">
        <w:rPr>
          <w:rFonts w:ascii="Times New Roman" w:eastAsia="NimbusSanL-Regu" w:hAnsi="Times New Roman" w:cs="Times New Roman"/>
          <w:kern w:val="0"/>
          <w:szCs w:val="21"/>
        </w:rPr>
        <w:t>,</w:t>
      </w:r>
      <w:r w:rsidR="00D82214" w:rsidRPr="004A1373">
        <w:rPr>
          <w:rFonts w:ascii="Times New Roman" w:eastAsia="NimbusSanL-Regu" w:hAnsi="Times New Roman" w:cs="Times New Roman"/>
          <w:kern w:val="0"/>
          <w:szCs w:val="21"/>
        </w:rPr>
        <w:t xml:space="preserve"> an appropriate amount of Lysis Buffer 3</w:t>
      </w:r>
      <w:r w:rsidR="00112EDC" w:rsidRPr="004A1373">
        <w:rPr>
          <w:rFonts w:ascii="Times New Roman" w:eastAsia="NimbusSanL-Regu" w:hAnsi="Times New Roman" w:cs="Times New Roman"/>
          <w:kern w:val="0"/>
          <w:szCs w:val="21"/>
        </w:rPr>
        <w:t>, 1mM PMSF</w:t>
      </w:r>
      <w:r w:rsidR="00CC395F" w:rsidRPr="004A1373">
        <w:rPr>
          <w:rFonts w:ascii="Times New Roman" w:eastAsia="NimbusSanL-Regu" w:hAnsi="Times New Roman" w:cs="Times New Roman"/>
          <w:kern w:val="0"/>
          <w:szCs w:val="21"/>
        </w:rPr>
        <w:t>,</w:t>
      </w:r>
      <w:r w:rsidR="00112EDC" w:rsidRPr="004A1373">
        <w:rPr>
          <w:rFonts w:ascii="Times New Roman" w:eastAsia="NimbusSanL-Regu" w:hAnsi="Times New Roman" w:cs="Times New Roman"/>
          <w:kern w:val="0"/>
          <w:szCs w:val="21"/>
        </w:rPr>
        <w:t xml:space="preserve"> 2mM EDTA, </w:t>
      </w:r>
      <w:r w:rsidR="00CC395F" w:rsidRPr="004A1373">
        <w:rPr>
          <w:rFonts w:ascii="Times New Roman" w:eastAsia="NimbusSanL-Regu" w:hAnsi="Times New Roman" w:cs="Times New Roman"/>
          <w:kern w:val="0"/>
          <w:szCs w:val="21"/>
        </w:rPr>
        <w:t xml:space="preserve">and </w:t>
      </w:r>
      <w:r w:rsidR="00112EDC" w:rsidRPr="004A1373">
        <w:rPr>
          <w:rFonts w:ascii="Times New Roman" w:eastAsia="NimbusSanL-Regu" w:hAnsi="Times New Roman" w:cs="Times New Roman"/>
          <w:kern w:val="0"/>
          <w:szCs w:val="21"/>
        </w:rPr>
        <w:t xml:space="preserve">put on ice for 5 minutes, </w:t>
      </w:r>
      <w:r w:rsidR="00CC395F" w:rsidRPr="004A1373">
        <w:rPr>
          <w:rFonts w:ascii="Times New Roman" w:eastAsia="NimbusSanL-Regu" w:hAnsi="Times New Roman" w:cs="Times New Roman"/>
          <w:kern w:val="0"/>
          <w:szCs w:val="21"/>
        </w:rPr>
        <w:t xml:space="preserve">then </w:t>
      </w:r>
      <w:r w:rsidR="00112EDC" w:rsidRPr="004A1373">
        <w:rPr>
          <w:rFonts w:ascii="Times New Roman" w:eastAsia="NimbusSanL-Regu" w:hAnsi="Times New Roman" w:cs="Times New Roman"/>
          <w:kern w:val="0"/>
          <w:szCs w:val="21"/>
        </w:rPr>
        <w:t>add DTT with the final concentration of 10mM</w:t>
      </w:r>
      <w:r w:rsidR="00C64330" w:rsidRPr="004A1373">
        <w:rPr>
          <w:rFonts w:ascii="Times New Roman" w:eastAsia="NimbusSanL-Regu" w:hAnsi="Times New Roman" w:cs="Times New Roman"/>
          <w:kern w:val="0"/>
          <w:szCs w:val="21"/>
        </w:rPr>
        <w:t>; (3)</w:t>
      </w:r>
      <w:r w:rsidR="00CC395F" w:rsidRPr="004A1373">
        <w:rPr>
          <w:rFonts w:ascii="Times New Roman" w:eastAsia="NimbusSanL-Regu" w:hAnsi="Times New Roman" w:cs="Times New Roman"/>
          <w:kern w:val="0"/>
          <w:szCs w:val="21"/>
        </w:rPr>
        <w:t xml:space="preserve"> use a grinder (frequency, 50HZ; time 2 minutes) to crush the tissue, centrifuge at 25,000g*4°C for 15 minutes, and take the supernatant; (4) add DTT with the final concentration of 10mM, water bath at 56°C for 1 hour; (5) (4) add 55mM IAM and place in a dark room for 45 minutes; (5) </w:t>
      </w:r>
      <w:r w:rsidR="00153075" w:rsidRPr="004A1373">
        <w:rPr>
          <w:rFonts w:ascii="Times New Roman" w:eastAsia="NimbusSanL-Regu" w:hAnsi="Times New Roman" w:cs="Times New Roman"/>
          <w:kern w:val="0"/>
          <w:szCs w:val="21"/>
        </w:rPr>
        <w:t>a</w:t>
      </w:r>
      <w:r w:rsidR="00CC395F" w:rsidRPr="004A1373">
        <w:rPr>
          <w:rFonts w:ascii="Times New Roman" w:eastAsia="NimbusSanL-Regu" w:hAnsi="Times New Roman" w:cs="Times New Roman"/>
          <w:kern w:val="0"/>
          <w:szCs w:val="21"/>
        </w:rPr>
        <w:t>dd cold acetone to the protein solution at a ratio of 1:</w:t>
      </w:r>
      <w:r w:rsidR="00153075" w:rsidRPr="004A1373">
        <w:rPr>
          <w:rFonts w:ascii="Times New Roman" w:eastAsia="NimbusSanL-Regu" w:hAnsi="Times New Roman" w:cs="Times New Roman"/>
          <w:kern w:val="0"/>
          <w:szCs w:val="21"/>
        </w:rPr>
        <w:t>4</w:t>
      </w:r>
      <w:r w:rsidR="00CC395F" w:rsidRPr="004A1373">
        <w:rPr>
          <w:rFonts w:ascii="Times New Roman" w:eastAsia="NimbusSanL-Regu" w:hAnsi="Times New Roman" w:cs="Times New Roman"/>
          <w:kern w:val="0"/>
          <w:szCs w:val="21"/>
        </w:rPr>
        <w:t>, place in a refrigerator at -20°C for</w:t>
      </w:r>
      <w:r w:rsidR="00153075" w:rsidRPr="004A1373">
        <w:rPr>
          <w:rFonts w:ascii="Times New Roman" w:eastAsia="NimbusSanL-Regu" w:hAnsi="Times New Roman" w:cs="Times New Roman"/>
          <w:kern w:val="0"/>
          <w:szCs w:val="21"/>
        </w:rPr>
        <w:t xml:space="preserve"> 2 hours</w:t>
      </w:r>
      <w:r w:rsidR="00CC395F" w:rsidRPr="004A1373">
        <w:rPr>
          <w:rFonts w:ascii="Times New Roman" w:eastAsia="NimbusSanL-Regu" w:hAnsi="Times New Roman" w:cs="Times New Roman"/>
          <w:kern w:val="0"/>
          <w:szCs w:val="21"/>
        </w:rPr>
        <w:t>, centrifuge at 25,000g*4°C for 15 minutes, and discard the supernatant;</w:t>
      </w:r>
      <w:r w:rsidR="00376A9D" w:rsidRPr="004A1373">
        <w:rPr>
          <w:rFonts w:ascii="Times New Roman" w:eastAsia="NimbusSanL-Regu" w:hAnsi="Times New Roman" w:cs="Times New Roman"/>
          <w:kern w:val="0"/>
          <w:szCs w:val="21"/>
        </w:rPr>
        <w:t xml:space="preserve"> (6) add a 5mm magnetic bead and an appropriate amount of </w:t>
      </w:r>
      <w:r w:rsidR="00CD6EBD" w:rsidRPr="004A1373">
        <w:rPr>
          <w:rFonts w:ascii="Times New Roman" w:eastAsia="NimbusSanL-Regu" w:hAnsi="Times New Roman" w:cs="Times New Roman"/>
          <w:kern w:val="0"/>
          <w:szCs w:val="21"/>
        </w:rPr>
        <w:t>L</w:t>
      </w:r>
      <w:r w:rsidR="00376A9D" w:rsidRPr="004A1373">
        <w:rPr>
          <w:rFonts w:ascii="Times New Roman" w:eastAsia="NimbusSanL-Regu" w:hAnsi="Times New Roman" w:cs="Times New Roman"/>
          <w:kern w:val="0"/>
          <w:szCs w:val="21"/>
        </w:rPr>
        <w:t xml:space="preserve">ysis </w:t>
      </w:r>
      <w:r w:rsidR="00CD6EBD" w:rsidRPr="004A1373">
        <w:rPr>
          <w:rFonts w:ascii="Times New Roman" w:eastAsia="NimbusSanL-Regu" w:hAnsi="Times New Roman" w:cs="Times New Roman"/>
          <w:kern w:val="0"/>
          <w:szCs w:val="21"/>
        </w:rPr>
        <w:t>B</w:t>
      </w:r>
      <w:r w:rsidR="00376A9D" w:rsidRPr="004A1373">
        <w:rPr>
          <w:rFonts w:ascii="Times New Roman" w:eastAsia="NimbusSanL-Regu" w:hAnsi="Times New Roman" w:cs="Times New Roman"/>
          <w:kern w:val="0"/>
          <w:szCs w:val="21"/>
        </w:rPr>
        <w:t>uffer 3</w:t>
      </w:r>
      <w:r w:rsidR="00CD6EBD" w:rsidRPr="004A1373">
        <w:rPr>
          <w:rFonts w:ascii="Times New Roman" w:eastAsia="NimbusSanL-Regu" w:hAnsi="Times New Roman" w:cs="Times New Roman"/>
          <w:kern w:val="0"/>
          <w:szCs w:val="21"/>
        </w:rPr>
        <w:t xml:space="preserve"> for precipitation; (7) use a grinder (frequency, 50HZ; time, 2 minutes) to promote protein solubilization; (8) Centrifuge for 15 minutes at 25,000g*4°C to take the supernatant, obtain the final protein solution.</w:t>
      </w:r>
    </w:p>
    <w:p w14:paraId="4778DA6C" w14:textId="30369D1C" w:rsidR="0056188A" w:rsidRPr="004A1373" w:rsidRDefault="0056188A" w:rsidP="004A1373">
      <w:pPr>
        <w:rPr>
          <w:rFonts w:ascii="Times New Roman" w:hAnsi="Times New Roman" w:cs="Times New Roman"/>
          <w:b/>
          <w:bCs/>
          <w:szCs w:val="21"/>
        </w:rPr>
      </w:pPr>
      <w:r w:rsidRPr="004A1373">
        <w:rPr>
          <w:rFonts w:ascii="Times New Roman" w:hAnsi="Times New Roman" w:cs="Times New Roman"/>
          <w:b/>
          <w:bCs/>
          <w:szCs w:val="21"/>
        </w:rPr>
        <w:t>Quality control</w:t>
      </w:r>
    </w:p>
    <w:p w14:paraId="3A360799" w14:textId="0B3A29E5" w:rsidR="004A1373" w:rsidRPr="004A1373" w:rsidRDefault="004A1373" w:rsidP="004A1373">
      <w:pPr>
        <w:autoSpaceDE w:val="0"/>
        <w:autoSpaceDN w:val="0"/>
        <w:adjustRightInd w:val="0"/>
        <w:rPr>
          <w:rFonts w:ascii="Times New Roman" w:eastAsia="NimbusSanL-Regu" w:hAnsi="Times New Roman" w:cs="Times New Roman"/>
          <w:kern w:val="0"/>
          <w:szCs w:val="21"/>
        </w:rPr>
      </w:pPr>
      <w:r w:rsidRPr="004A1373">
        <w:rPr>
          <w:rFonts w:ascii="Times New Roman" w:eastAsia="NimbusSanL-Regu" w:hAnsi="Times New Roman" w:cs="Times New Roman"/>
          <w:kern w:val="0"/>
          <w:szCs w:val="21"/>
        </w:rPr>
        <w:t>(1) Standard proteins (0.2μg/</w:t>
      </w:r>
      <w:proofErr w:type="spellStart"/>
      <w:r w:rsidRPr="004A1373">
        <w:rPr>
          <w:rFonts w:ascii="Times New Roman" w:eastAsia="NimbusSanL-Regu" w:hAnsi="Times New Roman" w:cs="Times New Roman"/>
          <w:kern w:val="0"/>
          <w:szCs w:val="21"/>
        </w:rPr>
        <w:t>μL</w:t>
      </w:r>
      <w:proofErr w:type="spellEnd"/>
      <w:r w:rsidRPr="004A1373">
        <w:rPr>
          <w:rFonts w:ascii="Times New Roman" w:eastAsia="NimbusSanL-Regu" w:hAnsi="Times New Roman" w:cs="Times New Roman"/>
          <w:kern w:val="0"/>
          <w:szCs w:val="21"/>
        </w:rPr>
        <w:t xml:space="preserve"> BSA) 0, 2, 4, 6, 8, 10, 12, 14, 16, 18μL were sequentially added to the 96-well microtiter plates A1 to A10, followed by the addition of pure water 20, 18, 16, 14, 12, 10, 8, 6, 4, 2μL, and then 180μL of Coomassie Brilliant Blue G-250 Quantitative Working Solution was added to each well. The OD595 was measured with a microplate reader, and a linear standard curve was drawn based on the OD595 and protein concentration. Diluted the protein solution to be tested several times, added 180μL of the quantitative working solution to 20μL of the protein solution, and read at OD595. The sample protein concentration was calculated from the standard curve and sample OD595. (2) Each 10μg of protein solution was mixed with an appropriate amount of loading buffer, heated at 95°C for 5 minutes, centrifuged at 25,000g for 5 minutes, and the supernatant was loaded into a well of a 12% SDS polyacrylamide gel, 80V constant pressure electrophoresis for 30 minutes followed by 120V constant pressure electrophoresis for 120 minutes; After electrophoresis, the gel was stained and de-stained by a protein staining instrument for 10 minutes and the images were scanned.</w:t>
      </w:r>
    </w:p>
    <w:p w14:paraId="6A5B48E9" w14:textId="2F8BC510" w:rsidR="004A1373" w:rsidRPr="004A1373" w:rsidRDefault="004A1373" w:rsidP="004A1373">
      <w:pPr>
        <w:rPr>
          <w:rFonts w:ascii="Times New Roman" w:hAnsi="Times New Roman" w:cs="Times New Roman"/>
          <w:b/>
          <w:bCs/>
          <w:szCs w:val="21"/>
        </w:rPr>
      </w:pPr>
      <w:proofErr w:type="spellStart"/>
      <w:r w:rsidRPr="004A1373">
        <w:rPr>
          <w:rFonts w:ascii="Times New Roman" w:hAnsi="Times New Roman" w:cs="Times New Roman"/>
          <w:b/>
          <w:bCs/>
          <w:szCs w:val="21"/>
        </w:rPr>
        <w:t>Enzymolysis</w:t>
      </w:r>
      <w:proofErr w:type="spellEnd"/>
    </w:p>
    <w:p w14:paraId="3208CFD7" w14:textId="506EE3DD" w:rsidR="004A1373" w:rsidRDefault="004A1373" w:rsidP="004A1373">
      <w:pPr>
        <w:rPr>
          <w:rFonts w:ascii="Times New Roman" w:hAnsi="Times New Roman" w:cs="Times New Roman"/>
          <w:szCs w:val="21"/>
        </w:rPr>
      </w:pPr>
      <w:r w:rsidRPr="004A1373">
        <w:rPr>
          <w:rFonts w:ascii="Times New Roman" w:hAnsi="Times New Roman" w:cs="Times New Roman"/>
          <w:szCs w:val="21"/>
        </w:rPr>
        <w:t xml:space="preserve">(1) Sampling: Took 100μg (total amount of protein for digestion is adjusted according to </w:t>
      </w:r>
      <w:proofErr w:type="spellStart"/>
      <w:r w:rsidRPr="004A1373">
        <w:rPr>
          <w:rFonts w:ascii="Times New Roman" w:hAnsi="Times New Roman" w:cs="Times New Roman"/>
          <w:szCs w:val="21"/>
        </w:rPr>
        <w:t>theproject</w:t>
      </w:r>
      <w:proofErr w:type="spellEnd"/>
      <w:r w:rsidRPr="004A1373">
        <w:rPr>
          <w:rFonts w:ascii="Times New Roman" w:hAnsi="Times New Roman" w:cs="Times New Roman"/>
          <w:szCs w:val="21"/>
        </w:rPr>
        <w:t xml:space="preserve"> requirements) and added it to a 1.5mL centrifuge tube; (2) Dilution of protein solution: If there is high concentration of urea or SDS in the protein solution, it should be diluted with 0.5M TEAB to make the final concentration of urea less than 2M, and the final concentration of SDS is less than 0.1%; (3) According to Trypsin enzyme (</w:t>
      </w:r>
      <w:proofErr w:type="spellStart"/>
      <w:r w:rsidRPr="004A1373">
        <w:rPr>
          <w:rFonts w:ascii="Times New Roman" w:hAnsi="Times New Roman" w:cs="Times New Roman"/>
          <w:szCs w:val="21"/>
        </w:rPr>
        <w:t>μg</w:t>
      </w:r>
      <w:proofErr w:type="spellEnd"/>
      <w:r w:rsidRPr="004A1373">
        <w:rPr>
          <w:rFonts w:ascii="Times New Roman" w:hAnsi="Times New Roman" w:cs="Times New Roman"/>
          <w:szCs w:val="21"/>
        </w:rPr>
        <w:t>): substrate protein (</w:t>
      </w:r>
      <w:proofErr w:type="spellStart"/>
      <w:r w:rsidRPr="004A1373">
        <w:rPr>
          <w:rFonts w:ascii="Times New Roman" w:hAnsi="Times New Roman" w:cs="Times New Roman"/>
          <w:szCs w:val="21"/>
        </w:rPr>
        <w:t>μg</w:t>
      </w:r>
      <w:proofErr w:type="spellEnd"/>
      <w:r w:rsidRPr="004A1373">
        <w:rPr>
          <w:rFonts w:ascii="Times New Roman" w:hAnsi="Times New Roman" w:cs="Times New Roman"/>
          <w:szCs w:val="21"/>
        </w:rPr>
        <w:t>) = 1:20, enzyme solution was added, vortexed, centrifuged at low speed for 1 minute, and incubated at 37°C for 4 hours; (4) Took out the digested peptide liquid for desalting; (5) Freeze-dried the peptide liquid obtained after salt removal.</w:t>
      </w:r>
    </w:p>
    <w:p w14:paraId="49287558" w14:textId="2ABECE81" w:rsidR="00635A34" w:rsidRPr="00635A34" w:rsidRDefault="00635A34" w:rsidP="004A1373">
      <w:pPr>
        <w:rPr>
          <w:rFonts w:ascii="Times New Roman" w:hAnsi="Times New Roman" w:cs="Times New Roman"/>
          <w:b/>
          <w:bCs/>
          <w:szCs w:val="21"/>
        </w:rPr>
      </w:pPr>
      <w:r w:rsidRPr="00635A34">
        <w:rPr>
          <w:rFonts w:ascii="Times New Roman" w:hAnsi="Times New Roman" w:cs="Times New Roman"/>
          <w:b/>
          <w:bCs/>
          <w:szCs w:val="21"/>
        </w:rPr>
        <w:t>High pH reverse-phase separation</w:t>
      </w:r>
    </w:p>
    <w:p w14:paraId="7504EC7F" w14:textId="2F501710" w:rsidR="00635A34" w:rsidRDefault="00635A34" w:rsidP="004A1373">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All samples were mixed equally (10μg/sample), and 200μg sample was diluted with 2 mL buffer A (5% ACN, pH 9.8) and injected onto a Shimadzu LC-20AB liquid phase system. A 5 </w:t>
      </w:r>
      <w:proofErr w:type="spellStart"/>
      <w:r>
        <w:rPr>
          <w:rFonts w:ascii="Times New Roman" w:hAnsi="Times New Roman" w:cs="Times New Roman"/>
          <w:color w:val="000000"/>
          <w:shd w:val="clear" w:color="auto" w:fill="FFFFFF"/>
        </w:rPr>
        <w:t>μm</w:t>
      </w:r>
      <w:proofErr w:type="spellEnd"/>
      <w:r>
        <w:rPr>
          <w:rFonts w:ascii="Times New Roman" w:hAnsi="Times New Roman" w:cs="Times New Roman"/>
          <w:color w:val="000000"/>
          <w:shd w:val="clear" w:color="auto" w:fill="FFFFFF"/>
        </w:rPr>
        <w:t xml:space="preserve">, 4.6 x 250 mm Gemini C18 column was used for liquid phase separation of samples. Gradient elution was applied at a flow rate of 1 mL/min: 5% buffer B (95% ACN, pH 9.8) for 10 min, 5% to 35% buffer B for 40 min, and 35% to 95% buffer B for 1 min. Phase B lasted 3 min and 5% buffer B was </w:t>
      </w:r>
      <w:r>
        <w:rPr>
          <w:rFonts w:ascii="Times New Roman" w:hAnsi="Times New Roman" w:cs="Times New Roman"/>
          <w:color w:val="000000"/>
          <w:shd w:val="clear" w:color="auto" w:fill="FFFFFF"/>
        </w:rPr>
        <w:lastRenderedPageBreak/>
        <w:t>equilibrated for 10 min. The elution peak was monitored at a wavelength of 214 nm and one component was collected every minute. The sample was combined with the elution peak of the chromatogram to obtain 10 components, and then freeze-dried.</w:t>
      </w:r>
    </w:p>
    <w:p w14:paraId="2E918A65" w14:textId="69DC27F3" w:rsidR="0061649A" w:rsidRDefault="0061649A" w:rsidP="004A1373">
      <w:pPr>
        <w:rPr>
          <w:rFonts w:ascii="Times New Roman" w:hAnsi="Times New Roman" w:cs="Times New Roman"/>
          <w:b/>
          <w:bCs/>
          <w:szCs w:val="21"/>
        </w:rPr>
      </w:pPr>
      <w:r w:rsidRPr="0061649A">
        <w:rPr>
          <w:rFonts w:ascii="Times New Roman" w:hAnsi="Times New Roman" w:cs="Times New Roman"/>
          <w:b/>
          <w:bCs/>
          <w:szCs w:val="21"/>
        </w:rPr>
        <w:t>High performance liquid chromatography</w:t>
      </w:r>
      <w:r>
        <w:rPr>
          <w:rFonts w:ascii="Times New Roman" w:hAnsi="Times New Roman" w:cs="Times New Roman"/>
          <w:b/>
          <w:bCs/>
          <w:szCs w:val="21"/>
        </w:rPr>
        <w:t xml:space="preserve"> (HPLC)</w:t>
      </w:r>
    </w:p>
    <w:p w14:paraId="3DF57C4E" w14:textId="3EA7FC2E" w:rsidR="0061649A" w:rsidRDefault="0061649A" w:rsidP="004A1373">
      <w:pPr>
        <w:rPr>
          <w:rFonts w:ascii="Times New Roman" w:hAnsi="Times New Roman" w:cs="Times New Roman"/>
          <w:szCs w:val="21"/>
        </w:rPr>
      </w:pPr>
      <w:r w:rsidRPr="0061649A">
        <w:rPr>
          <w:rFonts w:ascii="Times New Roman" w:hAnsi="Times New Roman" w:cs="Times New Roman"/>
          <w:szCs w:val="21"/>
        </w:rPr>
        <w:t xml:space="preserve">The dried peptide samples were reconstituted with mobile phase A (2% ACN, 0.1% FA), centrifuged at 20,000g for 10 minutes, and the supernatant was taken for injection. Separation was performed by Thermo </w:t>
      </w:r>
      <w:proofErr w:type="spellStart"/>
      <w:r w:rsidRPr="0061649A">
        <w:rPr>
          <w:rFonts w:ascii="Times New Roman" w:hAnsi="Times New Roman" w:cs="Times New Roman"/>
          <w:szCs w:val="21"/>
        </w:rPr>
        <w:t>UltiMate</w:t>
      </w:r>
      <w:proofErr w:type="spellEnd"/>
      <w:r w:rsidRPr="0061649A">
        <w:rPr>
          <w:rFonts w:ascii="Times New Roman" w:hAnsi="Times New Roman" w:cs="Times New Roman"/>
          <w:szCs w:val="21"/>
        </w:rPr>
        <w:t xml:space="preserve"> 3000 UHPLC. The sample was first enriched in trap column and desalted, and then entered a self-packed C18 column (</w:t>
      </w:r>
      <w:r>
        <w:rPr>
          <w:rFonts w:ascii="Times New Roman" w:hAnsi="Times New Roman" w:cs="Times New Roman"/>
          <w:color w:val="000000"/>
          <w:shd w:val="clear" w:color="auto" w:fill="FFFFFF"/>
        </w:rPr>
        <w:t xml:space="preserve">150 </w:t>
      </w:r>
      <w:proofErr w:type="spellStart"/>
      <w:r>
        <w:rPr>
          <w:rFonts w:ascii="Times New Roman" w:hAnsi="Times New Roman" w:cs="Times New Roman"/>
          <w:color w:val="000000"/>
          <w:shd w:val="clear" w:color="auto" w:fill="FFFFFF"/>
        </w:rPr>
        <w:t>μm</w:t>
      </w:r>
      <w:proofErr w:type="spellEnd"/>
      <w:r>
        <w:rPr>
          <w:rFonts w:ascii="Times New Roman" w:hAnsi="Times New Roman" w:cs="Times New Roman"/>
          <w:color w:val="000000"/>
          <w:shd w:val="clear" w:color="auto" w:fill="FFFFFF"/>
        </w:rPr>
        <w:t xml:space="preserve"> inner diameter, 1.8 </w:t>
      </w:r>
      <w:proofErr w:type="spellStart"/>
      <w:r>
        <w:rPr>
          <w:rFonts w:ascii="Times New Roman" w:hAnsi="Times New Roman" w:cs="Times New Roman"/>
          <w:color w:val="000000"/>
          <w:shd w:val="clear" w:color="auto" w:fill="FFFFFF"/>
        </w:rPr>
        <w:t>μm</w:t>
      </w:r>
      <w:proofErr w:type="spellEnd"/>
      <w:r>
        <w:rPr>
          <w:rFonts w:ascii="Times New Roman" w:hAnsi="Times New Roman" w:cs="Times New Roman"/>
          <w:color w:val="000000"/>
          <w:shd w:val="clear" w:color="auto" w:fill="FFFFFF"/>
        </w:rPr>
        <w:t xml:space="preserve"> column diameter, 25 cm column length</w:t>
      </w:r>
      <w:r w:rsidRPr="0061649A">
        <w:rPr>
          <w:rFonts w:ascii="Times New Roman" w:hAnsi="Times New Roman" w:cs="Times New Roman"/>
          <w:szCs w:val="21"/>
        </w:rPr>
        <w:t xml:space="preserve">) and separated at a flow rate of </w:t>
      </w:r>
      <w:r w:rsidR="00C773DD">
        <w:rPr>
          <w:rFonts w:ascii="Times New Roman" w:hAnsi="Times New Roman" w:cs="Times New Roman"/>
          <w:szCs w:val="21"/>
        </w:rPr>
        <w:t>5</w:t>
      </w:r>
      <w:r w:rsidRPr="0061649A">
        <w:rPr>
          <w:rFonts w:ascii="Times New Roman" w:hAnsi="Times New Roman" w:cs="Times New Roman"/>
          <w:szCs w:val="21"/>
        </w:rPr>
        <w:t xml:space="preserve">00nL/min by the following effective gradient: </w:t>
      </w:r>
      <w:r w:rsidR="00C773DD" w:rsidRPr="00C773DD">
        <w:rPr>
          <w:rFonts w:ascii="Times New Roman" w:hAnsi="Times New Roman" w:cs="Times New Roman"/>
          <w:szCs w:val="21"/>
        </w:rPr>
        <w:t>0-5 min, 5% buffer B (98% ACN, 0.1% FA); 5-160 min, 5% to 35% buffer B; 160-170 min, 35% to 80% buffer B; 170-175 min, 80% buffer B; 176-180 min, 5% buffer B. The nanoliter liquid separation end is directly connected to the mass spectrometer.</w:t>
      </w:r>
    </w:p>
    <w:p w14:paraId="4D8254E4" w14:textId="482176DC" w:rsidR="007C188F" w:rsidRDefault="007C188F" w:rsidP="004A1373">
      <w:pPr>
        <w:rPr>
          <w:rFonts w:ascii="Times New Roman" w:hAnsi="Times New Roman" w:cs="Times New Roman"/>
          <w:b/>
          <w:bCs/>
          <w:szCs w:val="21"/>
        </w:rPr>
      </w:pPr>
      <w:r w:rsidRPr="007C188F">
        <w:rPr>
          <w:rFonts w:ascii="Times New Roman" w:hAnsi="Times New Roman" w:cs="Times New Roman"/>
          <w:b/>
          <w:bCs/>
          <w:szCs w:val="21"/>
        </w:rPr>
        <w:t>D</w:t>
      </w:r>
      <w:r>
        <w:rPr>
          <w:rFonts w:ascii="Times New Roman" w:hAnsi="Times New Roman" w:cs="Times New Roman"/>
          <w:b/>
          <w:bCs/>
          <w:szCs w:val="21"/>
        </w:rPr>
        <w:t>D</w:t>
      </w:r>
      <w:r w:rsidRPr="007C188F">
        <w:rPr>
          <w:rFonts w:ascii="Times New Roman" w:hAnsi="Times New Roman" w:cs="Times New Roman"/>
          <w:b/>
          <w:bCs/>
          <w:szCs w:val="21"/>
        </w:rPr>
        <w:t>A proteomics analysis</w:t>
      </w:r>
    </w:p>
    <w:p w14:paraId="46D9B707" w14:textId="68EBEBB4" w:rsidR="007C188F" w:rsidRDefault="007C188F" w:rsidP="004A1373">
      <w:pPr>
        <w:rPr>
          <w:rFonts w:ascii="Times New Roman" w:hAnsi="Times New Roman" w:cs="Times New Roman"/>
          <w:szCs w:val="21"/>
        </w:rPr>
      </w:pPr>
      <w:r w:rsidRPr="007C188F">
        <w:rPr>
          <w:rFonts w:ascii="Times New Roman" w:hAnsi="Times New Roman" w:cs="Times New Roman"/>
          <w:szCs w:val="21"/>
        </w:rPr>
        <w:t xml:space="preserve">The peptides separated by liquid phase chromatography were ionized by a </w:t>
      </w:r>
      <w:proofErr w:type="spellStart"/>
      <w:r w:rsidRPr="007C188F">
        <w:rPr>
          <w:rFonts w:ascii="Times New Roman" w:hAnsi="Times New Roman" w:cs="Times New Roman"/>
          <w:szCs w:val="21"/>
        </w:rPr>
        <w:t>nanoESI</w:t>
      </w:r>
      <w:proofErr w:type="spellEnd"/>
      <w:r w:rsidRPr="007C188F">
        <w:rPr>
          <w:rFonts w:ascii="Times New Roman" w:hAnsi="Times New Roman" w:cs="Times New Roman"/>
          <w:szCs w:val="21"/>
        </w:rPr>
        <w:t xml:space="preserve"> source and then passed to a tandem mass spectrometer Q-</w:t>
      </w:r>
      <w:proofErr w:type="spellStart"/>
      <w:r w:rsidRPr="007C188F">
        <w:rPr>
          <w:rFonts w:ascii="Times New Roman" w:hAnsi="Times New Roman" w:cs="Times New Roman"/>
          <w:szCs w:val="21"/>
        </w:rPr>
        <w:t>Exactive</w:t>
      </w:r>
      <w:proofErr w:type="spellEnd"/>
      <w:r w:rsidRPr="007C188F">
        <w:rPr>
          <w:rFonts w:ascii="Times New Roman" w:hAnsi="Times New Roman" w:cs="Times New Roman"/>
          <w:szCs w:val="21"/>
        </w:rPr>
        <w:t xml:space="preserve"> HF (Thermo Fisher Scientific, San Jose, CA) for DDA mode detection. The main parameters were set: ion source voltage was set to 1.</w:t>
      </w:r>
      <w:r>
        <w:rPr>
          <w:rFonts w:ascii="Times New Roman" w:hAnsi="Times New Roman" w:cs="Times New Roman"/>
          <w:szCs w:val="21"/>
        </w:rPr>
        <w:t>6</w:t>
      </w:r>
      <w:r w:rsidRPr="007C188F">
        <w:rPr>
          <w:rFonts w:ascii="Times New Roman" w:hAnsi="Times New Roman" w:cs="Times New Roman"/>
          <w:szCs w:val="21"/>
        </w:rPr>
        <w:t xml:space="preserve">kV, MS1 scanning range was 350~1,500m/z; resolution was set to 60,000; MS2 starting m/z was fixed at 100; resolution was 15,000. The ion screening conditions for MS2 fragmentation: charge 2+ to </w:t>
      </w:r>
      <w:r>
        <w:rPr>
          <w:rFonts w:ascii="Times New Roman" w:hAnsi="Times New Roman" w:cs="Times New Roman"/>
          <w:szCs w:val="21"/>
        </w:rPr>
        <w:t>7</w:t>
      </w:r>
      <w:r w:rsidRPr="007C188F">
        <w:rPr>
          <w:rFonts w:ascii="Times New Roman" w:hAnsi="Times New Roman" w:cs="Times New Roman"/>
          <w:szCs w:val="21"/>
        </w:rPr>
        <w:t>+, and the top 20 parent ions with the peak intensity exceeding 10,000. The ion fragmentation mode was HCD, and the fragment ions were detected in Orbitrap. The dynamic exclusion time was set to 30 seconds. The AGC was set to: MS1 3E6, MS2 1E5.</w:t>
      </w:r>
    </w:p>
    <w:p w14:paraId="063277C8" w14:textId="5512F7C0" w:rsidR="007C188F" w:rsidRDefault="007C188F" w:rsidP="004A1373">
      <w:pPr>
        <w:rPr>
          <w:rFonts w:ascii="Times New Roman" w:hAnsi="Times New Roman" w:cs="Times New Roman"/>
          <w:b/>
          <w:bCs/>
          <w:szCs w:val="21"/>
        </w:rPr>
      </w:pPr>
      <w:r w:rsidRPr="007C188F">
        <w:rPr>
          <w:rFonts w:ascii="Times New Roman" w:hAnsi="Times New Roman" w:cs="Times New Roman"/>
          <w:b/>
          <w:bCs/>
          <w:szCs w:val="21"/>
        </w:rPr>
        <w:t>D</w:t>
      </w:r>
      <w:r>
        <w:rPr>
          <w:rFonts w:ascii="Times New Roman" w:hAnsi="Times New Roman" w:cs="Times New Roman"/>
          <w:b/>
          <w:bCs/>
          <w:szCs w:val="21"/>
        </w:rPr>
        <w:t>I</w:t>
      </w:r>
      <w:r w:rsidRPr="007C188F">
        <w:rPr>
          <w:rFonts w:ascii="Times New Roman" w:hAnsi="Times New Roman" w:cs="Times New Roman"/>
          <w:b/>
          <w:bCs/>
          <w:szCs w:val="21"/>
        </w:rPr>
        <w:t>A proteomics analysis</w:t>
      </w:r>
    </w:p>
    <w:p w14:paraId="4E84905D" w14:textId="4DBE5EE8" w:rsidR="000F1B99" w:rsidRPr="000F1B99" w:rsidRDefault="007C188F" w:rsidP="004A1373">
      <w:pPr>
        <w:rPr>
          <w:rFonts w:ascii="Times New Roman" w:hAnsi="Times New Roman" w:cs="Times New Roman"/>
          <w:szCs w:val="21"/>
        </w:rPr>
      </w:pPr>
      <w:r>
        <w:rPr>
          <w:rFonts w:ascii="Times New Roman" w:hAnsi="Times New Roman" w:cs="Times New Roman"/>
          <w:color w:val="000000"/>
          <w:shd w:val="clear" w:color="auto" w:fill="FFFFFF"/>
        </w:rPr>
        <w:t xml:space="preserve">The same nano-LC system and gradient are used for DIA analysis. DIA MS parameters were set to: </w:t>
      </w:r>
      <w:r w:rsidR="000F1B99" w:rsidRPr="007C188F">
        <w:rPr>
          <w:rFonts w:ascii="Times New Roman" w:hAnsi="Times New Roman" w:cs="Times New Roman"/>
          <w:szCs w:val="21"/>
        </w:rPr>
        <w:t>ion source voltage was set to 1.</w:t>
      </w:r>
      <w:r w:rsidR="000F1B99">
        <w:rPr>
          <w:rFonts w:ascii="Times New Roman" w:hAnsi="Times New Roman" w:cs="Times New Roman"/>
          <w:szCs w:val="21"/>
        </w:rPr>
        <w:t>6</w:t>
      </w:r>
      <w:r w:rsidR="000F1B99" w:rsidRPr="007C188F">
        <w:rPr>
          <w:rFonts w:ascii="Times New Roman" w:hAnsi="Times New Roman" w:cs="Times New Roman"/>
          <w:szCs w:val="21"/>
        </w:rPr>
        <w:t xml:space="preserve">kV, MS1 scanning range was 350~1,500m/z; resolution was set to </w:t>
      </w:r>
      <w:r w:rsidR="000F1B99">
        <w:rPr>
          <w:rFonts w:ascii="Times New Roman" w:hAnsi="Times New Roman" w:cs="Times New Roman"/>
          <w:szCs w:val="21"/>
        </w:rPr>
        <w:t>120</w:t>
      </w:r>
      <w:r w:rsidR="000F1B99" w:rsidRPr="007C188F">
        <w:rPr>
          <w:rFonts w:ascii="Times New Roman" w:hAnsi="Times New Roman" w:cs="Times New Roman"/>
          <w:szCs w:val="21"/>
        </w:rPr>
        <w:t xml:space="preserve">0,000; </w:t>
      </w:r>
      <w:r w:rsidR="000F1B99">
        <w:rPr>
          <w:rFonts w:ascii="Times New Roman" w:hAnsi="Times New Roman" w:cs="Times New Roman"/>
          <w:szCs w:val="21"/>
        </w:rPr>
        <w:t>d</w:t>
      </w:r>
      <w:r w:rsidR="000F1B99" w:rsidRPr="000F1B99">
        <w:rPr>
          <w:rFonts w:ascii="Times New Roman" w:hAnsi="Times New Roman" w:cs="Times New Roman"/>
          <w:szCs w:val="21"/>
        </w:rPr>
        <w:t>ivide</w:t>
      </w:r>
      <w:r w:rsidR="000F1B99">
        <w:rPr>
          <w:rFonts w:ascii="Times New Roman" w:hAnsi="Times New Roman" w:cs="Times New Roman"/>
          <w:szCs w:val="21"/>
        </w:rPr>
        <w:t>d</w:t>
      </w:r>
      <w:r w:rsidR="000F1B99" w:rsidRPr="000F1B99">
        <w:rPr>
          <w:rFonts w:ascii="Times New Roman" w:hAnsi="Times New Roman" w:cs="Times New Roman"/>
          <w:szCs w:val="21"/>
        </w:rPr>
        <w:t xml:space="preserve"> 350-1500Da into 40 windows for fragmentation and signal acquisition</w:t>
      </w:r>
      <w:r w:rsidR="000F1B99">
        <w:rPr>
          <w:rFonts w:ascii="Times New Roman" w:hAnsi="Times New Roman" w:cs="Times New Roman"/>
          <w:szCs w:val="21"/>
        </w:rPr>
        <w:t>.</w:t>
      </w:r>
      <w:r w:rsidR="000F1B99">
        <w:rPr>
          <w:rFonts w:ascii="Times New Roman" w:hAnsi="Times New Roman" w:cs="Times New Roman" w:hint="eastAsia"/>
          <w:szCs w:val="21"/>
        </w:rPr>
        <w:t xml:space="preserve"> </w:t>
      </w:r>
      <w:r w:rsidR="000F1B99" w:rsidRPr="007C188F">
        <w:rPr>
          <w:rFonts w:ascii="Times New Roman" w:hAnsi="Times New Roman" w:cs="Times New Roman"/>
          <w:szCs w:val="21"/>
        </w:rPr>
        <w:t>The ion fragmentation mode was HCD, and the fragment ions were detected in Orbitrap. The dynamic exclusion time was set to 30 seconds. The AGC was set to: MS1 3E6, MS2 1E5.</w:t>
      </w:r>
    </w:p>
    <w:p w14:paraId="645F86AC" w14:textId="36870C69" w:rsidR="000F1B99" w:rsidRPr="00685081" w:rsidRDefault="00685081" w:rsidP="004A1373">
      <w:pPr>
        <w:rPr>
          <w:rFonts w:ascii="Times New Roman" w:hAnsi="Times New Roman" w:cs="Times New Roman"/>
          <w:b/>
          <w:bCs/>
          <w:color w:val="000000"/>
          <w:shd w:val="clear" w:color="auto" w:fill="FFFFFF"/>
        </w:rPr>
      </w:pPr>
      <w:r w:rsidRPr="00685081">
        <w:rPr>
          <w:rFonts w:ascii="Times New Roman" w:hAnsi="Times New Roman" w:cs="Times New Roman"/>
          <w:b/>
          <w:bCs/>
          <w:color w:val="000000"/>
          <w:shd w:val="clear" w:color="auto" w:fill="FFFFFF"/>
        </w:rPr>
        <w:t xml:space="preserve">Data </w:t>
      </w:r>
      <w:r>
        <w:rPr>
          <w:rFonts w:ascii="Times New Roman" w:hAnsi="Times New Roman" w:cs="Times New Roman"/>
          <w:b/>
          <w:bCs/>
          <w:color w:val="000000"/>
          <w:shd w:val="clear" w:color="auto" w:fill="FFFFFF"/>
        </w:rPr>
        <w:t>p</w:t>
      </w:r>
      <w:r w:rsidRPr="00685081">
        <w:rPr>
          <w:rFonts w:ascii="Times New Roman" w:hAnsi="Times New Roman" w:cs="Times New Roman"/>
          <w:b/>
          <w:bCs/>
          <w:color w:val="000000"/>
          <w:shd w:val="clear" w:color="auto" w:fill="FFFFFF"/>
        </w:rPr>
        <w:t>rocessing</w:t>
      </w:r>
    </w:p>
    <w:p w14:paraId="53B773B0" w14:textId="7868175A" w:rsidR="007C188F" w:rsidRDefault="00FA48C9" w:rsidP="00FA48C9">
      <w:pPr>
        <w:rPr>
          <w:rFonts w:ascii="Times New Roman" w:hAnsi="Times New Roman" w:cs="Times New Roman"/>
          <w:szCs w:val="21"/>
        </w:rPr>
      </w:pPr>
      <w:r w:rsidRPr="00FA48C9">
        <w:rPr>
          <w:rFonts w:ascii="Times New Roman" w:hAnsi="Times New Roman" w:cs="Times New Roman"/>
          <w:szCs w:val="21"/>
        </w:rPr>
        <w:t>Protein identification was achieved using</w:t>
      </w:r>
      <w:r>
        <w:rPr>
          <w:rFonts w:ascii="Times New Roman" w:hAnsi="Times New Roman" w:cs="Times New Roman" w:hint="eastAsia"/>
          <w:szCs w:val="21"/>
        </w:rPr>
        <w:t xml:space="preserve"> </w:t>
      </w:r>
      <w:proofErr w:type="spellStart"/>
      <w:r w:rsidRPr="00FA48C9">
        <w:rPr>
          <w:rFonts w:ascii="Times New Roman" w:hAnsi="Times New Roman" w:cs="Times New Roman"/>
          <w:szCs w:val="21"/>
        </w:rPr>
        <w:t>MaxQuant</w:t>
      </w:r>
      <w:proofErr w:type="spellEnd"/>
      <w:r w:rsidRPr="00FA48C9">
        <w:rPr>
          <w:rFonts w:ascii="Times New Roman" w:hAnsi="Times New Roman" w:cs="Times New Roman"/>
          <w:szCs w:val="21"/>
        </w:rPr>
        <w:t xml:space="preserve"> (v 1.5.3.30) and searched</w:t>
      </w:r>
      <w:r>
        <w:rPr>
          <w:rFonts w:ascii="Times New Roman" w:hAnsi="Times New Roman" w:cs="Times New Roman" w:hint="eastAsia"/>
          <w:szCs w:val="21"/>
        </w:rPr>
        <w:t xml:space="preserve"> </w:t>
      </w:r>
      <w:r w:rsidRPr="00FA48C9">
        <w:rPr>
          <w:rFonts w:ascii="Times New Roman" w:hAnsi="Times New Roman" w:cs="Times New Roman"/>
          <w:szCs w:val="21"/>
        </w:rPr>
        <w:t xml:space="preserve">against the human canonical </w:t>
      </w:r>
      <w:proofErr w:type="spellStart"/>
      <w:r w:rsidRPr="00FA48C9">
        <w:rPr>
          <w:rFonts w:ascii="Times New Roman" w:hAnsi="Times New Roman" w:cs="Times New Roman"/>
          <w:szCs w:val="21"/>
        </w:rPr>
        <w:t>UniProt</w:t>
      </w:r>
      <w:proofErr w:type="spellEnd"/>
      <w:r w:rsidRPr="00FA48C9">
        <w:rPr>
          <w:rFonts w:ascii="Times New Roman" w:hAnsi="Times New Roman" w:cs="Times New Roman"/>
          <w:szCs w:val="21"/>
        </w:rPr>
        <w:t xml:space="preserve"> database</w:t>
      </w:r>
      <w:r w:rsidR="00F53E0D">
        <w:rPr>
          <w:rFonts w:ascii="Times New Roman" w:hAnsi="Times New Roman" w:cs="Times New Roman" w:hint="eastAsia"/>
          <w:szCs w:val="21"/>
        </w:rPr>
        <w:t>.</w:t>
      </w:r>
      <w:r w:rsidR="00F53E0D">
        <w:rPr>
          <w:rFonts w:ascii="Times New Roman" w:hAnsi="Times New Roman" w:cs="Times New Roman"/>
          <w:szCs w:val="21"/>
        </w:rPr>
        <w:t xml:space="preserve"> T</w:t>
      </w:r>
      <w:r w:rsidRPr="00FA48C9">
        <w:rPr>
          <w:rFonts w:ascii="Times New Roman" w:hAnsi="Times New Roman" w:cs="Times New Roman"/>
          <w:szCs w:val="21"/>
        </w:rPr>
        <w:t>he DIA data were</w:t>
      </w:r>
      <w:r w:rsidR="00F53E0D">
        <w:rPr>
          <w:rFonts w:ascii="Times New Roman" w:hAnsi="Times New Roman" w:cs="Times New Roman" w:hint="eastAsia"/>
          <w:szCs w:val="21"/>
        </w:rPr>
        <w:t xml:space="preserve"> </w:t>
      </w:r>
      <w:r w:rsidRPr="00FA48C9">
        <w:rPr>
          <w:rFonts w:ascii="Times New Roman" w:hAnsi="Times New Roman" w:cs="Times New Roman"/>
          <w:szCs w:val="21"/>
        </w:rPr>
        <w:t xml:space="preserve">analyzed by </w:t>
      </w:r>
      <w:proofErr w:type="spellStart"/>
      <w:r w:rsidRPr="00FA48C9">
        <w:rPr>
          <w:rFonts w:ascii="Times New Roman" w:hAnsi="Times New Roman" w:cs="Times New Roman"/>
          <w:szCs w:val="21"/>
        </w:rPr>
        <w:t>Spectronaut</w:t>
      </w:r>
      <w:proofErr w:type="spellEnd"/>
      <w:r w:rsidRPr="00FA48C9">
        <w:rPr>
          <w:rFonts w:ascii="Times New Roman" w:hAnsi="Times New Roman" w:cs="Times New Roman"/>
          <w:szCs w:val="21"/>
        </w:rPr>
        <w:t xml:space="preserve"> (</w:t>
      </w:r>
      <w:proofErr w:type="spellStart"/>
      <w:r w:rsidRPr="00FA48C9">
        <w:rPr>
          <w:rFonts w:ascii="Times New Roman" w:hAnsi="Times New Roman" w:cs="Times New Roman"/>
          <w:szCs w:val="21"/>
        </w:rPr>
        <w:t>Biognosys</w:t>
      </w:r>
      <w:proofErr w:type="spellEnd"/>
      <w:r w:rsidRPr="00FA48C9">
        <w:rPr>
          <w:rFonts w:ascii="Times New Roman" w:hAnsi="Times New Roman" w:cs="Times New Roman"/>
          <w:szCs w:val="21"/>
        </w:rPr>
        <w:t xml:space="preserve"> AG, Switzerland). </w:t>
      </w:r>
      <w:r w:rsidR="007C3B07" w:rsidRPr="007C3B07">
        <w:rPr>
          <w:rFonts w:ascii="Times New Roman" w:hAnsi="Times New Roman" w:cs="Times New Roman"/>
          <w:szCs w:val="21"/>
        </w:rPr>
        <w:t>The false</w:t>
      </w:r>
      <w:r w:rsidR="007C3B07">
        <w:rPr>
          <w:rFonts w:ascii="Times New Roman" w:hAnsi="Times New Roman" w:cs="Times New Roman"/>
          <w:szCs w:val="21"/>
        </w:rPr>
        <w:t xml:space="preserve"> </w:t>
      </w:r>
      <w:r w:rsidR="007C3B07" w:rsidRPr="007C3B07">
        <w:rPr>
          <w:rFonts w:ascii="Times New Roman" w:hAnsi="Times New Roman" w:cs="Times New Roman"/>
          <w:szCs w:val="21"/>
        </w:rPr>
        <w:t>discovery rates (FDRs) for the peptide-to-spectrum match, protein, and</w:t>
      </w:r>
      <w:r w:rsidR="007C3B07">
        <w:rPr>
          <w:rFonts w:ascii="Times New Roman" w:hAnsi="Times New Roman" w:cs="Times New Roman" w:hint="eastAsia"/>
          <w:szCs w:val="21"/>
        </w:rPr>
        <w:t xml:space="preserve"> </w:t>
      </w:r>
      <w:r w:rsidR="007C3B07" w:rsidRPr="007C3B07">
        <w:rPr>
          <w:rFonts w:ascii="Times New Roman" w:hAnsi="Times New Roman" w:cs="Times New Roman"/>
          <w:szCs w:val="21"/>
        </w:rPr>
        <w:t>site were each set at lower than 1%.</w:t>
      </w:r>
      <w:r w:rsidR="007C3B07">
        <w:rPr>
          <w:rFonts w:ascii="Times New Roman" w:hAnsi="Times New Roman" w:cs="Times New Roman" w:hint="eastAsia"/>
          <w:szCs w:val="21"/>
        </w:rPr>
        <w:t xml:space="preserve"> </w:t>
      </w:r>
      <w:r w:rsidR="007C3B07">
        <w:rPr>
          <w:rFonts w:ascii="Times New Roman" w:hAnsi="Times New Roman" w:cs="Times New Roman"/>
          <w:szCs w:val="21"/>
        </w:rPr>
        <w:t>The fold changes and p values for d</w:t>
      </w:r>
      <w:r w:rsidR="007C3B07" w:rsidRPr="007C3B07">
        <w:rPr>
          <w:rFonts w:ascii="Times New Roman" w:hAnsi="Times New Roman" w:cs="Times New Roman"/>
          <w:szCs w:val="21"/>
        </w:rPr>
        <w:t>ifferentially expressed</w:t>
      </w:r>
      <w:r w:rsidR="007C3B07">
        <w:rPr>
          <w:rFonts w:ascii="Times New Roman" w:hAnsi="Times New Roman" w:cs="Times New Roman"/>
          <w:szCs w:val="21"/>
        </w:rPr>
        <w:t xml:space="preserve"> p</w:t>
      </w:r>
      <w:r w:rsidRPr="00FA48C9">
        <w:rPr>
          <w:rFonts w:ascii="Times New Roman" w:hAnsi="Times New Roman" w:cs="Times New Roman"/>
          <w:szCs w:val="21"/>
        </w:rPr>
        <w:t xml:space="preserve">roteins </w:t>
      </w:r>
      <w:r w:rsidR="007C3B07">
        <w:rPr>
          <w:rFonts w:ascii="Times New Roman" w:hAnsi="Times New Roman" w:cs="Times New Roman"/>
          <w:szCs w:val="21"/>
        </w:rPr>
        <w:t xml:space="preserve">were </w:t>
      </w:r>
      <w:r w:rsidRPr="00FA48C9">
        <w:rPr>
          <w:rFonts w:ascii="Times New Roman" w:hAnsi="Times New Roman" w:cs="Times New Roman"/>
          <w:szCs w:val="21"/>
        </w:rPr>
        <w:t xml:space="preserve">estimated by </w:t>
      </w:r>
      <w:proofErr w:type="spellStart"/>
      <w:r w:rsidRPr="00FA48C9">
        <w:rPr>
          <w:rFonts w:ascii="Times New Roman" w:hAnsi="Times New Roman" w:cs="Times New Roman"/>
          <w:szCs w:val="21"/>
        </w:rPr>
        <w:t>MSstat</w:t>
      </w:r>
      <w:r w:rsidR="007C3B07">
        <w:rPr>
          <w:rFonts w:ascii="Times New Roman" w:hAnsi="Times New Roman" w:cs="Times New Roman"/>
          <w:szCs w:val="21"/>
        </w:rPr>
        <w:t>s</w:t>
      </w:r>
      <w:proofErr w:type="spellEnd"/>
      <w:r w:rsidRPr="00FA48C9">
        <w:rPr>
          <w:rFonts w:ascii="Times New Roman" w:hAnsi="Times New Roman" w:cs="Times New Roman"/>
          <w:szCs w:val="21"/>
        </w:rPr>
        <w:t>.</w:t>
      </w:r>
    </w:p>
    <w:p w14:paraId="4C54BE92" w14:textId="6A1FD003" w:rsidR="0008683E" w:rsidRDefault="0008683E" w:rsidP="00FA48C9">
      <w:pPr>
        <w:rPr>
          <w:rFonts w:ascii="Times New Roman" w:hAnsi="Times New Roman" w:cs="Times New Roman"/>
          <w:szCs w:val="21"/>
        </w:rPr>
      </w:pPr>
    </w:p>
    <w:p w14:paraId="257A85A7" w14:textId="237AAE96" w:rsidR="0008683E" w:rsidRPr="0008683E" w:rsidRDefault="0008683E" w:rsidP="00FA48C9">
      <w:pPr>
        <w:rPr>
          <w:rFonts w:ascii="Times New Roman" w:hAnsi="Times New Roman" w:cs="Times New Roman" w:hint="eastAsia"/>
          <w:b/>
          <w:bCs/>
          <w:szCs w:val="21"/>
        </w:rPr>
      </w:pPr>
      <w:r w:rsidRPr="0008683E">
        <w:rPr>
          <w:rFonts w:ascii="Times New Roman" w:hAnsi="Times New Roman" w:cs="Times New Roman" w:hint="eastAsia"/>
          <w:b/>
          <w:bCs/>
          <w:szCs w:val="21"/>
        </w:rPr>
        <w:t>Reference:</w:t>
      </w:r>
    </w:p>
    <w:p w14:paraId="7BDAD5DE" w14:textId="77777777" w:rsidR="0008683E" w:rsidRPr="0008683E" w:rsidRDefault="0008683E" w:rsidP="0008683E">
      <w:pPr>
        <w:pStyle w:val="EndNoteBibliography"/>
        <w:ind w:left="720" w:hanging="720"/>
      </w:pPr>
      <w:r>
        <w:rPr>
          <w:rFonts w:ascii="Times New Roman" w:hAnsi="Times New Roman" w:cs="Times New Roman"/>
          <w:szCs w:val="21"/>
        </w:rPr>
        <w:fldChar w:fldCharType="begin"/>
      </w:r>
      <w:r>
        <w:rPr>
          <w:rFonts w:ascii="Times New Roman" w:hAnsi="Times New Roman" w:cs="Times New Roman"/>
          <w:szCs w:val="21"/>
        </w:rPr>
        <w:instrText xml:space="preserve"> ADDIN EN.REFLIST </w:instrText>
      </w:r>
      <w:r>
        <w:rPr>
          <w:rFonts w:ascii="Times New Roman" w:hAnsi="Times New Roman" w:cs="Times New Roman"/>
          <w:szCs w:val="21"/>
        </w:rPr>
        <w:fldChar w:fldCharType="separate"/>
      </w:r>
      <w:r w:rsidRPr="0008683E">
        <w:t>1.</w:t>
      </w:r>
      <w:r w:rsidRPr="0008683E">
        <w:tab/>
        <w:t>Wang C, Yang Z, Xu E, Shen X, Wang X, Li Z</w:t>
      </w:r>
      <w:r w:rsidRPr="0008683E">
        <w:rPr>
          <w:i/>
        </w:rPr>
        <w:t xml:space="preserve"> et al</w:t>
      </w:r>
      <w:r w:rsidRPr="0008683E">
        <w:t xml:space="preserve">: </w:t>
      </w:r>
      <w:r w:rsidRPr="0008683E">
        <w:rPr>
          <w:b/>
        </w:rPr>
        <w:t>Apolipoprotein C-II induces EMT to promote gastric cancer peritoneal metastasis via PI3K/AKT/mTOR pathway</w:t>
      </w:r>
      <w:r w:rsidRPr="0008683E">
        <w:t xml:space="preserve">. </w:t>
      </w:r>
      <w:r w:rsidRPr="0008683E">
        <w:rPr>
          <w:i/>
        </w:rPr>
        <w:t xml:space="preserve">Clin Transl Med </w:t>
      </w:r>
      <w:r w:rsidRPr="0008683E">
        <w:t xml:space="preserve">2021, </w:t>
      </w:r>
      <w:r w:rsidRPr="0008683E">
        <w:rPr>
          <w:b/>
        </w:rPr>
        <w:t>11</w:t>
      </w:r>
      <w:r w:rsidRPr="0008683E">
        <w:t>(8):e522.</w:t>
      </w:r>
    </w:p>
    <w:p w14:paraId="57C5DF6B" w14:textId="4EF082E8" w:rsidR="0008683E" w:rsidRPr="007C188F" w:rsidRDefault="0008683E" w:rsidP="00FA48C9">
      <w:pPr>
        <w:rPr>
          <w:rFonts w:ascii="Times New Roman" w:hAnsi="Times New Roman" w:cs="Times New Roman" w:hint="eastAsia"/>
          <w:szCs w:val="21"/>
        </w:rPr>
      </w:pPr>
      <w:r>
        <w:rPr>
          <w:rFonts w:ascii="Times New Roman" w:hAnsi="Times New Roman" w:cs="Times New Roman"/>
          <w:szCs w:val="21"/>
        </w:rPr>
        <w:fldChar w:fldCharType="end"/>
      </w:r>
    </w:p>
    <w:sectPr w:rsidR="0008683E" w:rsidRPr="007C1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2782" w14:textId="77777777" w:rsidR="00CE54F7" w:rsidRDefault="00CE54F7" w:rsidP="00F247D3">
      <w:r>
        <w:separator/>
      </w:r>
    </w:p>
  </w:endnote>
  <w:endnote w:type="continuationSeparator" w:id="0">
    <w:p w14:paraId="71070F82" w14:textId="77777777" w:rsidR="00CE54F7" w:rsidRDefault="00CE54F7" w:rsidP="00F2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NimbusSanL-Regu">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3490" w14:textId="77777777" w:rsidR="00CE54F7" w:rsidRDefault="00CE54F7" w:rsidP="00F247D3">
      <w:r>
        <w:separator/>
      </w:r>
    </w:p>
  </w:footnote>
  <w:footnote w:type="continuationSeparator" w:id="0">
    <w:p w14:paraId="30C0E3CE" w14:textId="77777777" w:rsidR="00CE54F7" w:rsidRDefault="00CE54F7" w:rsidP="00F24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C61AE"/>
    <w:multiLevelType w:val="hybridMultilevel"/>
    <w:tmpl w:val="8A6A70C0"/>
    <w:lvl w:ilvl="0" w:tplc="37C29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linical Proteomi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pft09prwts99e0wr9xx5fmf5rf0ddtrt9v&quot;&gt;Integrative analysis of the proteome and transcriptome in gastric cancer identified LRP1B as a potential cell surface marker&lt;record-ids&gt;&lt;item&gt;23&lt;/item&gt;&lt;/record-ids&gt;&lt;/item&gt;&lt;/Libraries&gt;"/>
  </w:docVars>
  <w:rsids>
    <w:rsidRoot w:val="008B25AB"/>
    <w:rsid w:val="0008683E"/>
    <w:rsid w:val="00087A9F"/>
    <w:rsid w:val="000F1B99"/>
    <w:rsid w:val="00112EDC"/>
    <w:rsid w:val="00140827"/>
    <w:rsid w:val="00153075"/>
    <w:rsid w:val="00376A9D"/>
    <w:rsid w:val="003F081F"/>
    <w:rsid w:val="004A1373"/>
    <w:rsid w:val="004A69FB"/>
    <w:rsid w:val="0056188A"/>
    <w:rsid w:val="0061649A"/>
    <w:rsid w:val="00635A34"/>
    <w:rsid w:val="00685081"/>
    <w:rsid w:val="00723850"/>
    <w:rsid w:val="007765C8"/>
    <w:rsid w:val="00787D09"/>
    <w:rsid w:val="007C188F"/>
    <w:rsid w:val="007C3B07"/>
    <w:rsid w:val="008B25AB"/>
    <w:rsid w:val="008D1961"/>
    <w:rsid w:val="009C5823"/>
    <w:rsid w:val="00A0559C"/>
    <w:rsid w:val="00C64330"/>
    <w:rsid w:val="00C773DD"/>
    <w:rsid w:val="00CC395F"/>
    <w:rsid w:val="00CD6EBD"/>
    <w:rsid w:val="00CE54F7"/>
    <w:rsid w:val="00D82214"/>
    <w:rsid w:val="00D962CC"/>
    <w:rsid w:val="00E01D25"/>
    <w:rsid w:val="00ED3E8C"/>
    <w:rsid w:val="00F247D3"/>
    <w:rsid w:val="00F53E0D"/>
    <w:rsid w:val="00FA48C9"/>
    <w:rsid w:val="00FC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5D2B"/>
  <w15:chartTrackingRefBased/>
  <w15:docId w15:val="{A8CA2D5B-F8E0-495C-8DFD-9A49F221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5A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7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7D3"/>
    <w:rPr>
      <w:sz w:val="18"/>
      <w:szCs w:val="18"/>
    </w:rPr>
  </w:style>
  <w:style w:type="paragraph" w:styleId="a5">
    <w:name w:val="footer"/>
    <w:basedOn w:val="a"/>
    <w:link w:val="a6"/>
    <w:uiPriority w:val="99"/>
    <w:unhideWhenUsed/>
    <w:rsid w:val="00F247D3"/>
    <w:pPr>
      <w:tabs>
        <w:tab w:val="center" w:pos="4153"/>
        <w:tab w:val="right" w:pos="8306"/>
      </w:tabs>
      <w:snapToGrid w:val="0"/>
      <w:jc w:val="left"/>
    </w:pPr>
    <w:rPr>
      <w:sz w:val="18"/>
      <w:szCs w:val="18"/>
    </w:rPr>
  </w:style>
  <w:style w:type="character" w:customStyle="1" w:styleId="a6">
    <w:name w:val="页脚 字符"/>
    <w:basedOn w:val="a0"/>
    <w:link w:val="a5"/>
    <w:uiPriority w:val="99"/>
    <w:rsid w:val="00F247D3"/>
    <w:rPr>
      <w:sz w:val="18"/>
      <w:szCs w:val="18"/>
    </w:rPr>
  </w:style>
  <w:style w:type="paragraph" w:styleId="a7">
    <w:name w:val="List Paragraph"/>
    <w:basedOn w:val="a"/>
    <w:uiPriority w:val="34"/>
    <w:qFormat/>
    <w:rsid w:val="00FC6E37"/>
    <w:pPr>
      <w:ind w:firstLineChars="200" w:firstLine="420"/>
    </w:pPr>
  </w:style>
  <w:style w:type="paragraph" w:customStyle="1" w:styleId="EndNoteBibliographyTitle">
    <w:name w:val="EndNote Bibliography Title"/>
    <w:basedOn w:val="a"/>
    <w:link w:val="EndNoteBibliographyTitle0"/>
    <w:rsid w:val="0008683E"/>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08683E"/>
    <w:rPr>
      <w:rFonts w:ascii="等线" w:eastAsia="等线" w:hAnsi="等线"/>
      <w:noProof/>
      <w:sz w:val="20"/>
    </w:rPr>
  </w:style>
  <w:style w:type="paragraph" w:customStyle="1" w:styleId="EndNoteBibliography">
    <w:name w:val="EndNote Bibliography"/>
    <w:basedOn w:val="a"/>
    <w:link w:val="EndNoteBibliography0"/>
    <w:rsid w:val="0008683E"/>
    <w:rPr>
      <w:rFonts w:ascii="等线" w:eastAsia="等线" w:hAnsi="等线"/>
      <w:noProof/>
      <w:sz w:val="20"/>
    </w:rPr>
  </w:style>
  <w:style w:type="character" w:customStyle="1" w:styleId="EndNoteBibliography0">
    <w:name w:val="EndNote Bibliography 字符"/>
    <w:basedOn w:val="a0"/>
    <w:link w:val="EndNoteBibliography"/>
    <w:rsid w:val="0008683E"/>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7667">
      <w:bodyDiv w:val="1"/>
      <w:marLeft w:val="0"/>
      <w:marRight w:val="0"/>
      <w:marTop w:val="0"/>
      <w:marBottom w:val="0"/>
      <w:divBdr>
        <w:top w:val="none" w:sz="0" w:space="0" w:color="auto"/>
        <w:left w:val="none" w:sz="0" w:space="0" w:color="auto"/>
        <w:bottom w:val="none" w:sz="0" w:space="0" w:color="auto"/>
        <w:right w:val="none" w:sz="0" w:space="0" w:color="auto"/>
      </w:divBdr>
    </w:div>
    <w:div w:id="1019550247">
      <w:bodyDiv w:val="1"/>
      <w:marLeft w:val="0"/>
      <w:marRight w:val="0"/>
      <w:marTop w:val="0"/>
      <w:marBottom w:val="0"/>
      <w:divBdr>
        <w:top w:val="none" w:sz="0" w:space="0" w:color="auto"/>
        <w:left w:val="none" w:sz="0" w:space="0" w:color="auto"/>
        <w:bottom w:val="none" w:sz="0" w:space="0" w:color="auto"/>
        <w:right w:val="none" w:sz="0" w:space="0" w:color="auto"/>
      </w:divBdr>
    </w:div>
    <w:div w:id="1714847432">
      <w:bodyDiv w:val="1"/>
      <w:marLeft w:val="0"/>
      <w:marRight w:val="0"/>
      <w:marTop w:val="0"/>
      <w:marBottom w:val="0"/>
      <w:divBdr>
        <w:top w:val="none" w:sz="0" w:space="0" w:color="auto"/>
        <w:left w:val="none" w:sz="0" w:space="0" w:color="auto"/>
        <w:bottom w:val="none" w:sz="0" w:space="0" w:color="auto"/>
        <w:right w:val="none" w:sz="0" w:space="0" w:color="auto"/>
      </w:divBdr>
    </w:div>
    <w:div w:id="20398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Peng</dc:creator>
  <cp:keywords/>
  <dc:description/>
  <cp:lastModifiedBy>Song Peng</cp:lastModifiedBy>
  <cp:revision>15</cp:revision>
  <dcterms:created xsi:type="dcterms:W3CDTF">2021-11-29T08:10:00Z</dcterms:created>
  <dcterms:modified xsi:type="dcterms:W3CDTF">2022-01-20T14:51:00Z</dcterms:modified>
</cp:coreProperties>
</file>